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166 authored files)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all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with a firewall at each boundary.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a firewall at each boundary,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(public website + Control Panel), Backend API, Database.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made from the Control Panel, depends on an approved outbound firewall exception. Until it is granted an administrator pastes or uploads the transcript. The AI runs on site and needs no external access.</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with Server and DR.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three access channels, the mobile app, the public website and the Control Panel, which share one backend API and two databases. It has two kinds of user: application users, grouped dynamically, and administrators, governed by role-based access control.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carries nevent.</w:t>
            </w:r>
          </w:p>
          <w:p w14:paraId="18196080" w14:textId="77777777" w:rsidR="00B23F52" w:rsidRDefault="00000000">
            <w:pPr>
              <w:bidi w:val="0"/>
              <w:spacing w:after="80"/>
              <w:ind w:left="360"/>
              <w:jc w:val="left"/>
            </w:pPr>
            <w:r>
              <w:rPr>
                <w:sz w:val="24"/>
              </w:rPr>
              <w:t>•  Anonymous public, use the website to read public content (home, programme, visit information). The website carries no registration; visitors register in the mobile app.</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(the administrator is the "Backend user" in the SITE reference topology of section 2.1).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This is the only outbound call SIMF makes.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with a firewall at each boundary.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terminates TLS, filters traffic against the OWASP rule set and balances requests across healthy nodes. The presentation tier sits here and nothing else: the website (SIMF.Web, two nodes), the Control Panel (SIMF.ControlPanel, two nodes with session affinity) and the mobile edge (SIMF.MobileEdge). All three reach data only through the API, over HTTPS 443 across the internal firewall. The Control Panel makes the single outbound call to YouTube.</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readable secondary reached through a listener that sends writes to the primary and read-only queries to a secondary;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1</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04D20E1F"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 application</w:t>
                  </w:r>
                </w:p>
              </w:tc>
              <w:tc>
                <w:tcPr>
                  <w:tcW w:w="1368" w:type="dxa"/>
                </w:tcPr>
                <w:p w14:paraId="27D64DF7" w14:textId="77777777" w:rsidR="00B23F52" w:rsidRDefault="00000000">
                  <w:pPr>
                    <w:framePr w:hSpace="180" w:wrap="around" w:vAnchor="page" w:hAnchor="margin" w:xAlign="center" w:y="3301"/>
                    <w:bidi w:val="0"/>
                    <w:jc w:val="left"/>
                  </w:pPr>
                  <w:r>
                    <w:rPr>
                      <w:sz w:val="16"/>
                    </w:rPr>
                    <w:t>1</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 application</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Reads are served by the readable secondary and a per-node in-memory cache; the primary handles writes and cache misses.</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7C106159" w14:textId="77777777" w:rsidR="00B23F52" w:rsidRDefault="00000000">
            <w:pPr>
              <w:bidi w:val="0"/>
              <w:spacing w:after="80"/>
              <w:ind w:left="360"/>
              <w:jc w:val="left"/>
            </w:pPr>
            <w:r>
              <w:rPr>
                <w:sz w:val="24"/>
              </w:rPr>
              <w:t>•  Development and test environments run a single SQL Server Standard node; the Enterprise Availability Group is the production topology.</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01D4F541" w14:textId="77777777" w:rsidR="00B23F52" w:rsidRDefault="00000000">
            <w:pPr>
              <w:bidi w:val="0"/>
              <w:spacing w:after="80"/>
              <w:ind w:left="360"/>
              <w:jc w:val="left"/>
            </w:pPr>
            <w:r>
              <w:rPr>
                <w:sz w:val="24"/>
              </w:rPr>
              <w:t>•  A stateless API tier, so the platform scales out by adding nodes.</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load balancer carries no AI traffic of any kind. Its role is limited to terminating client TLS, filtering against the OWASP rule set and distributing client requests across the application tiers.</w:t>
            </w:r>
          </w:p>
          <w:p w14:paraId="1FEA89F0" w14:textId="77777777" w:rsidR="00B23F52" w:rsidRDefault="00000000">
            <w:pPr>
              <w:bidi w:val="0"/>
              <w:spacing w:after="80"/>
              <w:jc w:val="left"/>
            </w:pPr>
            <w:r>
              <w:rPr>
                <w:sz w:val="24"/>
              </w:rPr>
              <w:t>Figure 1 states this on the drawing itself. The single AI path is specified in section 2.4 under "API to the AI endpoint": SIMF.Api is the only caller and the load balancer carries no AI traffic.</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attendee mobile device, public website browser, administrator browser, and YouTube. No SIMF server is hosted here.</w:t>
            </w:r>
          </w:p>
          <w:p w14:paraId="1FEA89F0" w14:textId="77777777" w:rsidR="00B23F52" w:rsidRDefault="00000000">
            <w:pPr>
              <w:bidi w:val="0"/>
              <w:spacing w:after="80"/>
              <w:jc w:val="left"/>
            </w:pPr>
            <w:r>
              <w:rPr>
                <w:sz w:val="24"/>
              </w:rPr>
              <w:t>SSA zone: the WAF and load balancer, the mobile edge, two web hosts and two Control Panel hosts.</w:t>
            </w:r>
          </w:p>
          <w:p w14:paraId="1FEA89F0" w14:textId="77777777" w:rsidR="00B23F52" w:rsidRDefault="00000000">
            <w:pPr>
              <w:bidi w:val="0"/>
              <w:spacing w:after="80"/>
              <w:jc w:val="left"/>
            </w:pPr>
            <w:r>
              <w:rPr>
                <w:sz w:val="24"/>
              </w:rPr>
              <w:t>HSA zone: the API load balancer, four API hosts, the on-site LLM server running GPT OSS 120B, the on-site mail relay, two database hosts and the MinIO object store.</w:t>
            </w:r>
          </w:p>
          <w:p w14:paraId="1FEA89F0" w14:textId="77777777" w:rsidR="00B23F52" w:rsidRDefault="00000000">
            <w:pPr>
              <w:bidi w:val="0"/>
              <w:spacing w:after="80"/>
              <w:jc w:val="left"/>
            </w:pPr>
            <w:r>
              <w:rPr>
                <w:sz w:val="24"/>
              </w:rPr>
              <w:t>The Communication Requirements Matrix in section 2.8 matches Figure 1 row for row.</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MudBlazor), the administration application.</w:t>
            </w:r>
          </w:p>
          <w:p w14:paraId="5A7FF417" w14:textId="77777777" w:rsidR="00B23F52" w:rsidRDefault="00000000">
            <w:pPr>
              <w:bidi w:val="0"/>
              <w:spacing w:after="80"/>
              <w:ind w:left="360"/>
              <w:jc w:val="left"/>
            </w:pPr>
            <w:r>
              <w:rPr>
                <w:sz w:val="24"/>
              </w:rPr>
              <w:t>•  Public Website (Blazor SSR), static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an on-site desk tool used by staff to print and issue badges at the venue.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dormant-account sweep, registration-gate auto-close, session reminders, e-mail dispatch.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an administrator publishes it after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007EB00A" w14:textId="77777777" w:rsidR="00B23F52" w:rsidRDefault="00000000">
            <w:pPr>
              <w:bidi w:val="0"/>
              <w:spacing w:after="80"/>
              <w:jc w:val="left"/>
            </w:pPr>
            <w:r>
              <w:rPr>
                <w:i/>
                <w:color w:val="444444"/>
                <w:sz w:val="22"/>
              </w:rPr>
              <w:t>These are the primary system workflows.</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component and interaction view. Every component, and how each one communicates with the others. Answers technical review points 1 and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system and data flow. A data flow diagram in Gane and Sarson notation: a level 0 context view and a level 1 decomposition that balances with it. Answers technical review point 7.</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It calls the SITE-hosted GPT OSS 120B model over an OpenAI-compatible API on HTTPS 443, inside HSA, so no inference leaves the ministry network. Every invocation is logged and rate-limited per administrator.</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 It depends on the same approved firewall exception.</w:t>
            </w:r>
          </w:p>
          <w:p w14:paraId="6B91F276" w14:textId="77777777" w:rsidR="00B23F52" w:rsidRDefault="00000000">
            <w:pPr>
              <w:bidi w:val="0"/>
              <w:spacing w:after="80"/>
              <w:jc w:val="left"/>
            </w:pPr>
            <w:r>
              <w:rPr>
                <w:i/>
                <w:color w:val="444444"/>
                <w:sz w:val="22"/>
              </w:rPr>
              <w:t>No inbound interface is exposed to any external entity.</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holds no media content.</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edge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complete field-level inventory of what each AI feature sends to the on-site GPT OSS 120B endpoint, which stays inside HSA.</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The delivered configuration points at the on-site GPT OSS 120B endpoint in HSA. The table above lists what each feature sends to it.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It has no sign-in, registration or account page and stores no personal data.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attendees, administrators, and the single outbound external service (the YouTube caption API). No SIMF server runs here.</w:t>
            </w:r>
          </w:p>
          <w:p w14:paraId="4B97EF0B" w14:textId="77777777" w:rsidR="00B23F52" w:rsidRDefault="00000000">
            <w:pPr>
              <w:bidi w:val="0"/>
              <w:spacing w:after="80"/>
              <w:ind w:left="360"/>
              <w:jc w:val="left"/>
            </w:pPr>
            <w:r>
              <w:rPr>
                <w:sz w:val="24"/>
              </w:rPr>
              <w:t>•  SSA Zone, the WAF and load balancer, the website and Control Panel tiers, and the mobile edge.</w:t>
            </w:r>
          </w:p>
          <w:p w14:paraId="1EBA66C5" w14:textId="77777777" w:rsidR="00B23F52" w:rsidRDefault="00000000">
            <w:pPr>
              <w:bidi w:val="0"/>
              <w:spacing w:after="80"/>
              <w:ind w:left="360"/>
              <w:jc w:val="left"/>
            </w:pPr>
            <w:r>
              <w:rPr>
                <w:sz w:val="24"/>
              </w:rPr>
              <w:t>•  HSA Zone, the database Availability Group, the shared file store, and the backups, reached only from the application servers.</w:t>
            </w:r>
          </w:p>
          <w:p w14:paraId="70054B03" w14:textId="77777777" w:rsidR="00B23F52" w:rsidRDefault="00000000">
            <w:pPr>
              <w:bidi w:val="0"/>
              <w:spacing w:after="80"/>
              <w:ind w:left="360"/>
              <w:jc w:val="left"/>
            </w:pPr>
            <w:r>
              <w:rPr>
                <w:sz w:val="24"/>
              </w:rPr>
              <w:t>•  A firewall sits at each zone boundary.</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from the Control Panel hosts to the YouTube caption hosts only. No other host and no other destination requires an outbound route.</w:t>
            </w:r>
          </w:p>
          <w:p w14:paraId="70ABBC20" w14:textId="77777777" w:rsidR="00B23F52" w:rsidRDefault="00000000">
            <w:pPr>
              <w:bidi w:val="0"/>
              <w:spacing w:after="80"/>
              <w:ind w:left="360"/>
              <w:jc w:val="left"/>
            </w:pPr>
            <w:r>
              <w:rPr>
                <w:sz w:val="24"/>
              </w:rPr>
              <w:t>•  Provision the shared file store and enable session affinity for the website and Control Panel tiers.</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46707624" w14:textId="77777777" w:rsidR="00B23F52" w:rsidRDefault="00000000">
            <w:pPr>
              <w:bidi w:val="0"/>
              <w:spacing w:after="80"/>
              <w:ind w:left="360"/>
              <w:jc w:val="left"/>
            </w:pPr>
            <w:r>
              <w:rPr>
                <w:sz w:val="24"/>
              </w:rPr>
              <w:t>•  The API runs its scheduled jobs in-process, so restarting them restarts the API application pool; the operations script exposes this as a Jobs target. There is no separate worker server.</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SIMF.Api reaches it over SMTP with STARTTLS on TCP 587, and nothing else calls it. The log collector is an integration rather than a SIMF server, so it is not drawn; the application hosts ship syslog over TLS on TCP 6514 to the ministry collector. Both carry their protocol and port in the communication requirements matrix in section 2.8.</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edge gateway;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hosts.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edge firewall or any Internet gateway.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in the system is the YouTube caption import, and its full path is: the Control Panel in SSA, under an FQDN allow-list that logs every request, then through the edge firewall and perimeter gateway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MinIO over the S3 API, e-mail is queued to the SMTP relay, AI inference is performed by the configured AI endpoint when one is enabled, and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readable secondary behind a listener, giving both automatic failover and read scale-out.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of the eighteen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 Database rows hold object keys, never blobs.</w:t>
            </w:r>
          </w:p>
          <w:p w14:paraId="1FEA89F0" w14:textId="77777777" w:rsidR="00B23F52" w:rsidRDefault="00000000">
            <w:pPr>
              <w:bidi w:val="0"/>
              <w:spacing w:after="80"/>
              <w:jc w:val="left"/>
            </w:pPr>
            <w:r>
              <w:rPr>
                <w:sz w:val="24"/>
              </w:rPr>
              <w:t>Content is classified into 18 service categories across 4 sensitivity tiers. The categories are: avatar, identity document, VIP photo, speaker photo, speaker presentation, session recording, news image, media-gallery image, media-partner logo, sponsor logo, exhibitor logo, booth logo, company logo, organisation logo, organisation hero video, programme-day image, banner and archive cover.</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The share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SIMF.Web</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pPr>
                  <w:r>
                    <w:rPr>
                      <w:sz w:val="16"/>
                    </w:rPr>
                    <w:t>HTTPS</w:t>
                  </w:r>
                </w:p>
              </w:tc>
              <w:tc>
                <w:tcPr>
                  <w:tcW w:w="648" w:type="dxa"/>
                </w:tcPr>
                <w:p w14:paraId="475344A0" w14:textId="77777777" w:rsidR="00B23F52" w:rsidRDefault="00000000">
                  <w:pPr>
                    <w:framePr w:hSpace="180" w:wrap="around" w:vAnchor="page" w:hAnchor="margin" w:xAlign="center" w:y="3301"/>
                    <w:bidi w:val="0"/>
                    <w:jc w:val="left"/>
                  </w:pPr>
                  <w:r>
                    <w:rPr>
                      <w:sz w:val="16"/>
                    </w:rPr>
                    <w:t>443</w:t>
                  </w:r>
                </w:p>
              </w:tc>
              <w:tc>
                <w:tcPr>
                  <w:tcW w:w="1224" w:type="dxa"/>
                </w:tcPr>
                <w:p w14:paraId="607C7D06" w14:textId="77777777" w:rsidR="00B23F52" w:rsidRDefault="00000000">
                  <w:pPr>
                    <w:framePr w:hSpace="180" w:wrap="around" w:vAnchor="page" w:hAnchor="margin" w:xAlign="center" w:y="3301"/>
                    <w:bidi w:val="0"/>
                    <w:jc w:val="left"/>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pPr>
                  <w:r>
                    <w:rPr>
                      <w:sz w:val="16"/>
                    </w:rPr>
                    <w:t>Server-to-server typed API client</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pPr>
                  <w:r>
                    <w:rPr>
                      <w:sz w:val="16"/>
                    </w:rPr>
                    <w:t>SIMF.Api</w:t>
                  </w:r>
                </w:p>
              </w:tc>
              <w:tc>
                <w:tcPr>
                  <w:tcW w:w="1224" w:type="dxa"/>
                </w:tcPr>
                <w:p w14:paraId="7B0F1054" w14:textId="77777777" w:rsidR="00B23F52" w:rsidRDefault="00000000">
                  <w:pPr>
                    <w:framePr w:hSpace="180" w:wrap="around" w:vAnchor="page" w:hAnchor="margin" w:xAlign="center" w:y="3301"/>
                    <w:bidi w:val="0"/>
                    <w:jc w:val="left"/>
                  </w:pPr>
                  <w:r>
                    <w:rPr>
                      <w:sz w:val="16"/>
                    </w:rPr>
                    <w:t>HTTPS</w:t>
                  </w:r>
                </w:p>
              </w:tc>
              <w:tc>
                <w:tcPr>
                  <w:tcW w:w="648" w:type="dxa"/>
                </w:tcPr>
                <w:p w14:paraId="0BF268D2" w14:textId="77777777" w:rsidR="00B23F52" w:rsidRDefault="00000000">
                  <w:pPr>
                    <w:framePr w:hSpace="180" w:wrap="around" w:vAnchor="page" w:hAnchor="margin" w:xAlign="center" w:y="3301"/>
                    <w:bidi w:val="0"/>
                    <w:jc w:val="left"/>
                  </w:pPr>
                  <w:r>
                    <w:rPr>
                      <w:sz w:val="16"/>
                    </w:rPr>
                    <w:t>443</w:t>
                  </w:r>
                </w:p>
              </w:tc>
              <w:tc>
                <w:tcPr>
                  <w:tcW w:w="1224" w:type="dxa"/>
                </w:tcPr>
                <w:p w14:paraId="6DABEEF8" w14:textId="77777777" w:rsidR="00B23F52" w:rsidRDefault="00000000">
                  <w:pPr>
                    <w:framePr w:hSpace="180" w:wrap="around" w:vAnchor="page" w:hAnchor="margin" w:xAlign="center" w:y="3301"/>
                    <w:bidi w:val="0"/>
                    <w:jc w:val="left"/>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w:t>
                  </w:r>
                </w:p>
              </w:tc>
              <w:tc>
                <w:tcPr>
                  <w:tcW w:w="1944" w:type="dxa"/>
                </w:tcPr>
                <w:p w14:paraId="47A409C0" w14:textId="77777777" w:rsidR="00B23F52" w:rsidRDefault="00000000">
                  <w:pPr>
                    <w:framePr w:hSpace="180" w:wrap="around" w:vAnchor="page" w:hAnchor="margin" w:xAlign="center" w:y="3301"/>
                    <w:bidi w:val="0"/>
                    <w:jc w:val="left"/>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pPr>
                  <w:r>
                    <w:rPr>
                      <w:sz w:val="16"/>
                    </w:rPr>
                    <w:t>HTTPS</w:t>
                  </w:r>
                </w:p>
              </w:tc>
              <w:tc>
                <w:tcPr>
                  <w:tcW w:w="648" w:type="dxa"/>
                </w:tcPr>
                <w:p w14:paraId="37DF0B71" w14:textId="77777777" w:rsidR="00B23F52" w:rsidRDefault="00000000">
                  <w:pPr>
                    <w:framePr w:hSpace="180" w:wrap="around" w:vAnchor="page" w:hAnchor="margin" w:xAlign="center" w:y="3301"/>
                    <w:bidi w:val="0"/>
                    <w:jc w:val="left"/>
                  </w:pPr>
                  <w:r>
                    <w:rPr>
                      <w:sz w:val="16"/>
                    </w:rPr>
                    <w:t>443</w:t>
                  </w:r>
                </w:p>
              </w:tc>
              <w:tc>
                <w:tcPr>
                  <w:tcW w:w="1224" w:type="dxa"/>
                </w:tcPr>
                <w:p w14:paraId="02C6CA97" w14:textId="77777777" w:rsidR="00B23F52" w:rsidRDefault="00000000">
                  <w:pPr>
                    <w:framePr w:hSpace="180" w:wrap="around" w:vAnchor="page" w:hAnchor="margin" w:xAlign="center" w:y="3301"/>
                    <w:bidi w:val="0"/>
                    <w:jc w:val="left"/>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SIMF.Api</w:t>
                  </w:r>
                </w:p>
              </w:tc>
              <w:tc>
                <w:tcPr>
                  <w:tcW w:w="1944" w:type="dxa"/>
                </w:tcPr>
                <w:p w14:paraId="1F9AFD6C" w14:textId="77777777" w:rsidR="00B23F52" w:rsidRDefault="00000000">
                  <w:pPr>
                    <w:framePr w:hSpace="180" w:wrap="around" w:vAnchor="page" w:hAnchor="margin" w:xAlign="center" w:y="3301"/>
                    <w:bidi w:val="0"/>
                    <w:jc w:val="left"/>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pPr>
                  <w:r>
                    <w:rPr>
                      <w:sz w:val="16"/>
                    </w:rPr>
                    <w:t>587</w:t>
                  </w:r>
                </w:p>
              </w:tc>
              <w:tc>
                <w:tcPr>
                  <w:tcW w:w="1224" w:type="dxa"/>
                </w:tcPr>
                <w:p w14:paraId="6304869F" w14:textId="77777777" w:rsidR="00B23F52" w:rsidRDefault="00000000">
                  <w:pPr>
                    <w:framePr w:hSpace="180" w:wrap="around" w:vAnchor="page" w:hAnchor="margin" w:xAlign="center" w:y="3301"/>
                    <w:bidi w:val="0"/>
                    <w:jc w:val="left"/>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pPr>
                  <w:r>
                    <w:rPr>
                      <w:sz w:val="16"/>
                    </w:rPr>
                    <w:t>TCP / TDS</w:t>
                  </w:r>
                </w:p>
              </w:tc>
              <w:tc>
                <w:tcPr>
                  <w:tcW w:w="648" w:type="dxa"/>
                </w:tcPr>
                <w:p w14:paraId="15E77454" w14:textId="77777777" w:rsidR="00B23F52" w:rsidRDefault="00000000">
                  <w:pPr>
                    <w:framePr w:hSpace="180" w:wrap="around" w:vAnchor="page" w:hAnchor="margin" w:xAlign="center" w:y="3301"/>
                    <w:bidi w:val="0"/>
                    <w:jc w:val="left"/>
                  </w:pPr>
                  <w:r>
                    <w:rPr>
                      <w:sz w:val="16"/>
                    </w:rPr>
                    <w:t>1433</w:t>
                  </w:r>
                </w:p>
              </w:tc>
              <w:tc>
                <w:tcPr>
                  <w:tcW w:w="1224" w:type="dxa"/>
                </w:tcPr>
                <w:p w14:paraId="6B667375"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4685181" w14:textId="77777777" w:rsidR="00B23F52" w:rsidRDefault="00000000">
                  <w:pPr>
                    <w:framePr w:hSpace="180" w:wrap="around" w:vAnchor="page" w:hAnchor="margin" w:xAlign="center" w:y="3301"/>
                    <w:bidi w:val="0"/>
                    <w:jc w:val="left"/>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MinIO</w:t>
                  </w:r>
                </w:p>
              </w:tc>
              <w:tc>
                <w:tcPr>
                  <w:tcW w:w="1224" w:type="dxa"/>
                </w:tcPr>
                <w:p w14:paraId="6D0FB599" w14:textId="77777777" w:rsidR="00B23F52" w:rsidRDefault="00000000">
                  <w:pPr>
                    <w:framePr w:hSpace="180" w:wrap="around" w:vAnchor="page" w:hAnchor="margin" w:xAlign="center" w:y="3301"/>
                    <w:bidi w:val="0"/>
                    <w:jc w:val="left"/>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670D8C4" w14:textId="77777777" w:rsidR="00B23F52" w:rsidRDefault="00000000">
                  <w:pPr>
                    <w:framePr w:hSpace="180" w:wrap="around" w:vAnchor="page" w:hAnchor="margin" w:xAlign="center" w:y="3301"/>
                    <w:bidi w:val="0"/>
                    <w:jc w:val="left"/>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pPr>
                  <w:r>
                    <w:rPr>
                      <w:sz w:val="16"/>
                    </w:rPr>
                    <w:t>TCP</w:t>
                  </w:r>
                </w:p>
              </w:tc>
              <w:tc>
                <w:tcPr>
                  <w:tcW w:w="648" w:type="dxa"/>
                </w:tcPr>
                <w:p w14:paraId="2E477A47" w14:textId="77777777" w:rsidR="00B23F52" w:rsidRDefault="00000000">
                  <w:pPr>
                    <w:framePr w:hSpace="180" w:wrap="around" w:vAnchor="page" w:hAnchor="margin" w:xAlign="center" w:y="3301"/>
                    <w:bidi w:val="0"/>
                    <w:jc w:val="left"/>
                  </w:pPr>
                  <w:r>
                    <w:rPr>
                      <w:sz w:val="16"/>
                    </w:rPr>
                    <w:t>5022</w:t>
                  </w:r>
                </w:p>
              </w:tc>
              <w:tc>
                <w:tcPr>
                  <w:tcW w:w="1224" w:type="dxa"/>
                </w:tcPr>
                <w:p w14:paraId="072AD31F" w14:textId="77777777" w:rsidR="00B23F52" w:rsidRDefault="00000000">
                  <w:pPr>
                    <w:framePr w:hSpace="180" w:wrap="around" w:vAnchor="page" w:hAnchor="margin" w:xAlign="center" w:y="3301"/>
                    <w:bidi w:val="0"/>
                    <w:jc w:val="left"/>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 public video id only. The only outbound flow.</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pPr>
                  <w:r>
                    <w:rPr>
                      <w:sz w:val="16"/>
                    </w:rPr>
                    <w:t>6514</w:t>
                  </w:r>
                </w:p>
              </w:tc>
              <w:tc>
                <w:tcPr>
                  <w:tcW w:w="1224" w:type="dxa"/>
                </w:tcPr>
                <w:p w14:paraId="56568857" w14:textId="77777777" w:rsidR="00B23F52" w:rsidRDefault="00000000">
                  <w:pPr>
                    <w:framePr w:hSpace="180" w:wrap="around" w:vAnchor="page" w:hAnchor="margin" w:xAlign="center" w:y="3301"/>
                    <w:bidi w:val="0"/>
                    <w:jc w:val="left"/>
                  </w:pPr>
                  <w:r>
                    <w:rPr>
                      <w:sz w:val="16"/>
                    </w:rPr>
                    <w:t>Outbound</w:t>
                  </w:r>
                </w:p>
              </w:tc>
              <w:tc>
                <w:tcPr>
                  <w:tcW w:w="2232" w:type="dxa"/>
                </w:tcPr>
                <w:p w14:paraId="50B9539C" w14:textId="77777777" w:rsidR="00B23F52" w:rsidRDefault="00000000">
                  <w:pPr>
                    <w:framePr w:hSpace="180" w:wrap="around" w:vAnchor="page" w:hAnchor="margin" w:xAlign="center" w:y="3301"/>
                    <w:bidi w:val="0"/>
                    <w:jc w:val="left"/>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of any kind is sent to a cloud artificial-intelligence service; what may be sent is session content to summarise and question text to filter, carrying no attendee identity.</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invitation link valid for exactly seven days. The invitee sets their own password when they use it, and the link is then consumed,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uses a witness configured with the site. Development and test use a single Standard-edition node.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7ABAF7AA"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71BC3867" w14:textId="77777777" w:rsidR="00B23F52" w:rsidRDefault="00000000">
            <w:pPr>
              <w:bidi w:val="0"/>
              <w:spacing w:after="80"/>
              <w:ind w:left="360"/>
              <w:jc w:val="left"/>
            </w:pPr>
            <w:r>
              <w:rPr>
                <w:sz w:val="24"/>
              </w:rPr>
              <w:t>•  Health checks continuously monitor node health and route traffic only to operational nodes.</w:t>
            </w:r>
          </w:p>
          <w:p w14:paraId="5CCCCD2A"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7E7A6F0" w14:textId="77777777" w:rsidR="00B23F52" w:rsidRDefault="00000000">
            <w:pPr>
              <w:bidi w:val="0"/>
              <w:spacing w:after="80"/>
              <w:ind w:left="360"/>
              <w:jc w:val="left"/>
            </w:pPr>
            <w:r>
              <w:rPr>
                <w:sz w:val="24"/>
              </w:rPr>
              <w:t>•  Scalability: additional nodes can be added without affecting existing operations.</w:t>
            </w:r>
          </w:p>
          <w:p w14:paraId="4CFC277E"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Enterprise Availability Group scales the read-heavy load on its readable secondary as well as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lastRenderedPageBreak/>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 xml:space="preserve">Mitigation Strategies: </w:t>
            </w:r>
            <w:r>
              <w:rPr>
                <w:sz w:val="24"/>
              </w:rPr>
              <w:t>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a stateless API tier for horizontal scale-out; client polling on a bounded interval for live data, with no server-push transport in this build; indexed, projected and server-paged queries; asynchronous e-mail dispatch; and application-layer caching. Load-test to peak shapes in staging and monitor via dashboards, scaling on usage thresholds.</w:t>
            </w:r>
            <w:r>
              <w:rPr>
                <w:sz w:val="24"/>
              </w:rPr>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permitted outbound destination is the YouTube caption host and the only permitted source is the Control Panel.</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 The only outbound route in the estate belongs to the Control Panel, for the YouTube caption import.</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18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Provided. Figure 2 for components and interaction, Figure 3 for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AI provider today.</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No AI egress exists today. Any egress is via the egress point and edge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