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no change to the agreed scope.</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and accessibility capabilities, all built and delivered: subtitle generation from the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AI comment moderation, live translation and captions, the sign-language feed during live sessions,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stores video links only and holds no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live translation or captions;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via the website and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Access to every page and endpoint requires a permission; the only anonymous functions are sign-in, sign-up and password reset.</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may optionally notify users in the vicinity of the venue about live or upcoming sessions. This is an optional feature and is not a mandatory requirement.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four channels (in-app, email, SMS and WhatsApp) through one notification abstraction.</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SMS and WhatsApp gateways behind the notification abstraction.</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integrate a map service for the interactive venue map.</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 the website, Control Panel and app are its only clients.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endpoint and screen shall require a permission. Only sign-in, sign-up and password reset are anonymous.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expected event load, sized at roughly one new registered user every 30 seconds at peak, and shall pass a realistic load test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including sign-language and live-caption support.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with MudBlazor,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in SSA.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  The WhatsApp provider is deferred and reached through an abstraction. The AI model is GPT OSS 120B, hosted by SITE on an on-site LLM server, and the live-broadcast platform is YouTube. The model needs no network exception because it runs on site; the caption import does.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