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166 authored files)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(RSNF).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all on site in the HSA zone: an SMTP mail relay, a Syslog and SIEM collector,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five network zones with a firewall at each boundary.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five zones, with a firewall at each boundary,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(public website + Control Panel), Backend API, Database.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(decision O-3),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made from the Control Panel, depends on an approved outbound firewall exception. Until it is granted an administrator pastes or uploads the transcript. The AI runs on site and needs no external access.</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MudBlazor,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matching section 2.1 and Figure 1. Production: four API hosts, two web hosts, two Control Panel hosts and two database hosts, all Windows Server 2022 with Server and DR. Application hosts are 32 GB RAM, 16 vCPU and 300 GB storage. Database hosts are 64 GB RAM, 8 vCPU and 2 TB storage. The mobile edge, the LLM server, the mail relay and the MinIO host are sized with the site.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three access channels, the mobile app, the public website and the Control Panel, which share one backend API and two databases. It has two kinds of user: application users, grouped dynamically, and administrators, governed by role-based access control.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 and comments.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and the public website to register, receive a digital badge, browse the programme, reserve seats, watch live sessions, ask questions, network and rate the event.</w:t>
            </w:r>
          </w:p>
          <w:p w14:paraId="18196080" w14:textId="77777777" w:rsidR="00B23F52" w:rsidRDefault="00000000">
            <w:pPr>
              <w:bidi w:val="0"/>
              <w:spacing w:after="80"/>
              <w:ind w:left="360"/>
              <w:jc w:val="left"/>
            </w:pPr>
            <w:r>
              <w:rPr>
                <w:sz w:val="24"/>
              </w:rPr>
              <w:t>•  Anonymous public, use the website to read public content (home, programme, visit information). The website carries no registration; visitors register in the mobile app.</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(the administrator is the "Backend user" in the SITE reference topology of section 2.1).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This is the only outbound call SIMF makes. Without the firewall exception an administrator pastes or uploads the transcript instead.</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five network zones, with a firewall at each boundary. SSA holds the access, perimeter and presentation zones and is the only area with internet access. HSA holds the application and data zones and carries internal traffic only.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or NAFATH dependency.</w:t>
            </w:r>
          </w:p>
          <w:p w14:paraId="64BACB87" w14:textId="77777777" w:rsidR="00B23F52" w:rsidRDefault="00000000">
            <w:pPr>
              <w:bidi w:val="0"/>
              <w:spacing w:after="80"/>
              <w:jc w:val="left"/>
            </w:pPr>
            <w:r>
              <w:rPr>
                <w:b/>
                <w:sz w:val="24"/>
              </w:rPr>
              <w:t>SSA zone. A web application firewall and load balancer terminates TLS, filters traffic against the OWASP rule set and balances requests across healthy nodes. The presentation tier sits here and nothing else: the website (SIMF.Web, two nodes), the Control Panel (SIMF.ControlPanel, two nodes with session affinity) and the mobile edge (SIMF.MobileEdge). All three reach data only through the API, over HTTPS 443 across the internal firewall. The Control Panel makes the single outbound call to YouTube.</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up to two readable secondaries reached through a listener that sends writes to the primary and read-only queries to a secondary;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 xml:space="preserve">Transport. </w:t>
            </w:r>
            <w:r>
              <w:rPr>
                <w:sz w:val="24"/>
              </w:rPr>
              <w:t>Every connection uses HTTPS with TLS 1.2 or higher. TLS terminates at the load balancer and is re-encrypted to the backend.</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edge</w:t>
                  </w:r>
                </w:p>
              </w:tc>
              <w:tc>
                <w:tcPr>
                  <w:tcW w:w="1368" w:type="dxa"/>
                </w:tcPr>
                <w:p w14:paraId="31C07F7D" w14:textId="77777777" w:rsidR="00B23F52" w:rsidRDefault="00000000">
                  <w:pPr>
                    <w:framePr w:hSpace="180" w:wrap="around" w:vAnchor="page" w:hAnchor="margin" w:xAlign="center" w:y="3301"/>
                    <w:bidi w:val="0"/>
                    <w:jc w:val="left"/>
                  </w:pPr>
                  <w:r>
                    <w:rPr>
                      <w:sz w:val="16"/>
                    </w:rPr>
                    <w:t>2 (active/standby)</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 pair</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web-application-firewall, layer-7 load balancing, WebSocket-aware, health probes; tuned for tens of thousands of long-lived connections.</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API tier, SIMF.Api</w:t>
                  </w:r>
                </w:p>
              </w:tc>
              <w:tc>
                <w:tcPr>
                  <w:tcW w:w="1008" w:type="dxa"/>
                </w:tcPr>
                <w:p w14:paraId="0D506945" w14:textId="77777777" w:rsidR="00B23F52" w:rsidRDefault="00000000">
                  <w:pPr>
                    <w:framePr w:hSpace="180" w:wrap="around" w:vAnchor="page" w:hAnchor="margin" w:xAlign="center" w:y="3301"/>
                    <w:bidi w:val="0"/>
                    <w:jc w:val="left"/>
                  </w:pPr>
                  <w:r>
                    <w:rPr>
                      <w:sz w:val="16"/>
                    </w:rPr>
                    <w:t>SSA</w:t>
                  </w:r>
                </w:p>
              </w:tc>
              <w:tc>
                <w:tcPr>
                  <w:tcW w:w="1368" w:type="dxa"/>
                </w:tcPr>
                <w:p w14:paraId="60E32367" w14:textId="77777777" w:rsidR="00B23F52" w:rsidRDefault="00000000">
                  <w:pPr>
                    <w:framePr w:hSpace="180" w:wrap="around" w:vAnchor="page" w:hAnchor="margin" w:xAlign="center" w:y="3301"/>
                    <w:bidi w:val="0"/>
                    <w:jc w:val="left"/>
                  </w:pPr>
                  <w:r>
                    <w:rPr>
                      <w:sz w:val="16"/>
                    </w:rPr>
                    <w:t>4 (N+1)</w:t>
                  </w:r>
                </w:p>
              </w:tc>
              <w:tc>
                <w:tcPr>
                  <w:tcW w:w="1944" w:type="dxa"/>
                </w:tcPr>
                <w:p w14:paraId="04D20E1F" w14:textId="77777777" w:rsidR="00B23F52" w:rsidRDefault="00000000">
                  <w:pPr>
                    <w:framePr w:hSpace="180" w:wrap="around" w:vAnchor="page" w:hAnchor="margin" w:xAlign="center" w:y="3301"/>
                    <w:bidi w:val="0"/>
                    <w:jc w:val="left"/>
                  </w:pPr>
                  <w:r>
                    <w:rPr>
                      <w:sz w:val="16"/>
                    </w:rPr>
                    <w:t>8 vCPU / 32 GB, Windows Server 2022</w:t>
                  </w:r>
                </w:p>
              </w:tc>
              <w:tc>
                <w:tcPr>
                  <w:tcW w:w="2664" w:type="dxa"/>
                </w:tcPr>
                <w:p w14:paraId="09747DBA" w14:textId="77777777" w:rsidR="00B23F52" w:rsidRDefault="00000000">
                  <w:pPr>
                    <w:framePr w:hSpace="180" w:wrap="around" w:vAnchor="page" w:hAnchor="margin" w:xAlign="center" w:y="3301"/>
                    <w:bidi w:val="0"/>
                    <w:jc w:val="left"/>
                  </w:pPr>
                  <w:r>
                    <w:rPr>
                      <w:sz w:val="16"/>
                    </w:rPr>
                    <w:t>Stateless REST + SignalR. about 10,000 WebSocket connections/node, about a 40k ceiling; PBKDF2 auth is CPU-bound; per-node in-memory cache (section A.1).</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w:t>
                  </w:r>
                </w:p>
              </w:tc>
              <w:tc>
                <w:tcPr>
                  <w:tcW w:w="1368" w:type="dxa"/>
                </w:tcPr>
                <w:p w14:paraId="4CB903CC" w14:textId="77777777" w:rsidR="00B23F52" w:rsidRDefault="00000000">
                  <w:pPr>
                    <w:framePr w:hSpace="180" w:wrap="around" w:vAnchor="page" w:hAnchor="margin" w:xAlign="center" w:y="3301"/>
                    <w:bidi w:val="0"/>
                    <w:jc w:val="left"/>
                  </w:pPr>
                  <w:r>
                    <w:rPr>
                      <w:sz w:val="16"/>
                    </w:rPr>
                    <w:t>2 (N+1)</w:t>
                  </w:r>
                </w:p>
              </w:tc>
              <w:tc>
                <w:tcPr>
                  <w:tcW w:w="1944" w:type="dxa"/>
                </w:tcPr>
                <w:p w14:paraId="70D38B43" w14:textId="77777777" w:rsidR="00B23F52" w:rsidRDefault="00000000">
                  <w:pPr>
                    <w:framePr w:hSpace="180" w:wrap="around" w:vAnchor="page" w:hAnchor="margin" w:xAlign="center" w:y="3301"/>
                    <w:bidi w:val="0"/>
                    <w:jc w:val="left"/>
                  </w:pPr>
                  <w:r>
                    <w:rPr>
                      <w:sz w:val="16"/>
                    </w:rPr>
                    <w:t>4 vCPU / 16 GB</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 served from cache; session affinity at the LB.</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w:t>
                  </w:r>
                </w:p>
              </w:tc>
              <w:tc>
                <w:tcPr>
                  <w:tcW w:w="1368" w:type="dxa"/>
                </w:tcPr>
                <w:p w14:paraId="2F6A60AE" w14:textId="77777777" w:rsidR="00B23F52" w:rsidRDefault="00000000">
                  <w:pPr>
                    <w:framePr w:hSpace="180" w:wrap="around" w:vAnchor="page" w:hAnchor="margin" w:xAlign="center" w:y="3301"/>
                    <w:bidi w:val="0"/>
                    <w:jc w:val="left"/>
                  </w:pPr>
                  <w:r>
                    <w:rPr>
                      <w:sz w:val="16"/>
                    </w:rPr>
                    <w:t>2 (N+1)</w:t>
                  </w:r>
                </w:p>
              </w:tc>
              <w:tc>
                <w:tcPr>
                  <w:tcW w:w="1944" w:type="dxa"/>
                </w:tcPr>
                <w:p w14:paraId="1F0BBAB2" w14:textId="77777777" w:rsidR="00B23F52" w:rsidRDefault="00000000">
                  <w:pPr>
                    <w:framePr w:hSpace="180" w:wrap="around" w:vAnchor="page" w:hAnchor="margin" w:xAlign="center" w:y="3301"/>
                    <w:bidi w:val="0"/>
                    <w:jc w:val="left"/>
                  </w:pPr>
                  <w:r>
                    <w:rPr>
                      <w:sz w:val="16"/>
                    </w:rPr>
                    <w:t>4 vCPU / 16 GB</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operator-scale; sticky SignalR circuits; HA for availability, not for load.</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Background worker (scheduled jobs)</w:t>
                  </w:r>
                </w:p>
              </w:tc>
              <w:tc>
                <w:tcPr>
                  <w:tcW w:w="1008" w:type="dxa"/>
                </w:tcPr>
                <w:p w14:paraId="40A8D3E8" w14:textId="77777777" w:rsidR="00B23F52" w:rsidRDefault="00000000">
                  <w:pPr>
                    <w:framePr w:hSpace="180" w:wrap="around" w:vAnchor="page" w:hAnchor="margin" w:xAlign="center" w:y="3301"/>
                    <w:bidi w:val="0"/>
                    <w:jc w:val="left"/>
                  </w:pPr>
                  <w:r>
                    <w:rPr>
                      <w:sz w:val="16"/>
                    </w:rPr>
                    <w:t>SSA</w:t>
                  </w:r>
                </w:p>
              </w:tc>
              <w:tc>
                <w:tcPr>
                  <w:tcW w:w="1368" w:type="dxa"/>
                </w:tcPr>
                <w:p w14:paraId="27D64DF7" w14:textId="77777777" w:rsidR="00B23F52" w:rsidRDefault="00000000">
                  <w:pPr>
                    <w:framePr w:hSpace="180" w:wrap="around" w:vAnchor="page" w:hAnchor="margin" w:xAlign="center" w:y="3301"/>
                    <w:bidi w:val="0"/>
                    <w:jc w:val="left"/>
                  </w:pPr>
                  <w:r>
                    <w:rPr>
                      <w:sz w:val="16"/>
                    </w:rPr>
                    <w:t>1 pinned + 1 standby</w:t>
                  </w:r>
                </w:p>
              </w:tc>
              <w:tc>
                <w:tcPr>
                  <w:tcW w:w="1944" w:type="dxa"/>
                </w:tcPr>
                <w:p w14:paraId="6379B8AC" w14:textId="77777777" w:rsidR="00B23F52" w:rsidRDefault="00000000">
                  <w:pPr>
                    <w:framePr w:hSpace="180" w:wrap="around" w:vAnchor="page" w:hAnchor="margin" w:xAlign="center" w:y="3301"/>
                    <w:bidi w:val="0"/>
                    <w:jc w:val="left"/>
                  </w:pPr>
                  <w:r>
                    <w:rPr>
                      <w:sz w:val="16"/>
                    </w:rPr>
                    <w:t>2 vCPU / 8 GB</w:t>
                  </w:r>
                </w:p>
              </w:tc>
              <w:tc>
                <w:tcPr>
                  <w:tcW w:w="2664" w:type="dxa"/>
                </w:tcPr>
                <w:p w14:paraId="4FAE8450" w14:textId="77777777" w:rsidR="00B23F52" w:rsidRDefault="00000000">
                  <w:pPr>
                    <w:framePr w:hSpace="180" w:wrap="around" w:vAnchor="page" w:hAnchor="margin" w:xAlign="center" w:y="3301"/>
                    <w:bidi w:val="0"/>
                    <w:jc w:val="left"/>
                  </w:pPr>
                  <w:r>
                    <w:rPr>
                      <w:sz w:val="16"/>
                    </w:rPr>
                    <w:t>One pinned instance runs the timer jobs (reminders, seat-hold expiry, rating prompts, daily NCA sweeps) and the e-mail queue drain (section A.2); today in-process in the API host, planned as a dedicated Windows Service. Live health is on the Control Panel and the /health check.</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2B18DBD" w14:textId="77777777" w:rsidR="00B23F52" w:rsidRDefault="00000000">
                  <w:pPr>
                    <w:framePr w:hSpace="180" w:wrap="around" w:vAnchor="page" w:hAnchor="margin" w:xAlign="center" w:y="3301"/>
                    <w:bidi w:val="0"/>
                    <w:jc w:val="left"/>
                  </w:pPr>
                  <w:r>
                    <w:rPr>
                      <w:sz w:val="16"/>
                    </w:rPr>
                    <w:t>HSA</w:t>
                  </w:r>
                </w:p>
              </w:tc>
              <w:tc>
                <w:tcPr>
                  <w:tcW w:w="1368" w:type="dxa"/>
                </w:tcPr>
                <w:p w14:paraId="00976A60" w14:textId="77777777" w:rsidR="00B23F52" w:rsidRDefault="00000000">
                  <w:pPr>
                    <w:framePr w:hSpace="180" w:wrap="around" w:vAnchor="page" w:hAnchor="margin" w:xAlign="center" w:y="3301"/>
                    <w:bidi w:val="0"/>
                    <w:jc w:val="left"/>
                  </w:pPr>
                  <w:r>
                    <w:rPr>
                      <w:sz w:val="16"/>
                    </w:rPr>
                    <w:t>2-3 (AlwaysOn AG)</w:t>
                  </w:r>
                </w:p>
              </w:tc>
              <w:tc>
                <w:tcPr>
                  <w:tcW w:w="1944" w:type="dxa"/>
                </w:tcPr>
                <w:p w14:paraId="4BD888C4" w14:textId="77777777" w:rsidR="00B23F52" w:rsidRDefault="00000000">
                  <w:pPr>
                    <w:framePr w:hSpace="180" w:wrap="around" w:vAnchor="page" w:hAnchor="margin" w:xAlign="center" w:y="3301"/>
                    <w:bidi w:val="0"/>
                    <w:jc w:val="left"/>
                  </w:pPr>
                  <w:r>
                    <w:rPr>
                      <w:sz w:val="16"/>
                    </w:rPr>
                    <w:t>16 vCPU / 128 GB, NVMe (data/log/tempdb split)</w:t>
                  </w:r>
                </w:p>
              </w:tc>
              <w:tc>
                <w:tcPr>
                  <w:tcW w:w="2664" w:type="dxa"/>
                </w:tcPr>
                <w:p w14:paraId="4D03A145" w14:textId="77777777" w:rsidR="00B23F52" w:rsidRDefault="00000000">
                  <w:pPr>
                    <w:framePr w:hSpace="180" w:wrap="around" w:vAnchor="page" w:hAnchor="margin" w:xAlign="center" w:y="3301"/>
                    <w:bidi w:val="0"/>
                    <w:jc w:val="left"/>
                  </w:pPr>
                  <w:r>
                    <w:rPr>
                      <w:sz w:val="16"/>
                    </w:rPr>
                    <w:t>AlwaysOn AG: primary (read-write) + one or two readable secondaries (read-scale); synchronous commit + automatic failover; SignalR SQL backplane; WSFC + file-share witness.</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Shared encrypted file store</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clustered / SMB share</w:t>
                  </w:r>
                </w:p>
              </w:tc>
              <w:tc>
                <w:tcPr>
                  <w:tcW w:w="1944" w:type="dxa"/>
                </w:tcPr>
                <w:p w14:paraId="63C9A05D" w14:textId="77777777" w:rsidR="00B23F52" w:rsidRDefault="00000000">
                  <w:pPr>
                    <w:framePr w:hSpace="180" w:wrap="around" w:vAnchor="page" w:hAnchor="margin" w:xAlign="center" w:y="3301"/>
                    <w:bidi w:val="0"/>
                    <w:jc w:val="left"/>
                  </w:pPr>
                  <w:r>
                    <w:rPr>
                      <w:sz w:val="16"/>
                    </w:rPr>
                    <w:t>shared storage</w:t>
                  </w:r>
                </w:p>
              </w:tc>
              <w:tc>
                <w:tcPr>
                  <w:tcW w:w="2664" w:type="dxa"/>
                </w:tcPr>
                <w:p w14:paraId="4919EF78" w14:textId="77777777" w:rsidR="00B23F52" w:rsidRDefault="00000000">
                  <w:pPr>
                    <w:framePr w:hSpace="180" w:wrap="around" w:vAnchor="page" w:hAnchor="margin" w:xAlign="center" w:y="3301"/>
                    <w:bidi w:val="0"/>
                    <w:jc w:val="left"/>
                  </w:pPr>
                  <w:r>
                    <w:rPr>
                      <w:sz w:val="16"/>
                    </w:rPr>
                    <w:t>StoredFile bytes incl. PII identity documents; AES-256 envelope encryption at rest (per-file DEK, KEK from environment).</w:t>
                  </w:r>
                </w:p>
              </w:tc>
            </w:tr>
          </w:tbl>
          <w:p w14:paraId="647C5EF8" w14:textId="77777777" w:rsidR="00B23F52" w:rsidRDefault="00B23F52"/>
          <w:p w14:paraId="12543B8C" w14:textId="77777777" w:rsidR="00B23F52" w:rsidRDefault="00000000">
            <w:pPr>
              <w:bidi w:val="0"/>
              <w:spacing w:after="80"/>
              <w:ind w:left="360"/>
              <w:jc w:val="left"/>
            </w:pPr>
            <w:r>
              <w:rPr>
                <w:sz w:val="24"/>
              </w:rPr>
              <w:lastRenderedPageBreak/>
              <w:t>•  The workload is read-heavy and cacheable. Reads are served by the readable secondary replicas and a per-node in-memory cache; the primary handles writes and cache misses.</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and per-dependency circuit breakers return a clean 429 or 503 rather than failing.</w:t>
            </w:r>
          </w:p>
          <w:p w14:paraId="7C106159" w14:textId="77777777" w:rsidR="00B23F52" w:rsidRDefault="00000000">
            <w:pPr>
              <w:bidi w:val="0"/>
              <w:spacing w:after="80"/>
              <w:ind w:left="360"/>
              <w:jc w:val="left"/>
            </w:pPr>
            <w:r>
              <w:rPr>
                <w:sz w:val="24"/>
              </w:rPr>
              <w:t>•  Development and test environments run a single SQL Server Standard node; the Enterprise Availability Group is the production topology.</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01D4F541" w14:textId="77777777" w:rsidR="00B23F52" w:rsidRDefault="00000000">
            <w:pPr>
              <w:bidi w:val="0"/>
              <w:spacing w:after="80"/>
              <w:ind w:left="360"/>
              <w:jc w:val="left"/>
            </w:pPr>
            <w:r>
              <w:rPr>
                <w:sz w:val="24"/>
              </w:rPr>
              <w:t>•  A stateless API tier, so the platform scales out by adding nodes.</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load balancer carries no AI traffic of any kind. Its role is limited to terminating client TLS, filtering against the OWASP rule set and distributing client requests across the application tiers.</w:t>
            </w:r>
          </w:p>
          <w:p w14:paraId="1FEA89F0" w14:textId="77777777" w:rsidR="00B23F52" w:rsidRDefault="00000000">
            <w:pPr>
              <w:bidi w:val="0"/>
              <w:spacing w:after="80"/>
              <w:jc w:val="left"/>
            </w:pPr>
            <w:r>
              <w:rPr>
                <w:sz w:val="24"/>
              </w:rPr>
              <w:t>Figure 1 states this on the drawing itself. The single AI path is specified in section 2.4 under "API to the AI endpoint": SIMF.Api is the only caller and the load balancer carries no AI traffic.</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attendee mobile device, public website browser, administrator browser, and YouTube. No SIMF server is hosted here.</w:t>
            </w:r>
          </w:p>
          <w:p w14:paraId="1FEA89F0" w14:textId="77777777" w:rsidR="00B23F52" w:rsidRDefault="00000000">
            <w:pPr>
              <w:bidi w:val="0"/>
              <w:spacing w:after="80"/>
              <w:jc w:val="left"/>
            </w:pPr>
            <w:r>
              <w:rPr>
                <w:sz w:val="24"/>
              </w:rPr>
              <w:t>SSA zone: the WAF and load balancer, the mobile edge, two web hosts and two Control Panel hosts.</w:t>
            </w:r>
          </w:p>
          <w:p w14:paraId="1FEA89F0" w14:textId="77777777" w:rsidR="00B23F52" w:rsidRDefault="00000000">
            <w:pPr>
              <w:bidi w:val="0"/>
              <w:spacing w:after="80"/>
              <w:jc w:val="left"/>
            </w:pPr>
            <w:r>
              <w:rPr>
                <w:sz w:val="24"/>
              </w:rPr>
              <w:t>HSA zone: the API load balancer, four API hosts, the on-site LLM server running GPT OSS 120B, the on-site mail relay, two database hosts and the MinIO object store.</w:t>
            </w:r>
          </w:p>
          <w:p w14:paraId="1FEA89F0" w14:textId="77777777" w:rsidR="00B23F52" w:rsidRDefault="00000000">
            <w:pPr>
              <w:bidi w:val="0"/>
              <w:spacing w:after="80"/>
              <w:jc w:val="left"/>
            </w:pPr>
            <w:r>
              <w:rPr>
                <w:sz w:val="24"/>
              </w:rPr>
              <w:t>The Communication Requirements Matrix in section 2.8 matches Figure 1 row for row.</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MudBlazor), the administration application.</w:t>
            </w:r>
          </w:p>
          <w:p w14:paraId="5A7FF417" w14:textId="77777777" w:rsidR="00B23F52" w:rsidRDefault="00000000">
            <w:pPr>
              <w:bidi w:val="0"/>
              <w:spacing w:after="80"/>
              <w:ind w:left="360"/>
              <w:jc w:val="left"/>
            </w:pPr>
            <w:r>
              <w:rPr>
                <w:sz w:val="24"/>
              </w:rPr>
              <w:t>•  Public Website (Blazor SSR), static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an on-site desk tool used by staff to print and issue badges at the venue.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dormant-account sweep, registration-gate auto-close, session reminders, e-mail dispatch.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 xml:space="preserve">Visitor registration and approval: </w:t>
            </w:r>
            <w:r>
              <w:rPr>
                <w:sz w:val="24"/>
              </w:rPr>
              <w:t>the visitor signs up on the website or mobile app ,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before the session (a pre-question) or during it (gated on a hall-arrival record once the session is live); both run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an administrator publishes it after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007EB00A" w14:textId="77777777" w:rsidR="00B23F52" w:rsidRDefault="00000000">
            <w:pPr>
              <w:bidi w:val="0"/>
              <w:spacing w:after="80"/>
              <w:jc w:val="left"/>
            </w:pPr>
            <w:r>
              <w:rPr>
                <w:i/>
                <w:color w:val="444444"/>
                <w:sz w:val="22"/>
              </w:rPr>
              <w:t>These are the primary system workflows.</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the file store)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component and interaction view. Every component, and how each one communicates with the others. Answers technical review points 1 and 7.</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system and data flow. A data flow diagram in Gane and Sarson notation: a level 0 context view and a level 1 decomposition that balances with it. Answers technical review point 7.</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It calls the SITE-hosted GPT OSS 120B model over an OpenAI-compatible API on HTTPS 443, inside HSA, so no inference leaves the ministry network. Every invocation is logged and rate-limited per administrator.</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only and holds no video files; images are the only media uploaded into the file store. The public video library is published on the forum’s YouTube channel and surfaced in SIMF as links, so it needs no additional storage, encoding or bandwidth on ministry servers and does not change the hardware specification. It depends on the same approved firewall exception.</w:t>
            </w:r>
            <w:r>
              <w:rPr>
                <w:sz w:val="24"/>
              </w:rPr>
            </w:r>
          </w:p>
          <w:p w14:paraId="6B91F276" w14:textId="77777777" w:rsidR="00B23F52" w:rsidRDefault="00000000">
            <w:pPr>
              <w:bidi w:val="0"/>
              <w:spacing w:after="80"/>
              <w:jc w:val="left"/>
            </w:pPr>
            <w:r>
              <w:rPr>
                <w:i/>
                <w:color w:val="444444"/>
                <w:sz w:val="22"/>
              </w:rPr>
              <w:t>No inbound interface is exposed to any external entity.</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holds no media content.</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edge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complete field-level inventory of what each AI feature sends to the on-site GPT OSS 120B endpoint, which stays inside HSA.</w:t>
            </w:r>
          </w:p>
          <w:p w14:paraId="1FEA89F0" w14:textId="77777777" w:rsidR="00B23F52" w:rsidRDefault="00000000">
            <w:pPr>
              <w:bidi w:val="0"/>
              <w:spacing w:after="80"/>
              <w:jc w:val="left"/>
            </w:pPr>
            <w:r>
              <w:rPr>
                <w:sz w:val="24"/>
              </w:rPr>
              <w:t>Data sent to the AI endpoint once a provider is enabled,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once a provider is enabled</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entries</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context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Translation</w:t>
                  </w:r>
                </w:p>
              </w:tc>
              <w:tc>
                <w:tcPr>
                  <w:tcW w:type="dxa" w:w="3600"/>
                </w:tcPr>
                <w:p>
                  <w:pPr>
                    <w:bidi w:val="0"/>
                    <w:spacing w:before="20" w:after="20"/>
                    <w:jc w:val="left"/>
                  </w:pPr>
                  <w:r>
                    <w:rPr>
                      <w:rFonts w:ascii="Sakkal Majalla" w:hAnsi="Sakkal Majalla" w:cs="Sakkal Majalla"/>
                      <w:b w:val="0"/>
                      <w:sz w:val="18"/>
                    </w:rPr>
                    <w:t>the source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Live translation</w:t>
                  </w:r>
                </w:p>
              </w:tc>
              <w:tc>
                <w:tcPr>
                  <w:tcW w:type="dxa" w:w="3600"/>
                </w:tcPr>
                <w:p>
                  <w:pPr>
                    <w:bidi w:val="0"/>
                    <w:spacing w:before="20" w:after="20"/>
                    <w:jc w:val="left"/>
                  </w:pPr>
                  <w:r>
                    <w:rPr>
                      <w:rFonts w:ascii="Sakkal Majalla" w:hAnsi="Sakkal Majalla" w:cs="Sakkal Majalla"/>
                      <w:b w:val="0"/>
                      <w:sz w:val="18"/>
                    </w:rPr>
                    <w:t>the live caption line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Live sign language</w:t>
                  </w:r>
                </w:p>
              </w:tc>
              <w:tc>
                <w:tcPr>
                  <w:tcW w:type="dxa" w:w="3600"/>
                </w:tcPr>
                <w:p>
                  <w:pPr>
                    <w:bidi w:val="0"/>
                    <w:spacing w:before="20" w:after="20"/>
                    <w:jc w:val="left"/>
                  </w:pPr>
                  <w:r>
                    <w:rPr>
                      <w:rFonts w:ascii="Sakkal Majalla" w:hAnsi="Sakkal Majalla" w:cs="Sakkal Majalla"/>
                      <w:b w:val="0"/>
                      <w:sz w:val="18"/>
                    </w:rPr>
                    <w:t>the live caption line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the subtitle transcript in English and Arabic</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context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No provider is enabled in the delivered configuration, so none of these fields is sent anywhere today. The table states what each feature would send once the ministry enables a provider.</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 xml:space="preserve">UI Overview: </w:t>
            </w:r>
            <w:r>
              <w:rPr>
                <w:sz w:val="24"/>
              </w:rPr>
              <w:t>three front-ends share one design system and are fully bilingual (Arabic primary / RTL, English secondary / LTR).</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comments and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MudBlazor),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It has no sign-in, registration or account page and stores no personal data.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test-gated promotion: Development, Test, Staging and Production.</w:t>
            </w:r>
          </w:p>
          <w:p w14:paraId="65CD393E" w14:textId="77777777" w:rsidR="00B23F52" w:rsidRDefault="00000000">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attendees, administrators, and the single outbound external service (the YouTube caption API). No SIMF server runs here.</w:t>
            </w:r>
          </w:p>
          <w:p w14:paraId="4B97EF0B" w14:textId="77777777" w:rsidR="00B23F52" w:rsidRDefault="00000000">
            <w:pPr>
              <w:bidi w:val="0"/>
              <w:spacing w:after="80"/>
              <w:ind w:left="360"/>
              <w:jc w:val="left"/>
            </w:pPr>
            <w:r>
              <w:rPr>
                <w:sz w:val="24"/>
              </w:rPr>
              <w:t>•  SSA Zone, the WAF and load balancer, the website and Control Panel tiers, and the mobile edge.</w:t>
            </w:r>
          </w:p>
          <w:p w14:paraId="1EBA66C5" w14:textId="77777777" w:rsidR="00B23F52" w:rsidRDefault="00000000">
            <w:pPr>
              <w:bidi w:val="0"/>
              <w:spacing w:after="80"/>
              <w:ind w:left="360"/>
              <w:jc w:val="left"/>
            </w:pPr>
            <w:r>
              <w:rPr>
                <w:sz w:val="24"/>
              </w:rPr>
              <w:t>•  HSA Zone, the database Availability Group, the shared file store, and the backups, reached only from the application servers.</w:t>
            </w:r>
          </w:p>
          <w:p w14:paraId="70054B03" w14:textId="77777777" w:rsidR="00B23F52" w:rsidRDefault="00000000">
            <w:pPr>
              <w:bidi w:val="0"/>
              <w:spacing w:after="80"/>
              <w:ind w:left="360"/>
              <w:jc w:val="left"/>
            </w:pPr>
            <w:r>
              <w:rPr>
                <w:sz w:val="24"/>
              </w:rPr>
              <w:t>•  A firewall sits at each zone boundary.</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and remove the development trust-all setting from the mobile client.</w:t>
            </w:r>
          </w:p>
          <w:p w14:paraId="66A8B16E" w14:textId="77777777" w:rsidR="00B23F52" w:rsidRDefault="00000000">
            <w:pPr>
              <w:bidi w:val="0"/>
              <w:spacing w:after="80"/>
              <w:ind w:left="360"/>
              <w:jc w:val="left"/>
            </w:pPr>
            <w:r>
              <w:rPr>
                <w:sz w:val="24"/>
              </w:rPr>
              <w:t>•  Open outbound access from the Control Panel hosts to the YouTube caption hosts only. No other host and no other destination requires an outbound route.</w:t>
            </w:r>
          </w:p>
          <w:p w14:paraId="70ABBC20" w14:textId="77777777" w:rsidR="00B23F52" w:rsidRDefault="00000000">
            <w:pPr>
              <w:bidi w:val="0"/>
              <w:spacing w:after="80"/>
              <w:ind w:left="360"/>
              <w:jc w:val="left"/>
            </w:pPr>
            <w:r>
              <w:rPr>
                <w:sz w:val="24"/>
              </w:rPr>
              <w:t>•  Provision the shared file store and enable session affinity for the website and Control Panel tiers.</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14:paraId="46707624" w14:textId="77777777" w:rsidR="00B23F52" w:rsidRDefault="00000000">
            <w:pPr>
              <w:bidi w:val="0"/>
              <w:spacing w:after="80"/>
              <w:ind w:left="360"/>
              <w:jc w:val="left"/>
            </w:pPr>
            <w:r>
              <w:rPr>
                <w:sz w:val="24"/>
              </w:rPr>
              <w:t>•  The API runs its scheduled jobs in-process, so restarting them restarts the API application pool; the operations script exposes this as a Jobs target. There is no separate worker server.</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Both are internal and both are hosted in the SSA zone. They are internal services rather than deployed application tiers, so each is listed in the communication requirements matrix with its protocol and port rather than drawn as its own hosting server.</w:t>
            </w:r>
            <w:r>
              <w:rPr>
                <w:sz w:val="24"/>
              </w:rPr>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edge gateway; mail is queued and dispatched asynchronously.</w:t>
            </w:r>
          </w:p>
          <w:p w14:paraId="1FEA89F0" w14:textId="77777777" w:rsidR="00B23F52" w:rsidRDefault="00000000">
            <w:pPr>
              <w:bidi w:val="0"/>
              <w:spacing w:after="80"/>
              <w:jc w:val="left"/>
            </w:pPr>
            <w:r>
              <w:rPr>
                <w:sz w:val="24"/>
              </w:rPr>
              <w:t>Log collector and SIEM: hosted in the SSA zone and receiving syslog over TLS on TCP 6514 from the application hosts.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edge firewall or any Internet gateway.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in the system is the YouTube caption import, and its full path is: the Control Panel in SSA, under an FQDN allow-list that logs every request, then through the edge firewall and perimeter gateway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egress host and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load balancer, which routes public pages to SIMF.Web and app and API traffic to SIMF.Api. SIMF.Api authenticates and authorises the caller, runs the use case, and reads or writes the database over TCP 1433. Files are read and written through MinIO over the S3 API, e-mail is queued to the SMTP relay, AI inference is performed by the configured AI endpoint when one is enabled, and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up to two readable secondaries behind a listener, giving both automatic failover and read scale-out. Development and test use a single Standard-edition instance.</w:t>
            </w:r>
          </w:p>
          <w:p w14:paraId="6663F3B4" w14:textId="77777777" w:rsidR="00B23F52" w:rsidRDefault="00000000">
            <w:pPr>
              <w:bidi w:val="0"/>
              <w:spacing w:after="80"/>
              <w:ind w:left="360"/>
              <w:jc w:val="left"/>
            </w:pPr>
            <w:r>
              <w:rPr>
                <w:sz w:val="24"/>
              </w:rPr>
              <w:t>•  File storage: a shared file store for avatars, identity documents, photos, recordings, presentations and media, encrypted at rest. Database rows hold references,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 Database rows hold object keys, never blobs.</w:t>
            </w:r>
          </w:p>
          <w:p w14:paraId="1FEA89F0" w14:textId="77777777" w:rsidR="00B23F52" w:rsidRDefault="00000000">
            <w:pPr>
              <w:bidi w:val="0"/>
              <w:spacing w:after="80"/>
              <w:jc w:val="left"/>
            </w:pPr>
            <w:r>
              <w:rPr>
                <w:sz w:val="24"/>
              </w:rPr>
              <w:t>Content is classified into 18 service categories across 4 sensitivity tiers. The categories are: avatar, identity document, VIP photo, speaker photo, speaker presentation, session recording, news image, media-gallery image, media-partner logo, sponsor logo, exhibitor logo, booth logo, company logo, organisation logo, organisation hero video, programme-day image, banner and archive cover.</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The share is not reachable from any client, from the website or from the Control Panel.</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lastRenderedPageBreak/>
              <w:t>Communication Requirements Matrix</w:t>
            </w:r>
          </w:p>
          <w:p w14:paraId="2FA26FC8" w14:textId="77777777" w:rsidR="00B23F52" w:rsidRDefault="00000000">
            <w:pPr>
              <w:bidi w:val="0"/>
              <w:spacing w:after="80"/>
              <w:jc w:val="left"/>
            </w:pPr>
            <w:r>
              <w:rPr>
                <w:i/>
                <w:color w:val="444444"/>
                <w:sz w:val="22"/>
              </w:rPr>
              <w:t>The ports and protocols are the standard values for each flow. IP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API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pPr>
                  <w:r>
                    <w:rPr>
                      <w:sz w:val="16"/>
                    </w:rPr>
                    <w:t>443</w:t>
                  </w:r>
                </w:p>
              </w:tc>
              <w:tc>
                <w:tcPr>
                  <w:tcW w:w="1224" w:type="dxa"/>
                </w:tcPr>
                <w:p w14:paraId="08463177" w14:textId="77777777" w:rsidR="00B23F52" w:rsidRDefault="00000000">
                  <w:pPr>
                    <w:framePr w:hSpace="180" w:wrap="around" w:vAnchor="page" w:hAnchor="margin" w:xAlign="center" w:y="3301"/>
                    <w:bidi w:val="0"/>
                    <w:jc w:val="left"/>
                  </w:pPr>
                  <w:r>
                    <w:rPr>
                      <w:sz w:val="16"/>
                    </w:rPr>
                    <w:t>Inbound</w:t>
                  </w:r>
                </w:p>
              </w:tc>
              <w:tc>
                <w:tcPr>
                  <w:tcW w:w="2232" w:type="dxa"/>
                </w:tcPr>
                <w:p w14:paraId="07E44A8C" w14:textId="77777777" w:rsidR="00B23F52" w:rsidRDefault="00000000">
                  <w:pPr>
                    <w:framePr w:hSpace="180" w:wrap="around" w:vAnchor="page" w:hAnchor="margin" w:xAlign="center" w:y="3301"/>
                    <w:bidi w:val="0"/>
                    <w:jc w:val="left"/>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pPr>
                  <w:r>
                    <w:rPr>
                      <w:sz w:val="16"/>
                    </w:rPr>
                    <w:t>443</w:t>
                  </w:r>
                </w:p>
              </w:tc>
              <w:tc>
                <w:tcPr>
                  <w:tcW w:w="1224" w:type="dxa"/>
                </w:tcPr>
                <w:p w14:paraId="16B79FE9" w14:textId="77777777" w:rsidR="00B23F52" w:rsidRDefault="00000000">
                  <w:pPr>
                    <w:framePr w:hSpace="180" w:wrap="around" w:vAnchor="page" w:hAnchor="margin" w:xAlign="center" w:y="3301"/>
                    <w:bidi w:val="0"/>
                    <w:jc w:val="left"/>
                  </w:pPr>
                  <w:r>
                    <w:rPr>
                      <w:sz w:val="16"/>
                    </w:rPr>
                    <w:t>Inbound</w:t>
                  </w:r>
                </w:p>
              </w:tc>
              <w:tc>
                <w:tcPr>
                  <w:tcW w:w="2232" w:type="dxa"/>
                </w:tcPr>
                <w:p w14:paraId="1D7E6AB7" w14:textId="77777777" w:rsidR="00B23F52" w:rsidRDefault="00000000">
                  <w:pPr>
                    <w:framePr w:hSpace="180" w:wrap="around" w:vAnchor="page" w:hAnchor="margin" w:xAlign="center" w:y="3301"/>
                    <w:bidi w:val="0"/>
                    <w:jc w:val="left"/>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pPr>
                  <w:r>
                    <w:rPr>
                      <w:sz w:val="16"/>
                    </w:rPr>
                    <w:t>SIMF.Web</w:t>
                  </w:r>
                </w:p>
              </w:tc>
              <w:tc>
                <w:tcPr>
                  <w:tcW w:w="1224" w:type="dxa"/>
                </w:tcPr>
                <w:p w14:paraId="7960C13C" w14:textId="77777777" w:rsidR="00B23F52" w:rsidRDefault="00000000">
                  <w:pPr>
                    <w:framePr w:hSpace="180" w:wrap="around" w:vAnchor="page" w:hAnchor="margin" w:xAlign="center" w:y="3301"/>
                    <w:bidi w:val="0"/>
                    <w:jc w:val="left"/>
                  </w:pPr>
                  <w:r>
                    <w:rPr>
                      <w:sz w:val="16"/>
                    </w:rPr>
                    <w:t>HTTPS</w:t>
                  </w:r>
                </w:p>
              </w:tc>
              <w:tc>
                <w:tcPr>
                  <w:tcW w:w="648" w:type="dxa"/>
                </w:tcPr>
                <w:p w14:paraId="0FE2245E" w14:textId="77777777" w:rsidR="00B23F52" w:rsidRDefault="00000000">
                  <w:pPr>
                    <w:framePr w:hSpace="180" w:wrap="around" w:vAnchor="page" w:hAnchor="margin" w:xAlign="center" w:y="3301"/>
                    <w:bidi w:val="0"/>
                    <w:jc w:val="left"/>
                  </w:pPr>
                  <w:r>
                    <w:rPr>
                      <w:sz w:val="16"/>
                    </w:rPr>
                    <w:t>443</w:t>
                  </w:r>
                </w:p>
              </w:tc>
              <w:tc>
                <w:tcPr>
                  <w:tcW w:w="1224" w:type="dxa"/>
                </w:tcPr>
                <w:p w14:paraId="7199F081" w14:textId="77777777" w:rsidR="00B23F52" w:rsidRDefault="00000000">
                  <w:pPr>
                    <w:framePr w:hSpace="180" w:wrap="around" w:vAnchor="page" w:hAnchor="margin" w:xAlign="center" w:y="3301"/>
                    <w:bidi w:val="0"/>
                    <w:jc w:val="left"/>
                  </w:pPr>
                  <w:r>
                    <w:rPr>
                      <w:sz w:val="16"/>
                    </w:rPr>
                    <w:t>Internal</w:t>
                  </w:r>
                </w:p>
              </w:tc>
              <w:tc>
                <w:tcPr>
                  <w:tcW w:w="2232" w:type="dxa"/>
                </w:tcPr>
                <w:p w14:paraId="39AC7435" w14:textId="77777777" w:rsidR="00B23F52" w:rsidRDefault="00000000">
                  <w:pPr>
                    <w:framePr w:hSpace="180" w:wrap="around" w:vAnchor="page" w:hAnchor="margin" w:xAlign="center" w:y="3301"/>
                    <w:bidi w:val="0"/>
                    <w:jc w:val="left"/>
                  </w:pPr>
                  <w:r>
                    <w:rPr>
                      <w:sz w:val="16"/>
                    </w:rPr>
                    <w:t>Public website rendering (session affinity)</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pPr>
                  <w:r>
                    <w:rPr>
                      <w:sz w:val="16"/>
                    </w:rPr>
                    <w:t>SIMF.Api</w:t>
                  </w:r>
                </w:p>
              </w:tc>
              <w:tc>
                <w:tcPr>
                  <w:tcW w:w="1224" w:type="dxa"/>
                </w:tcPr>
                <w:p w14:paraId="15921EF6" w14:textId="77777777" w:rsidR="00B23F52" w:rsidRDefault="00000000">
                  <w:pPr>
                    <w:framePr w:hSpace="180" w:wrap="around" w:vAnchor="page" w:hAnchor="margin" w:xAlign="center" w:y="3301"/>
                    <w:bidi w:val="0"/>
                    <w:jc w:val="left"/>
                  </w:pPr>
                  <w:r>
                    <w:rPr>
                      <w:sz w:val="16"/>
                    </w:rPr>
                    <w:t>HTTPS</w:t>
                  </w:r>
                </w:p>
              </w:tc>
              <w:tc>
                <w:tcPr>
                  <w:tcW w:w="648" w:type="dxa"/>
                </w:tcPr>
                <w:p w14:paraId="21BA8289" w14:textId="77777777" w:rsidR="00B23F52" w:rsidRDefault="00000000">
                  <w:pPr>
                    <w:framePr w:hSpace="180" w:wrap="around" w:vAnchor="page" w:hAnchor="margin" w:xAlign="center" w:y="3301"/>
                    <w:bidi w:val="0"/>
                    <w:jc w:val="left"/>
                  </w:pPr>
                  <w:r>
                    <w:rPr>
                      <w:sz w:val="16"/>
                    </w:rPr>
                    <w:t>443</w:t>
                  </w:r>
                </w:p>
              </w:tc>
              <w:tc>
                <w:tcPr>
                  <w:tcW w:w="1224" w:type="dxa"/>
                </w:tcPr>
                <w:p w14:paraId="0B2E79F8" w14:textId="77777777" w:rsidR="00B23F52" w:rsidRDefault="00000000">
                  <w:pPr>
                    <w:framePr w:hSpace="180" w:wrap="around" w:vAnchor="page" w:hAnchor="margin" w:xAlign="center" w:y="3301"/>
                    <w:bidi w:val="0"/>
                    <w:jc w:val="left"/>
                  </w:pPr>
                  <w:r>
                    <w:rPr>
                      <w:sz w:val="16"/>
                    </w:rPr>
                    <w:t>Internal</w:t>
                  </w:r>
                </w:p>
              </w:tc>
              <w:tc>
                <w:tcPr>
                  <w:tcW w:w="2232" w:type="dxa"/>
                </w:tcPr>
                <w:p w14:paraId="1109DB6A" w14:textId="77777777" w:rsidR="00B23F52" w:rsidRDefault="00000000">
                  <w:pPr>
                    <w:framePr w:hSpace="180" w:wrap="around" w:vAnchor="page" w:hAnchor="margin" w:xAlign="center" w:y="3301"/>
                    <w:bidi w:val="0"/>
                    <w:jc w:val="left"/>
                  </w:pPr>
                  <w:r>
                    <w:rPr>
                      <w:sz w:val="16"/>
                    </w:rPr>
                    <w:t>API to the mobile app (stateless, round-robin)</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pPr>
                  <w:r>
                    <w:rPr>
                      <w:sz w:val="16"/>
                    </w:rPr>
                    <w:t>SIMF.Web / SIMF.ControlPanel</w:t>
                  </w:r>
                </w:p>
              </w:tc>
              <w:tc>
                <w:tcPr>
                  <w:tcW w:w="1944" w:type="dxa"/>
                </w:tcPr>
                <w:p w14:paraId="43636061" w14:textId="77777777" w:rsidR="00B23F52" w:rsidRDefault="00000000">
                  <w:pPr>
                    <w:framePr w:hSpace="180" w:wrap="around" w:vAnchor="page" w:hAnchor="margin" w:xAlign="center" w:y="3301"/>
                    <w:bidi w:val="0"/>
                    <w:jc w:val="left"/>
                  </w:pPr>
                  <w:r>
                    <w:rPr>
                      <w:sz w:val="16"/>
                    </w:rPr>
                    <w:t>SIMF.Api</w:t>
                  </w:r>
                </w:p>
              </w:tc>
              <w:tc>
                <w:tcPr>
                  <w:tcW w:w="1224" w:type="dxa"/>
                </w:tcPr>
                <w:p w14:paraId="56753B6F" w14:textId="77777777" w:rsidR="00B23F52" w:rsidRDefault="00000000">
                  <w:pPr>
                    <w:framePr w:hSpace="180" w:wrap="around" w:vAnchor="page" w:hAnchor="margin" w:xAlign="center" w:y="3301"/>
                    <w:bidi w:val="0"/>
                    <w:jc w:val="left"/>
                  </w:pPr>
                  <w:r>
                    <w:rPr>
                      <w:sz w:val="16"/>
                    </w:rPr>
                    <w:t>HTTPS</w:t>
                  </w:r>
                </w:p>
              </w:tc>
              <w:tc>
                <w:tcPr>
                  <w:tcW w:w="648" w:type="dxa"/>
                </w:tcPr>
                <w:p w14:paraId="6A75F520" w14:textId="77777777" w:rsidR="00B23F52" w:rsidRDefault="00000000">
                  <w:pPr>
                    <w:framePr w:hSpace="180" w:wrap="around" w:vAnchor="page" w:hAnchor="margin" w:xAlign="center" w:y="3301"/>
                    <w:bidi w:val="0"/>
                    <w:jc w:val="left"/>
                  </w:pPr>
                  <w:r>
                    <w:rPr>
                      <w:sz w:val="16"/>
                    </w:rPr>
                    <w:t>443</w:t>
                  </w:r>
                </w:p>
              </w:tc>
              <w:tc>
                <w:tcPr>
                  <w:tcW w:w="1224" w:type="dxa"/>
                </w:tcPr>
                <w:p w14:paraId="4A49CABB" w14:textId="77777777" w:rsidR="00B23F52" w:rsidRDefault="00000000">
                  <w:pPr>
                    <w:framePr w:hSpace="180" w:wrap="around" w:vAnchor="page" w:hAnchor="margin" w:xAlign="center" w:y="3301"/>
                    <w:bidi w:val="0"/>
                    <w:jc w:val="left"/>
                  </w:pPr>
                  <w:r>
                    <w:rPr>
                      <w:sz w:val="16"/>
                    </w:rPr>
                    <w:t>Internal</w:t>
                  </w:r>
                </w:p>
              </w:tc>
              <w:tc>
                <w:tcPr>
                  <w:tcW w:w="2232" w:type="dxa"/>
                </w:tcPr>
                <w:p w14:paraId="0BF33650" w14:textId="77777777" w:rsidR="00B23F52" w:rsidRDefault="00000000">
                  <w:pPr>
                    <w:framePr w:hSpace="180" w:wrap="around" w:vAnchor="page" w:hAnchor="margin" w:xAlign="center" w:y="3301"/>
                    <w:bidi w:val="0"/>
                    <w:jc w:val="left"/>
                  </w:pPr>
                  <w:r>
                    <w:rPr>
                      <w:sz w:val="16"/>
                    </w:rPr>
                    <w:t>Server-to-server typed API client</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pPr>
                  <w:r>
                    <w:rPr>
                      <w:sz w:val="16"/>
                    </w:rPr>
                    <w:t>SIMF.Api / worker host</w:t>
                  </w:r>
                </w:p>
              </w:tc>
              <w:tc>
                <w:tcPr>
                  <w:tcW w:w="1944" w:type="dxa"/>
                </w:tcPr>
                <w:p w14:paraId="22E64572"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7702F3E3" w14:textId="77777777" w:rsidR="00B23F52" w:rsidRDefault="00000000">
                  <w:pPr>
                    <w:framePr w:hSpace="180" w:wrap="around" w:vAnchor="page" w:hAnchor="margin" w:xAlign="center" w:y="3301"/>
                    <w:bidi w:val="0"/>
                    <w:jc w:val="left"/>
                  </w:pPr>
                  <w:r>
                    <w:rPr>
                      <w:sz w:val="16"/>
                    </w:rPr>
                    <w:t>TCP / TDS</w:t>
                  </w:r>
                </w:p>
              </w:tc>
              <w:tc>
                <w:tcPr>
                  <w:tcW w:w="648" w:type="dxa"/>
                </w:tcPr>
                <w:p w14:paraId="475344A0" w14:textId="77777777" w:rsidR="00B23F52" w:rsidRDefault="00000000">
                  <w:pPr>
                    <w:framePr w:hSpace="180" w:wrap="around" w:vAnchor="page" w:hAnchor="margin" w:xAlign="center" w:y="3301"/>
                    <w:bidi w:val="0"/>
                    <w:jc w:val="left"/>
                  </w:pPr>
                  <w:r>
                    <w:rPr>
                      <w:sz w:val="16"/>
                    </w:rPr>
                    <w:t>1433</w:t>
                  </w:r>
                </w:p>
              </w:tc>
              <w:tc>
                <w:tcPr>
                  <w:tcW w:w="1224" w:type="dxa"/>
                </w:tcPr>
                <w:p w14:paraId="607C7D06" w14:textId="77777777" w:rsidR="00B23F52" w:rsidRDefault="00000000">
                  <w:pPr>
                    <w:framePr w:hSpace="180" w:wrap="around" w:vAnchor="page" w:hAnchor="margin" w:xAlign="center" w:y="3301"/>
                    <w:bidi w:val="0"/>
                    <w:jc w:val="left"/>
                  </w:pPr>
                  <w:r>
                    <w:rPr>
                      <w:sz w:val="16"/>
                    </w:rPr>
                    <w:t>Internal</w:t>
                  </w:r>
                </w:p>
              </w:tc>
              <w:tc>
                <w:tcPr>
                  <w:tcW w:w="2232" w:type="dxa"/>
                </w:tcPr>
                <w:p w14:paraId="22D53349" w14:textId="77777777" w:rsidR="00B23F52" w:rsidRDefault="00000000">
                  <w:pPr>
                    <w:framePr w:hSpace="180" w:wrap="around" w:vAnchor="page" w:hAnchor="margin" w:xAlign="center" w:y="3301"/>
                    <w:bidi w:val="0"/>
                    <w:jc w:val="left"/>
                  </w:pPr>
                  <w:r>
                    <w:rPr>
                      <w:sz w:val="16"/>
                    </w:rPr>
                    <w:t>Data access (SIMF.Identity + SIMF.App)</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pPr>
                  <w:r>
                    <w:rPr>
                      <w:sz w:val="16"/>
                    </w:rPr>
                    <w:t>SQL replica to SQL replica</w:t>
                  </w:r>
                </w:p>
              </w:tc>
              <w:tc>
                <w:tcPr>
                  <w:tcW w:w="1944" w:type="dxa"/>
                </w:tcPr>
                <w:p w14:paraId="5B58DC7A" w14:textId="77777777" w:rsidR="00B23F52" w:rsidRDefault="00000000">
                  <w:pPr>
                    <w:framePr w:hSpace="180" w:wrap="around" w:vAnchor="page" w:hAnchor="margin" w:xAlign="center" w:y="3301"/>
                    <w:bidi w:val="0"/>
                    <w:jc w:val="left"/>
                  </w:pPr>
                  <w:r>
                    <w:rPr>
                      <w:sz w:val="16"/>
                    </w:rPr>
                    <w:t>SQL Server (AlwaysOn AG)</w:t>
                  </w:r>
                </w:p>
              </w:tc>
              <w:tc>
                <w:tcPr>
                  <w:tcW w:w="1224" w:type="dxa"/>
                </w:tcPr>
                <w:p w14:paraId="7B0F1054" w14:textId="77777777" w:rsidR="00B23F52" w:rsidRDefault="00000000">
                  <w:pPr>
                    <w:framePr w:hSpace="180" w:wrap="around" w:vAnchor="page" w:hAnchor="margin" w:xAlign="center" w:y="3301"/>
                    <w:bidi w:val="0"/>
                    <w:jc w:val="left"/>
                  </w:pPr>
                  <w:r>
                    <w:rPr>
                      <w:sz w:val="16"/>
                    </w:rPr>
                    <w:t>TCP</w:t>
                  </w:r>
                </w:p>
              </w:tc>
              <w:tc>
                <w:tcPr>
                  <w:tcW w:w="648" w:type="dxa"/>
                </w:tcPr>
                <w:p w14:paraId="0BF268D2" w14:textId="77777777" w:rsidR="00B23F52" w:rsidRDefault="00000000">
                  <w:pPr>
                    <w:framePr w:hSpace="180" w:wrap="around" w:vAnchor="page" w:hAnchor="margin" w:xAlign="center" w:y="3301"/>
                    <w:bidi w:val="0"/>
                    <w:jc w:val="left"/>
                  </w:pPr>
                  <w:r>
                    <w:rPr>
                      <w:sz w:val="16"/>
                    </w:rPr>
                    <w:t>5022</w:t>
                  </w:r>
                </w:p>
              </w:tc>
              <w:tc>
                <w:tcPr>
                  <w:tcW w:w="1224" w:type="dxa"/>
                </w:tcPr>
                <w:p w14:paraId="6DABEEF8" w14:textId="77777777" w:rsidR="00B23F52" w:rsidRDefault="00000000">
                  <w:pPr>
                    <w:framePr w:hSpace="180" w:wrap="around" w:vAnchor="page" w:hAnchor="margin" w:xAlign="center" w:y="3301"/>
                    <w:bidi w:val="0"/>
                    <w:jc w:val="left"/>
                  </w:pPr>
                  <w:r>
                    <w:rPr>
                      <w:sz w:val="16"/>
                    </w:rPr>
                    <w:t>Internal</w:t>
                  </w:r>
                </w:p>
              </w:tc>
              <w:tc>
                <w:tcPr>
                  <w:tcW w:w="2232" w:type="dxa"/>
                </w:tcPr>
                <w:p w14:paraId="77FB8026" w14:textId="77777777" w:rsidR="00B23F52" w:rsidRDefault="00000000">
                  <w:pPr>
                    <w:framePr w:hSpace="180" w:wrap="around" w:vAnchor="page" w:hAnchor="margin" w:xAlign="center" w:y="3301"/>
                    <w:bidi w:val="0"/>
                    <w:jc w:val="left"/>
                  </w:pPr>
                  <w:r>
                    <w:rPr>
                      <w:sz w:val="16"/>
                    </w:rPr>
                    <w:t>Availability Group replication</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pPr>
                  <w:r>
                    <w:rPr>
                      <w:sz w:val="16"/>
                    </w:rPr>
                    <w:t>SIMF.Api / worker host</w:t>
                  </w:r>
                </w:p>
              </w:tc>
              <w:tc>
                <w:tcPr>
                  <w:tcW w:w="1944" w:type="dxa"/>
                </w:tcPr>
                <w:p w14:paraId="47A409C0" w14:textId="77777777" w:rsidR="00B23F52" w:rsidRDefault="00000000">
                  <w:pPr>
                    <w:framePr w:hSpace="180" w:wrap="around" w:vAnchor="page" w:hAnchor="margin" w:xAlign="center" w:y="3301"/>
                    <w:bidi w:val="0"/>
                    <w:jc w:val="left"/>
                  </w:pPr>
                  <w:r>
                    <w:rPr>
                      <w:sz w:val="16"/>
                    </w:rPr>
                    <w:t>SMTP relay</w:t>
                  </w:r>
                </w:p>
              </w:tc>
              <w:tc>
                <w:tcPr>
                  <w:tcW w:w="1224" w:type="dxa"/>
                </w:tcPr>
                <w:p w14:paraId="7B16E1BD" w14:textId="77777777" w:rsidR="00B23F52" w:rsidRDefault="00000000">
                  <w:pPr>
                    <w:framePr w:hSpace="180" w:wrap="around" w:vAnchor="page" w:hAnchor="margin" w:xAlign="center" w:y="3301"/>
                    <w:bidi w:val="0"/>
                    <w:jc w:val="left"/>
                  </w:pPr>
                  <w:r>
                    <w:rPr>
                      <w:sz w:val="16"/>
                    </w:rPr>
                    <w:t>SMTP / TLS</w:t>
                  </w:r>
                </w:p>
              </w:tc>
              <w:tc>
                <w:tcPr>
                  <w:tcW w:w="648" w:type="dxa"/>
                </w:tcPr>
                <w:p w14:paraId="37DF0B71" w14:textId="77777777" w:rsidR="00B23F52" w:rsidRDefault="00000000">
                  <w:pPr>
                    <w:framePr w:hSpace="180" w:wrap="around" w:vAnchor="page" w:hAnchor="margin" w:xAlign="center" w:y="3301"/>
                    <w:bidi w:val="0"/>
                    <w:jc w:val="left"/>
                  </w:pPr>
                  <w:r>
                    <w:rPr>
                      <w:sz w:val="16"/>
                    </w:rPr>
                    <w:t>587</w:t>
                  </w:r>
                </w:p>
              </w:tc>
              <w:tc>
                <w:tcPr>
                  <w:tcW w:w="1224" w:type="dxa"/>
                </w:tcPr>
                <w:p w14:paraId="02C6CA97" w14:textId="77777777" w:rsidR="00B23F52" w:rsidRDefault="00000000">
                  <w:pPr>
                    <w:framePr w:hSpace="180" w:wrap="around" w:vAnchor="page" w:hAnchor="margin" w:xAlign="center" w:y="3301"/>
                    <w:bidi w:val="0"/>
                    <w:jc w:val="left"/>
                  </w:pPr>
                  <w:r>
                    <w:rPr>
                      <w:sz w:val="16"/>
                    </w:rPr>
                    <w:t>Internal</w:t>
                  </w:r>
                </w:p>
              </w:tc>
              <w:tc>
                <w:tcPr>
                  <w:tcW w:w="2232" w:type="dxa"/>
                </w:tcPr>
                <w:p w14:paraId="1F56C2D9" w14:textId="77777777" w:rsidR="00B23F52" w:rsidRDefault="00000000">
                  <w:pPr>
                    <w:framePr w:hSpace="180" w:wrap="around" w:vAnchor="page" w:hAnchor="margin" w:xAlign="center" w:y="3301"/>
                    <w:bidi w:val="0"/>
                    <w:jc w:val="left"/>
                  </w:pPr>
                  <w:r>
                    <w:rPr>
                      <w:sz w:val="16"/>
                    </w:rPr>
                    <w:t>Transactional e-mail dispatch, internal relay, no Internet gateway</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1F9AFD6C" w14:textId="77777777" w:rsidR="00B23F52" w:rsidRDefault="00000000">
                  <w:pPr>
                    <w:framePr w:hSpace="180" w:wrap="around" w:vAnchor="page" w:hAnchor="margin" w:xAlign="center" w:y="3301"/>
                    <w:bidi w:val="0"/>
                    <w:jc w:val="left"/>
                  </w:pPr>
                  <w:r>
                    <w:rPr>
                      <w:sz w:val="16"/>
                    </w:rPr>
                    <w:t>Log collector / SIEM</w:t>
                  </w:r>
                </w:p>
              </w:tc>
              <w:tc>
                <w:tcPr>
                  <w:tcW w:w="1224" w:type="dxa"/>
                </w:tcPr>
                <w:p w14:paraId="17F8D827" w14:textId="77777777" w:rsidR="00B23F52" w:rsidRDefault="00000000">
                  <w:pPr>
                    <w:framePr w:hSpace="180" w:wrap="around" w:vAnchor="page" w:hAnchor="margin" w:xAlign="center" w:y="3301"/>
                    <w:bidi w:val="0"/>
                    <w:jc w:val="left"/>
                  </w:pPr>
                  <w:r>
                    <w:rPr>
                      <w:sz w:val="16"/>
                    </w:rPr>
                    <w:t>Syslog / TLS</w:t>
                  </w:r>
                </w:p>
              </w:tc>
              <w:tc>
                <w:tcPr>
                  <w:tcW w:w="648" w:type="dxa"/>
                </w:tcPr>
                <w:p w14:paraId="40890152" w14:textId="77777777" w:rsidR="00B23F52" w:rsidRDefault="00000000">
                  <w:pPr>
                    <w:framePr w:hSpace="180" w:wrap="around" w:vAnchor="page" w:hAnchor="margin" w:xAlign="center" w:y="3301"/>
                    <w:bidi w:val="0"/>
                    <w:jc w:val="left"/>
                  </w:pPr>
                  <w:r>
                    <w:rPr>
                      <w:sz w:val="16"/>
                    </w:rPr>
                    <w:t>6514</w:t>
                  </w:r>
                </w:p>
              </w:tc>
              <w:tc>
                <w:tcPr>
                  <w:tcW w:w="1224" w:type="dxa"/>
                </w:tcPr>
                <w:p w14:paraId="6304869F" w14:textId="77777777" w:rsidR="00B23F52" w:rsidRDefault="00000000">
                  <w:pPr>
                    <w:framePr w:hSpace="180" w:wrap="around" w:vAnchor="page" w:hAnchor="margin" w:xAlign="center" w:y="3301"/>
                    <w:bidi w:val="0"/>
                    <w:jc w:val="left"/>
                  </w:pPr>
                  <w:r>
                    <w:rPr>
                      <w:sz w:val="16"/>
                    </w:rPr>
                    <w:t>Internal</w:t>
                  </w:r>
                </w:p>
              </w:tc>
              <w:tc>
                <w:tcPr>
                  <w:tcW w:w="2232" w:type="dxa"/>
                </w:tcPr>
                <w:p w14:paraId="3FAD67D0" w14:textId="77777777" w:rsidR="00B23F52" w:rsidRDefault="00000000">
                  <w:pPr>
                    <w:framePr w:hSpace="180" w:wrap="around" w:vAnchor="page" w:hAnchor="margin" w:xAlign="center" w:y="3301"/>
                    <w:bidi w:val="0"/>
                    <w:jc w:val="left"/>
                  </w:pPr>
                  <w:r>
                    <w:rPr>
                      <w:sz w:val="16"/>
                    </w:rPr>
                    <w:t>Centralised structured logging, forwarded by a host log shipper</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pPr>
                  <w:r>
                    <w:rPr>
                      <w:sz w:val="16"/>
                    </w:rPr>
                    <w:t>SIMF.Api</w:t>
                  </w:r>
                </w:p>
              </w:tc>
              <w:tc>
                <w:tcPr>
                  <w:tcW w:w="1944" w:type="dxa"/>
                </w:tcPr>
                <w:p w14:paraId="55A566A8" w14:textId="77777777" w:rsidR="00B23F52" w:rsidRDefault="00000000">
                  <w:pPr>
                    <w:framePr w:hSpace="180" w:wrap="around" w:vAnchor="page" w:hAnchor="margin" w:xAlign="center" w:y="3301"/>
                    <w:bidi w:val="0"/>
                    <w:jc w:val="left"/>
                  </w:pPr>
                  <w:r>
                    <w:rPr>
                      <w:sz w:val="16"/>
                    </w:rPr>
                    <w:t>Shared file store</w:t>
                  </w:r>
                </w:p>
              </w:tc>
              <w:tc>
                <w:tcPr>
                  <w:tcW w:w="1224" w:type="dxa"/>
                </w:tcPr>
                <w:p w14:paraId="45602E92" w14:textId="77777777" w:rsidR="00B23F52" w:rsidRDefault="00000000">
                  <w:pPr>
                    <w:framePr w:hSpace="180" w:wrap="around" w:vAnchor="page" w:hAnchor="margin" w:xAlign="center" w:y="3301"/>
                    <w:bidi w:val="0"/>
                    <w:jc w:val="left"/>
                  </w:pPr>
                  <w:r>
                    <w:rPr>
                      <w:sz w:val="16"/>
                    </w:rPr>
                    <w:t>SMB</w:t>
                  </w:r>
                </w:p>
              </w:tc>
              <w:tc>
                <w:tcPr>
                  <w:tcW w:w="648" w:type="dxa"/>
                </w:tcPr>
                <w:p w14:paraId="15E77454" w14:textId="77777777" w:rsidR="00B23F52" w:rsidRDefault="00000000">
                  <w:pPr>
                    <w:framePr w:hSpace="180" w:wrap="around" w:vAnchor="page" w:hAnchor="margin" w:xAlign="center" w:y="3301"/>
                    <w:bidi w:val="0"/>
                    <w:jc w:val="left"/>
                  </w:pPr>
                  <w:r>
                    <w:rPr>
                      <w:sz w:val="16"/>
                    </w:rPr>
                    <w:t>445</w:t>
                  </w:r>
                </w:p>
              </w:tc>
              <w:tc>
                <w:tcPr>
                  <w:tcW w:w="1224" w:type="dxa"/>
                </w:tcPr>
                <w:p w14:paraId="6B667375" w14:textId="77777777" w:rsidR="00B23F52" w:rsidRDefault="00000000">
                  <w:pPr>
                    <w:framePr w:hSpace="180" w:wrap="around" w:vAnchor="page" w:hAnchor="margin" w:xAlign="center" w:y="3301"/>
                    <w:bidi w:val="0"/>
                    <w:jc w:val="left"/>
                  </w:pPr>
                  <w:r>
                    <w:rPr>
                      <w:sz w:val="16"/>
                    </w:rPr>
                    <w:t>Internal</w:t>
                  </w:r>
                </w:p>
              </w:tc>
              <w:tc>
                <w:tcPr>
                  <w:tcW w:w="2232" w:type="dxa"/>
                </w:tcPr>
                <w:p w14:paraId="54685181" w14:textId="77777777" w:rsidR="00B23F52" w:rsidRDefault="00000000">
                  <w:pPr>
                    <w:framePr w:hSpace="180" w:wrap="around" w:vAnchor="page" w:hAnchor="margin" w:xAlign="center" w:y="3301"/>
                    <w:bidi w:val="0"/>
                    <w:jc w:val="left"/>
                  </w:pPr>
                  <w:r>
                    <w:rPr>
                      <w:sz w:val="16"/>
                    </w:rPr>
                    <w:t>File store access</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pPr>
                  <w:r>
                    <w:rPr>
                      <w:sz w:val="16"/>
                    </w:rPr>
                    <w:t>SIMF.Api</w:t>
                  </w:r>
                </w:p>
              </w:tc>
              <w:tc>
                <w:tcPr>
                  <w:tcW w:w="1944" w:type="dxa"/>
                </w:tcPr>
                <w:p w14:paraId="661920E4" w14:textId="77777777" w:rsidR="00B23F52" w:rsidRDefault="00000000">
                  <w:pPr>
                    <w:framePr w:hSpace="180" w:wrap="around" w:vAnchor="page" w:hAnchor="margin" w:xAlign="center" w:y="3301"/>
                    <w:bidi w:val="0"/>
                    <w:jc w:val="left"/>
                  </w:pPr>
                  <w:r>
                    <w:rPr>
                      <w:sz w:val="16"/>
                    </w:rPr>
                    <w:t>Controlled egress point</w:t>
                  </w:r>
                </w:p>
              </w:tc>
              <w:tc>
                <w:tcPr>
                  <w:tcW w:w="1224" w:type="dxa"/>
                </w:tcPr>
                <w:p w14:paraId="6D0FB599" w14:textId="77777777" w:rsidR="00B23F52" w:rsidRDefault="00000000">
                  <w:pPr>
                    <w:framePr w:hSpace="180" w:wrap="around" w:vAnchor="page" w:hAnchor="margin" w:xAlign="center" w:y="3301"/>
                    <w:bidi w:val="0"/>
                    <w:jc w:val="left"/>
                  </w:pPr>
                  <w:r>
                    <w:rPr>
                      <w:sz w:val="16"/>
                    </w:rPr>
                    <w:t>HTTPS</w:t>
                  </w:r>
                </w:p>
              </w:tc>
              <w:tc>
                <w:tcPr>
                  <w:tcW w:w="648" w:type="dxa"/>
                </w:tcPr>
                <w:p w14:paraId="0EB6A892" w14:textId="77777777" w:rsidR="00B23F52" w:rsidRDefault="00000000">
                  <w:pPr>
                    <w:framePr w:hSpace="180" w:wrap="around" w:vAnchor="page" w:hAnchor="margin" w:xAlign="center" w:y="3301"/>
                    <w:bidi w:val="0"/>
                    <w:jc w:val="left"/>
                  </w:pPr>
                  <w:r>
                    <w:rPr>
                      <w:sz w:val="16"/>
                    </w:rPr>
                    <w:t>443</w:t>
                  </w:r>
                </w:p>
              </w:tc>
              <w:tc>
                <w:tcPr>
                  <w:tcW w:w="1224" w:type="dxa"/>
                </w:tcPr>
                <w:p w14:paraId="106D916E" w14:textId="77777777" w:rsidR="00B23F52" w:rsidRDefault="00000000">
                  <w:pPr>
                    <w:framePr w:hSpace="180" w:wrap="around" w:vAnchor="page" w:hAnchor="margin" w:xAlign="center" w:y="3301"/>
                    <w:bidi w:val="0"/>
                    <w:jc w:val="left"/>
                  </w:pPr>
                  <w:r>
                    <w:rPr>
                      <w:sz w:val="16"/>
                    </w:rPr>
                    <w:t>Outbound</w:t>
                  </w:r>
                </w:p>
              </w:tc>
              <w:tc>
                <w:tcPr>
                  <w:tcW w:w="2232" w:type="dxa"/>
                </w:tcPr>
                <w:p w14:paraId="5670D8C4" w14:textId="77777777" w:rsidR="00B23F52" w:rsidRDefault="00000000">
                  <w:pPr>
                    <w:framePr w:hSpace="180" w:wrap="around" w:vAnchor="page" w:hAnchor="margin" w:xAlign="center" w:y="3301"/>
                    <w:bidi w:val="0"/>
                    <w:jc w:val="left"/>
                  </w:pPr>
                  <w:r>
                    <w:rPr>
                      <w:sz w:val="16"/>
                    </w:rPr>
                    <w:t>Outbound caption import, the only outbound flow</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pPr>
                  <w:r>
                    <w:rPr>
                      <w:sz w:val="16"/>
                    </w:rPr>
                    <w:t>SIMF.Api</w:t>
                  </w:r>
                </w:p>
              </w:tc>
              <w:tc>
                <w:tcPr>
                  <w:tcW w:w="1944" w:type="dxa"/>
                </w:tcPr>
                <w:p w14:paraId="014DAFDB" w14:textId="77777777" w:rsidR="00B23F52" w:rsidRDefault="00000000">
                  <w:pPr>
                    <w:framePr w:hSpace="180" w:wrap="around" w:vAnchor="page" w:hAnchor="margin" w:xAlign="center" w:y="3301"/>
                    <w:bidi w:val="0"/>
                    <w:jc w:val="left"/>
                  </w:pPr>
                  <w:r>
                    <w:rPr>
                      <w:sz w:val="16"/>
                    </w:rPr>
                    <w:t>AI endpoint (configured)</w:t>
                  </w:r>
                </w:p>
              </w:tc>
              <w:tc>
                <w:tcPr>
                  <w:tcW w:w="1224" w:type="dxa"/>
                </w:tcPr>
                <w:p w14:paraId="1C601D0F" w14:textId="77777777" w:rsidR="00B23F52" w:rsidRDefault="00000000">
                  <w:pPr>
                    <w:framePr w:hSpace="180" w:wrap="around" w:vAnchor="page" w:hAnchor="margin" w:xAlign="center" w:y="3301"/>
                    <w:bidi w:val="0"/>
                    <w:jc w:val="left"/>
                  </w:pPr>
                  <w:r>
                    <w:rPr>
                      <w:sz w:val="16"/>
                    </w:rPr>
                    <w:t>HTTPS</w:t>
                  </w:r>
                </w:p>
              </w:tc>
              <w:tc>
                <w:tcPr>
                  <w:tcW w:w="648" w:type="dxa"/>
                </w:tcPr>
                <w:p w14:paraId="2E477A47" w14:textId="77777777" w:rsidR="00B23F52" w:rsidRDefault="00000000">
                  <w:pPr>
                    <w:framePr w:hSpace="180" w:wrap="around" w:vAnchor="page" w:hAnchor="margin" w:xAlign="center" w:y="3301"/>
                    <w:bidi w:val="0"/>
                    <w:jc w:val="left"/>
                  </w:pPr>
                  <w:r>
                    <w:rPr>
                      <w:sz w:val="16"/>
                    </w:rPr>
                    <w:t>443</w:t>
                  </w:r>
                </w:p>
              </w:tc>
              <w:tc>
                <w:tcPr>
                  <w:tcW w:w="1224" w:type="dxa"/>
                </w:tcPr>
                <w:p w14:paraId="072AD31F" w14:textId="77777777" w:rsidR="00B23F52" w:rsidRDefault="00000000">
                  <w:pPr>
                    <w:framePr w:hSpace="180" w:wrap="around" w:vAnchor="page" w:hAnchor="margin" w:xAlign="center" w:y="3301"/>
                    <w:bidi w:val="0"/>
                    <w:jc w:val="left"/>
                  </w:pPr>
                  <w:r>
                    <w:rPr>
                      <w:sz w:val="16"/>
                    </w:rPr>
                    <w:t>Internal</w:t>
                  </w:r>
                </w:p>
              </w:tc>
              <w:tc>
                <w:tcPr>
                  <w:tcW w:w="2232" w:type="dxa"/>
                </w:tcPr>
                <w:p w14:paraId="10F1F583" w14:textId="77777777" w:rsidR="00B23F52" w:rsidRDefault="00000000">
                  <w:pPr>
                    <w:framePr w:hSpace="180" w:wrap="around" w:vAnchor="page" w:hAnchor="margin" w:xAlign="center" w:y="3301"/>
                    <w:bidi w:val="0"/>
                    <w:jc w:val="left"/>
                  </w:pPr>
                  <w:r>
                    <w:rPr>
                      <w:sz w:val="16"/>
                    </w:rPr>
                    <w:t>AI inference. No provider enabled in this delivery</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pPr>
                  <w:r>
                    <w:rPr>
                      <w:sz w:val="16"/>
                    </w:rPr>
                    <w:t>Controlled egress point</w:t>
                  </w:r>
                </w:p>
              </w:tc>
              <w:tc>
                <w:tcPr>
                  <w:tcW w:w="1944" w:type="dxa"/>
                </w:tcPr>
                <w:p w14:paraId="5D491E9D"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pPr>
                  <w:r>
                    <w:rPr>
                      <w:sz w:val="16"/>
                    </w:rPr>
                    <w:t>HTTPS</w:t>
                  </w:r>
                </w:p>
              </w:tc>
              <w:tc>
                <w:tcPr>
                  <w:tcW w:w="648" w:type="dxa"/>
                </w:tcPr>
                <w:p w14:paraId="7A23E498" w14:textId="77777777" w:rsidR="00B23F52" w:rsidRDefault="00000000">
                  <w:pPr>
                    <w:framePr w:hSpace="180" w:wrap="around" w:vAnchor="page" w:hAnchor="margin" w:xAlign="center" w:y="3301"/>
                    <w:bidi w:val="0"/>
                    <w:jc w:val="left"/>
                  </w:pPr>
                  <w:r>
                    <w:rPr>
                      <w:sz w:val="16"/>
                    </w:rPr>
                    <w:t>443</w:t>
                  </w:r>
                </w:p>
              </w:tc>
              <w:tc>
                <w:tcPr>
                  <w:tcW w:w="1224" w:type="dxa"/>
                </w:tcPr>
                <w:p w14:paraId="4E0593DA" w14:textId="77777777" w:rsidR="00B23F52" w:rsidRDefault="00000000">
                  <w:pPr>
                    <w:framePr w:hSpace="180" w:wrap="around" w:vAnchor="page" w:hAnchor="margin" w:xAlign="center" w:y="3301"/>
                    <w:bidi w:val="0"/>
                    <w:jc w:val="left"/>
                  </w:pPr>
                  <w:r>
                    <w:rPr>
                      <w:sz w:val="16"/>
                    </w:rPr>
                    <w:t>Outbound</w:t>
                  </w:r>
                </w:p>
              </w:tc>
              <w:tc>
                <w:tcPr>
                  <w:tcW w:w="2232" w:type="dxa"/>
                </w:tcPr>
                <w:p w14:paraId="4705FD1E" w14:textId="77777777" w:rsidR="00B23F52" w:rsidRDefault="00000000">
                  <w:pPr>
                    <w:framePr w:hSpace="180" w:wrap="around" w:vAnchor="page" w:hAnchor="margin" w:xAlign="center" w:y="3301"/>
                    <w:bidi w:val="0"/>
                    <w:jc w:val="left"/>
                  </w:pPr>
                  <w:r>
                    <w:rPr>
                      <w:sz w:val="16"/>
                    </w:rPr>
                    <w:t>Caption import</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pPr>
                  <w:r>
                    <w:rPr>
                      <w:sz w:val="16"/>
                    </w:rPr>
                    <w:t>YouTube</w:t>
                  </w:r>
                </w:p>
              </w:tc>
              <w:tc>
                <w:tcPr>
                  <w:tcW w:w="1224" w:type="dxa"/>
                </w:tcPr>
                <w:p w14:paraId="4301712D" w14:textId="77777777" w:rsidR="00B23F52" w:rsidRDefault="00000000">
                  <w:pPr>
                    <w:framePr w:hSpace="180" w:wrap="around" w:vAnchor="page" w:hAnchor="margin" w:xAlign="center" w:y="3301"/>
                    <w:bidi w:val="0"/>
                    <w:jc w:val="left"/>
                  </w:pPr>
                  <w:r>
                    <w:rPr>
                      <w:sz w:val="16"/>
                    </w:rPr>
                    <w:t>HTTPS</w:t>
                  </w:r>
                </w:p>
              </w:tc>
              <w:tc>
                <w:tcPr>
                  <w:tcW w:w="648" w:type="dxa"/>
                </w:tcPr>
                <w:p w14:paraId="295FAC02" w14:textId="77777777" w:rsidR="00B23F52" w:rsidRDefault="00000000">
                  <w:pPr>
                    <w:framePr w:hSpace="180" w:wrap="around" w:vAnchor="page" w:hAnchor="margin" w:xAlign="center" w:y="3301"/>
                    <w:bidi w:val="0"/>
                    <w:jc w:val="left"/>
                  </w:pPr>
                  <w:r>
                    <w:rPr>
                      <w:sz w:val="16"/>
                    </w:rPr>
                    <w:t>443</w:t>
                  </w:r>
                </w:p>
              </w:tc>
              <w:tc>
                <w:tcPr>
                  <w:tcW w:w="1224" w:type="dxa"/>
                </w:tcPr>
                <w:p w14:paraId="56568857" w14:textId="77777777" w:rsidR="00B23F52" w:rsidRDefault="00000000">
                  <w:pPr>
                    <w:framePr w:hSpace="180" w:wrap="around" w:vAnchor="page" w:hAnchor="margin" w:xAlign="center" w:y="3301"/>
                    <w:bidi w:val="0"/>
                    <w:jc w:val="left"/>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pPr>
                  <w:r>
                    <w:rPr>
                      <w:sz w:val="16"/>
                    </w:rPr>
                    <w:t>Live session playback (does not traverse SIMF)</w:t>
                  </w:r>
                </w:p>
              </w:tc>
            </w:tr>
          </w:tbl>
          <w:p w14:paraId="7C0D0976" w14:textId="77777777" w:rsidR="00B23F52" w:rsidRDefault="00B23F52"/>
          <w:p w14:paraId="1B30EB15" w14:textId="77777777" w:rsidR="00B23F52" w:rsidRDefault="00000000">
            <w:pPr>
              <w:bidi w:val="0"/>
              <w:jc w:val="left"/>
            </w:pPr>
            <w:r>
              <w:rPr>
                <w:i/>
                <w:color w:val="444444"/>
                <w:sz w:val="22"/>
              </w:rPr>
              <w:t>IP addresses and ranges are assigned by the site network team.</w:t>
            </w:r>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 xml:space="preserve">Encryption at rest. </w:t>
            </w:r>
            <w:r>
              <w:rPr>
                <w:sz w:val="24"/>
              </w:rPr>
              <w:t>Personal data (national ID, Iqama, passport and mobile numbers) and identity-document images are encrypted with application-level AES-GCM envelope encryption, the key supplied through an environment variable.</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personal or operational data is sent to any cloud artificial-intelligence service; what may be sent is session content to summarise and question text to filter, carrying no attendee identity.</w:t>
            </w:r>
            <w:r>
              <w:rPr>
                <w:sz w:val="24"/>
              </w:rPr>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deploy the WAF;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invitation link valid for exactly seven days. The invitee sets their own password when they use it, and the link is then consumed,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which is set when an administrator rotates a credential or when a password reaches its maximum age, every token-issuing path is blocked (initial password step, second-factor verify, recovery-code verify, one-time-code verify and refresh) until the user sets a new password through the reset flow.</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 xml:space="preserve">Database tier. </w:t>
            </w:r>
            <w:r>
              <w:rPr>
                <w:sz w:val="24"/>
              </w:rPr>
              <w:t>High availability and read scale-out come from the SQL Server 2022 Enterprise AlwaysOn Availability Group.</w:t>
            </w:r>
          </w:p>
          <w:p w14:paraId="43898BAC" w14:textId="77777777" w:rsidR="00B23F52" w:rsidRDefault="00000000">
            <w:pPr>
              <w:bidi w:val="0"/>
              <w:spacing w:after="80"/>
              <w:ind w:left="360"/>
              <w:jc w:val="left"/>
            </w:pPr>
            <w:r>
              <w:rPr>
                <w:sz w:val="24"/>
              </w:rPr>
              <w:t>•  A read-write primary and up to two readable secondaries run with synchronous commit and automatic failover. Both databases run in the group; the listener routes writes to the primary and read-only queries to a secondary. A file-share witness holds the cluster quorum. Development and test use a single Standard-edition node.</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14:paraId="7ABAF7AA" w14:textId="77777777" w:rsidR="00B23F52" w:rsidRDefault="00000000">
            <w:pPr>
              <w:bidi w:val="0"/>
              <w:spacing w:after="80"/>
              <w:jc w:val="left"/>
            </w:pPr>
            <w:r>
              <w:rPr>
                <w:b/>
                <w:sz w:val="24"/>
              </w:rPr>
              <w:t xml:space="preserve">Load Balancer. </w:t>
            </w:r>
            <w:r>
              <w:rPr>
                <w:sz w:val="24"/>
              </w:rPr>
              <w:t>Distributes traffic across the nodes to prevent overload and keep service continuous.</w:t>
            </w:r>
          </w:p>
          <w:p w14:paraId="71BC3867" w14:textId="77777777" w:rsidR="00B23F52" w:rsidRDefault="00000000">
            <w:pPr>
              <w:bidi w:val="0"/>
              <w:spacing w:after="80"/>
              <w:ind w:left="360"/>
              <w:jc w:val="left"/>
            </w:pPr>
            <w:r>
              <w:rPr>
                <w:sz w:val="24"/>
              </w:rPr>
              <w:t>•  Health checks continuously monitor node health and route traffic only to operational nodes.</w:t>
            </w:r>
          </w:p>
          <w:p w14:paraId="5CCCCD2A" w14:textId="77777777" w:rsidR="00B23F52" w:rsidRDefault="00000000">
            <w:pPr>
              <w:bidi w:val="0"/>
              <w:spacing w:after="80"/>
              <w:ind w:left="360"/>
              <w:jc w:val="left"/>
            </w:pPr>
            <w:r>
              <w:rPr>
                <w:sz w:val="24"/>
              </w:rPr>
              <w:t>•  Failover support automatically reroutes traffic when a node becomes unavailable, maintaining uninterrupted access.</w:t>
            </w:r>
          </w:p>
          <w:p w14:paraId="37E7A6F0" w14:textId="77777777" w:rsidR="00B23F52" w:rsidRDefault="00000000">
            <w:pPr>
              <w:bidi w:val="0"/>
              <w:spacing w:after="80"/>
              <w:ind w:left="360"/>
              <w:jc w:val="left"/>
            </w:pPr>
            <w:r>
              <w:rPr>
                <w:sz w:val="24"/>
              </w:rPr>
              <w:t>•  Scalability: additional nodes can be added without affecting existing operations.</w:t>
            </w:r>
          </w:p>
          <w:p w14:paraId="4CFC277E" w14:textId="77777777" w:rsidR="00B23F52" w:rsidRDefault="00000000">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 xml:space="preserve">Syslog / SIEM integration: </w:t>
            </w:r>
            <w:r>
              <w:rPr>
                <w:sz w:val="24"/>
              </w:rPr>
              <w:t>a centralised structured logging system (Serilog) collects events from all components, the API, the Control Panel, the website and the database tier. It captures authentication events, authorisation denials, access logs, business actions, rate-limit rejections and system errors. Every event carries a correlation ID for end-to-end tracing, and the system integrates with alerting to notify administrators of critical issues.</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Enterprise Availability Group scales the read-heavy load on its readable secondaries as well as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(default page size 20, grid cap 200) rather than filtering in memory.</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No server-push transport ships in this build.</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lastRenderedPageBreak/>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 xml:space="preserve">Mitigation Strategies: </w:t>
            </w:r>
            <w:r>
              <w:rPr>
                <w:sz w:val="24"/>
              </w:rPr>
              <w:t>the event-day architecture, a WAF and load balancer, a stateless multi-node API tier, and the Enterprise AlwaysOn Availability Group for high availability and read scale-out.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a stateless API tier for horizontal scale-out; client polling on a bounded interval for live data, with no server-push transport in this build; indexed, projected and server-paged queries; asynchronous e-mail dispatch; and application-layer caching. Load-test to peak shapes in staging and monitor via dashboards, scaling on usage thresholds.</w:t>
            </w:r>
            <w:r>
              <w:rPr>
                <w:sz w:val="24"/>
              </w:rPr>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 xml:space="preserve">Potential Impact: </w:t>
            </w:r>
            <w:r>
              <w:rPr>
                <w:sz w:val="24"/>
              </w:rPr>
              <w:t>the caption import depends on outbound internet access. If egress is not approved, subtitle import does not operate and the administrator pastes or uploads the transcript instead. The AI features are not affected, because inference is performed A misconfigured egress rule could widen the attack surface, and enabling an external AI provider would add a second outbound destination that needs a data-residency decision first.</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 The only outbound route in the estate belongs to the Control Panel, for the YouTube caption import.</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 xml:space="preserve">Mitigation Strategies: </w:t>
            </w:r>
            <w:r>
              <w:rPr>
                <w:sz w:val="24"/>
              </w:rPr>
              <w:t>four-stage promotion (Development, then Test, then Staging ,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18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Provided. Figure 2 for components and interaction, Figure 3 for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AI provider today.</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Both internal to the SSA zone. SMTP on 587, SIEM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No AI egress exists today. Any egress is via the egress point and edge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