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one authored file per page)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and moderated Q&amp;A;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on site in the HSA zone: an SMTP mail relay,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Encryption: TLS 1.2+ in transit; PII columns (national ID / Iqama / passport, mobile numbers) are encrypted at rest with application-level AES-256-GCM under a 32-byte operator-supplied key, Storage:UserIdDocumentEncryptionKey. Identity-document images and the other confidential stored files are encrypted at rest with AES-GCM envelope encryption under a second operator-supplied key, FileStorage:EncryptionKey, carrying a key version for rotation.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three firewalls at the zone boundaries,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the mobile app, the public website, the Control Panel and the on-site badge desk. Backend: one API. Data: two SQL Server databases and MinIO object storage.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depends on an approved outbound HTTPS 443 exception.</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with Server and DR.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t>1.1 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has no sign-in, no registration and no account page, and stores no personal data. The two deliberate exceptions are described in section 2.2.</w:t>
            </w:r>
          </w:p>
          <w:p w14:paraId="18196080" w14:textId="77777777" w:rsidR="00B23F52" w:rsidRDefault="00000000">
            <w:pPr>
              <w:bidi w:val="0"/>
              <w:spacing w:after="80"/>
              <w:ind w:left="360"/>
              <w:jc w:val="left"/>
            </w:pPr>
            <w:r>
              <w:rPr>
                <w:sz w:val="24"/>
              </w:rPr>
              <w:t>•  Anonymous public, use the website to read public content (home, programme, visit information).</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 Badge desk staff use the on-site badge desk application (SIMF.BadgeDesk) to print and issue badges at the venue.</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It is the only call SIMF makes to the internet.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subtitle translation,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Three firewalls sit at the zone boundaries: the perimeter firewall, an internal firewall between the presentation and application zones, and an internal firewall between the application and data zones.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in the perimeter zone terminates TLS, filters traffic against the OWASP rule set and balances requests across healthy nodes. The presentation zone holds the presentation tier and nothing else: the website (SIMF.Web, two nodes), the Control Panel (SIMF.ControlPanel, two nodes with session affinity) and the mobile edge (SIMF.MobileEdge). All three reach data only through the API, over HTTPS 443 across the internal firewall.</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secondary reached through a listener;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REST traffic, including the bounded polling that backs live notifications and Q&amp;A,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1</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04D20E1F"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 application</w:t>
                  </w:r>
                </w:p>
              </w:tc>
              <w:tc>
                <w:tcPr>
                  <w:tcW w:w="1368" w:type="dxa"/>
                </w:tcPr>
                <w:p w14:paraId="27D64DF7" w14:textId="77777777" w:rsidR="00B23F52" w:rsidRDefault="00000000">
                  <w:pPr>
                    <w:framePr w:hSpace="180" w:wrap="around" w:vAnchor="page" w:hAnchor="margin" w:xAlign="center" w:y="3301"/>
                    <w:bidi w:val="0"/>
                    <w:jc w:val="left"/>
                  </w:pPr>
                  <w:r>
                    <w:rPr>
                      <w:sz w:val="16"/>
                    </w:rPr>
                    <w:t>1</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 application</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A per-node in-memory cache absorbs repeated reads; the database serves the rest.</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return a clean 429 rather than failing.</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No presentation project holds a database connection string or an EF Core DbContext; the website and the Control Panel reference only the shared client libraries, and all three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WAF and load balancer carries no AI traffic of any kind. It terminates client TLS, filters against the OWASP rule set and distributes client requests across the presentation tier. It has no path to the API or to the LLM server.</w:t>
            </w:r>
          </w:p>
          <w:p w14:paraId="1FEA89F0" w14:textId="77777777" w:rsidR="00B23F52" w:rsidRDefault="00000000">
            <w:pPr>
              <w:bidi w:val="0"/>
              <w:spacing w:after="80"/>
              <w:jc w:val="left"/>
            </w:pPr>
            <w:r>
              <w:rPr>
                <w:sz w:val="24"/>
              </w:rPr>
              <w:t>Figure 1 states this on the drawing itself, and section 2.4 specifies the path under "API to the LLM server".</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YouTube. No SIMF server is hosted here.</w:t>
            </w:r>
          </w:p>
          <w:p w14:paraId="1FEA89F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FEA89F0" w14:textId="77777777" w:rsidR="00B23F52" w:rsidRDefault="00000000">
            <w:pPr>
              <w:bidi w:val="0"/>
              <w:spacing w:after="80"/>
              <w:jc w:val="left"/>
            </w:pPr>
            <w:r>
              <w:rPr>
                <w:sz w:val="24"/>
              </w:rPr>
              <w:t>HSA zone, in two network zones: the API load balancer, four API hosts, the on-site LLM server running GPT OSS 120B and the on-site mail relay in the application zone; two database hosts and the MinIO object store in the data zone.</w:t>
            </w:r>
          </w:p>
          <w:p w14:paraId="1FEA89F0" w14:textId="77777777" w:rsidR="00B23F52" w:rsidRDefault="00000000">
            <w:pPr>
              <w:bidi w:val="0"/>
              <w:spacing w:after="80"/>
              <w:jc w:val="left"/>
            </w:pPr>
            <w:r>
              <w:rPr>
                <w:sz w:val="24"/>
              </w:rPr>
              <w:t>The Communication Requirements Matrix is in section 2.8.</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SIMF.Components), the administration application.</w:t>
            </w:r>
          </w:p>
          <w:p w14:paraId="5A7FF417" w14:textId="77777777" w:rsidR="00B23F52" w:rsidRDefault="00000000">
            <w:pPr>
              <w:bidi w:val="0"/>
              <w:spacing w:after="80"/>
              <w:ind w:left="360"/>
              <w:jc w:val="left"/>
            </w:pPr>
            <w:r>
              <w:rPr>
                <w:sz w:val="24"/>
              </w:rPr>
              <w:t>•  Public Website (Blazor SSR),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 Windows desk application that staff run at the venue to print and issue badges. It works offline and holds no database connection. It posts each shift to the API over HTTPS, to POST /api/v1/admin/offline/batch, authenticated with a bearer token that the operator pastes from a Control Panel session.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phase one components and their interaction. Every component, and how each one communicates with the others. Answers technical review point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phase one system and data flow. A data flow diagram in Gane and Sarson notation: a level 0 context view and a level 1 decomposition that balances with it.</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SIMF.Api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for the public library and holds no library video files. Session recordings uploaded by the team are held in MinIO,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field-level inventory of the delivered AI features and what each sends to the on-site GPT OSS 120B endpoint, which stays inside HSA. The API also retains two endpoints from the withdrawn live-translation and sign-language feature; no client calls them, and anything they carry reaches the same on-site endpoint and goes no further.</w:t>
            </w:r>
          </w:p>
          <w:p w14:paraId="1FEA89F0" w14:textId="77777777" w:rsidR="00B23F52" w:rsidRDefault="00000000">
            <w:pPr>
              <w:bidi w:val="0"/>
              <w:spacing w:after="80"/>
              <w:jc w:val="left"/>
            </w:pPr>
            <w:r>
              <w:rPr>
                <w:sz w:val="24"/>
              </w:rPr>
              <w:t>Data sent to the on-site AI endpoint,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below lists what each feature sends to the endpoint. None of it leaves the ministry network.</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UI Overview: three front-ends share one design system and are fully bilingual (Arabic primary / RTL, English secondary / LTR). The badge desk of section 2.2 is a fourth client with its own WinForms interface.</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the main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SIMF.Components), 14 navigation groups: Overview, People, Access Control, Programme,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no skipping: Development, Test, Staging and Production. Promotion is gated by a clean, zero-warning Release build, and a build warning or a vulnerable dependency fails the pipeline and stops promotion; the unit, integration and end-to-end suites are run on the developer's machine before a push.</w:t>
            </w:r>
          </w:p>
          <w:p w14:paraId="65CD393E" w14:textId="77777777" w:rsidR="00B23F52" w:rsidRDefault="00000000">
            <w:pPr>
              <w:bidi w:val="0"/>
              <w:spacing w:after="80"/>
              <w:jc w:val="left"/>
            </w:pPr>
            <w:r>
              <w:rPr>
                <w:b/>
                <w:sz w:val="24"/>
              </w:rPr>
              <w:t>Development and Test. A single node runs the application sites and one SQL Server Standard instance, with OpenAPI enabled.</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B97EF0B"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1EBA66C5"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70054B03" w14:textId="77777777" w:rsidR="00B23F52" w:rsidRDefault="00000000">
            <w:pPr>
              <w:bidi w:val="0"/>
              <w:spacing w:after="80"/>
              <w:ind w:left="360"/>
              <w:jc w:val="left"/>
            </w:pPr>
            <w:r>
              <w:rPr>
                <w:sz w:val="24"/>
              </w:rPr>
              <w:t>•  Three firewalls sit at the zone boundaries, as set out in section 2.1.</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for the published SIMF host names. The mobile client needs no change: it carries no trust-all setting and performs ordinary certificate validation.</w:t>
            </w:r>
          </w:p>
          <w:p w14:paraId="66A8B16E" w14:textId="77777777" w:rsidR="00B23F52" w:rsidRDefault="00000000">
            <w:pPr>
              <w:bidi w:val="0"/>
              <w:spacing w:after="80"/>
              <w:ind w:left="360"/>
              <w:jc w:val="left"/>
            </w:pPr>
            <w:r>
              <w:rPr>
                <w:sz w:val="24"/>
              </w:rPr>
              <w:t>•  Open outbound internet access from the Control Panel hosts to the YouTube caption hosts only. No other host and no other internet destination requires an outbound route. The syslog feed from the application hosts to the ministry log collector stays inside the ministry network and does not cross the perimeter firewall; it is carried as its own row in the Communication Requirements Matrix in section 2.8.</w:t>
            </w:r>
          </w:p>
          <w:p w14:paraId="70ABBC20" w14:textId="77777777" w:rsidR="00B23F52" w:rsidRDefault="00000000">
            <w:pPr>
              <w:bidi w:val="0"/>
              <w:spacing w:after="80"/>
              <w:ind w:left="360"/>
              <w:jc w:val="left"/>
            </w:pPr>
            <w:r>
              <w:rPr>
                <w:sz w:val="24"/>
              </w:rPr>
              <w:t>•  Provision MinIO object storage in the HSA data zone. Provision one shared data-protection key ring folder that both website nodes and both Control Panel nodes can read and write. Enable session affinity for the website and Control Panel tiers. Neither tier starts in production without the key ring.</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Four sites run as IIS sites and application pools: the API, the Control Panel, the website and the mobile edge. The deployment pipeline stops each site, copies the new files over it and starts it again, one site at a time, in that order.</w:t>
            </w:r>
          </w:p>
          <w:p w14:paraId="46707624" w14:textId="77777777" w:rsidR="00B23F52" w:rsidRDefault="00000000">
            <w:pPr>
              <w:bidi w:val="0"/>
              <w:spacing w:after="80"/>
              <w:ind w:left="360"/>
              <w:jc w:val="left"/>
            </w:pPr>
            <w:r>
              <w:rPr>
                <w:sz w:val="24"/>
              </w:rPr>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per-site scripts (deploy/set-env-api.ps1, set-env-cp.ps1, set-env-web.ps1 and set-env-edge.ps1); the committed scripts carry the non-secret values, every secret entry is empty, and an operator fills the secret values on the server.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to the internet is the YouTube caption import, and its full path is: the Control Panel in SSA, under an FQDN allow-list that logs every request, then through the perimeter firewall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secondary behind a listener, giving automatic failover. Development and test use a single Standard-edition instance.</w:t>
            </w:r>
          </w:p>
          <w:p w14:paraId="6663F3B4"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the RowAudit and OperationLog trails described in section 2.5.</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w:t>
            </w:r>
          </w:p>
          <w:p w14:paraId="1FEA89F0"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MinIO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SIMF.Web</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pPr>
                  <w:r>
                    <w:rPr>
                      <w:sz w:val="16"/>
                    </w:rPr>
                    <w:t>HTTPS</w:t>
                  </w:r>
                </w:p>
              </w:tc>
              <w:tc>
                <w:tcPr>
                  <w:tcW w:w="648" w:type="dxa"/>
                </w:tcPr>
                <w:p w14:paraId="475344A0" w14:textId="77777777" w:rsidR="00B23F52" w:rsidRDefault="00000000">
                  <w:pPr>
                    <w:framePr w:hSpace="180" w:wrap="around" w:vAnchor="page" w:hAnchor="margin" w:xAlign="center" w:y="3301"/>
                    <w:bidi w:val="0"/>
                    <w:jc w:val="left"/>
                  </w:pPr>
                  <w:r>
                    <w:rPr>
                      <w:sz w:val="16"/>
                    </w:rPr>
                    <w:t>443</w:t>
                  </w:r>
                </w:p>
              </w:tc>
              <w:tc>
                <w:tcPr>
                  <w:tcW w:w="1224" w:type="dxa"/>
                </w:tcPr>
                <w:p w14:paraId="607C7D06" w14:textId="77777777" w:rsidR="00B23F52" w:rsidRDefault="00000000">
                  <w:pPr>
                    <w:framePr w:hSpace="180" w:wrap="around" w:vAnchor="page" w:hAnchor="margin" w:xAlign="center" w:y="3301"/>
                    <w:bidi w:val="0"/>
                    <w:jc w:val="left"/>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pPr>
                  <w:r>
                    <w:rPr>
                      <w:sz w:val="16"/>
                    </w:rPr>
                    <w:t>Server-to-server typed API client from the website and the Control Panel; the mobile edge forwards the app's own request as a reverse proxy from the website and the Control Panel; the mobile edge forwards the app's own request as a reverse proxy</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pPr>
                  <w:r>
                    <w:rPr>
                      <w:sz w:val="16"/>
                    </w:rPr>
                    <w:t>SIMF.Api</w:t>
                  </w:r>
                </w:p>
              </w:tc>
              <w:tc>
                <w:tcPr>
                  <w:tcW w:w="1224" w:type="dxa"/>
                </w:tcPr>
                <w:p w14:paraId="7B0F1054" w14:textId="77777777" w:rsidR="00B23F52" w:rsidRDefault="00000000">
                  <w:pPr>
                    <w:framePr w:hSpace="180" w:wrap="around" w:vAnchor="page" w:hAnchor="margin" w:xAlign="center" w:y="3301"/>
                    <w:bidi w:val="0"/>
                    <w:jc w:val="left"/>
                  </w:pPr>
                  <w:r>
                    <w:rPr>
                      <w:sz w:val="16"/>
                    </w:rPr>
                    <w:t>HTTPS</w:t>
                  </w:r>
                </w:p>
              </w:tc>
              <w:tc>
                <w:tcPr>
                  <w:tcW w:w="648" w:type="dxa"/>
                </w:tcPr>
                <w:p w14:paraId="0BF268D2" w14:textId="77777777" w:rsidR="00B23F52" w:rsidRDefault="00000000">
                  <w:pPr>
                    <w:framePr w:hSpace="180" w:wrap="around" w:vAnchor="page" w:hAnchor="margin" w:xAlign="center" w:y="3301"/>
                    <w:bidi w:val="0"/>
                    <w:jc w:val="left"/>
                  </w:pPr>
                  <w:r>
                    <w:rPr>
                      <w:sz w:val="16"/>
                    </w:rPr>
                    <w:t>443</w:t>
                  </w:r>
                </w:p>
              </w:tc>
              <w:tc>
                <w:tcPr>
                  <w:tcW w:w="1224" w:type="dxa"/>
                </w:tcPr>
                <w:p w14:paraId="6DABEEF8" w14:textId="77777777" w:rsidR="00B23F52" w:rsidRDefault="00000000">
                  <w:pPr>
                    <w:framePr w:hSpace="180" w:wrap="around" w:vAnchor="page" w:hAnchor="margin" w:xAlign="center" w:y="3301"/>
                    <w:bidi w:val="0"/>
                    <w:jc w:val="left"/>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w:t>
                  </w:r>
                </w:p>
              </w:tc>
              <w:tc>
                <w:tcPr>
                  <w:tcW w:w="1944" w:type="dxa"/>
                </w:tcPr>
                <w:p w14:paraId="47A409C0" w14:textId="77777777" w:rsidR="00B23F52" w:rsidRDefault="00000000">
                  <w:pPr>
                    <w:framePr w:hSpace="180" w:wrap="around" w:vAnchor="page" w:hAnchor="margin" w:xAlign="center" w:y="3301"/>
                    <w:bidi w:val="0"/>
                    <w:jc w:val="left"/>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pPr>
                  <w:r>
                    <w:rPr>
                      <w:sz w:val="16"/>
                    </w:rPr>
                    <w:t>HTTPS</w:t>
                  </w:r>
                </w:p>
              </w:tc>
              <w:tc>
                <w:tcPr>
                  <w:tcW w:w="648" w:type="dxa"/>
                </w:tcPr>
                <w:p w14:paraId="37DF0B71" w14:textId="77777777" w:rsidR="00B23F52" w:rsidRDefault="00000000">
                  <w:pPr>
                    <w:framePr w:hSpace="180" w:wrap="around" w:vAnchor="page" w:hAnchor="margin" w:xAlign="center" w:y="3301"/>
                    <w:bidi w:val="0"/>
                    <w:jc w:val="left"/>
                  </w:pPr>
                  <w:r>
                    <w:rPr>
                      <w:sz w:val="16"/>
                    </w:rPr>
                    <w:t>443</w:t>
                  </w:r>
                </w:p>
              </w:tc>
              <w:tc>
                <w:tcPr>
                  <w:tcW w:w="1224" w:type="dxa"/>
                </w:tcPr>
                <w:p w14:paraId="02C6CA97" w14:textId="77777777" w:rsidR="00B23F52" w:rsidRDefault="00000000">
                  <w:pPr>
                    <w:framePr w:hSpace="180" w:wrap="around" w:vAnchor="page" w:hAnchor="margin" w:xAlign="center" w:y="3301"/>
                    <w:bidi w:val="0"/>
                    <w:jc w:val="left"/>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SIMF.Api</w:t>
                  </w:r>
                </w:p>
              </w:tc>
              <w:tc>
                <w:tcPr>
                  <w:tcW w:w="1944" w:type="dxa"/>
                </w:tcPr>
                <w:p w14:paraId="1F9AFD6C" w14:textId="77777777" w:rsidR="00B23F52" w:rsidRDefault="00000000">
                  <w:pPr>
                    <w:framePr w:hSpace="180" w:wrap="around" w:vAnchor="page" w:hAnchor="margin" w:xAlign="center" w:y="3301"/>
                    <w:bidi w:val="0"/>
                    <w:jc w:val="left"/>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pPr>
                  <w:r>
                    <w:rPr>
                      <w:sz w:val="16"/>
                    </w:rPr>
                    <w:t>587</w:t>
                  </w:r>
                </w:p>
              </w:tc>
              <w:tc>
                <w:tcPr>
                  <w:tcW w:w="1224" w:type="dxa"/>
                </w:tcPr>
                <w:p w14:paraId="6304869F" w14:textId="77777777" w:rsidR="00B23F52" w:rsidRDefault="00000000">
                  <w:pPr>
                    <w:framePr w:hSpace="180" w:wrap="around" w:vAnchor="page" w:hAnchor="margin" w:xAlign="center" w:y="3301"/>
                    <w:bidi w:val="0"/>
                    <w:jc w:val="left"/>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pPr>
                  <w:r>
                    <w:rPr>
                      <w:sz w:val="16"/>
                    </w:rPr>
                    <w:t>TCP / TDS</w:t>
                  </w:r>
                </w:p>
              </w:tc>
              <w:tc>
                <w:tcPr>
                  <w:tcW w:w="648" w:type="dxa"/>
                </w:tcPr>
                <w:p w14:paraId="15E77454" w14:textId="77777777" w:rsidR="00B23F52" w:rsidRDefault="00000000">
                  <w:pPr>
                    <w:framePr w:hSpace="180" w:wrap="around" w:vAnchor="page" w:hAnchor="margin" w:xAlign="center" w:y="3301"/>
                    <w:bidi w:val="0"/>
                    <w:jc w:val="left"/>
                  </w:pPr>
                  <w:r>
                    <w:rPr>
                      <w:sz w:val="16"/>
                    </w:rPr>
                    <w:t>1433</w:t>
                  </w:r>
                </w:p>
              </w:tc>
              <w:tc>
                <w:tcPr>
                  <w:tcW w:w="1224" w:type="dxa"/>
                </w:tcPr>
                <w:p w14:paraId="6B667375"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4685181" w14:textId="77777777" w:rsidR="00B23F52" w:rsidRDefault="00000000">
                  <w:pPr>
                    <w:framePr w:hSpace="180" w:wrap="around" w:vAnchor="page" w:hAnchor="margin" w:xAlign="center" w:y="3301"/>
                    <w:bidi w:val="0"/>
                    <w:jc w:val="left"/>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MinIO</w:t>
                  </w:r>
                </w:p>
              </w:tc>
              <w:tc>
                <w:tcPr>
                  <w:tcW w:w="1224" w:type="dxa"/>
                </w:tcPr>
                <w:p w14:paraId="6D0FB599" w14:textId="77777777" w:rsidR="00B23F52" w:rsidRDefault="00000000">
                  <w:pPr>
                    <w:framePr w:hSpace="180" w:wrap="around" w:vAnchor="page" w:hAnchor="margin" w:xAlign="center" w:y="3301"/>
                    <w:bidi w:val="0"/>
                    <w:jc w:val="left"/>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670D8C4" w14:textId="77777777" w:rsidR="00B23F52" w:rsidRDefault="00000000">
                  <w:pPr>
                    <w:framePr w:hSpace="180" w:wrap="around" w:vAnchor="page" w:hAnchor="margin" w:xAlign="center" w:y="3301"/>
                    <w:bidi w:val="0"/>
                    <w:jc w:val="left"/>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pPr>
                  <w:r>
                    <w:rPr>
                      <w:sz w:val="16"/>
                    </w:rPr>
                    <w:t>TCP</w:t>
                  </w:r>
                </w:p>
              </w:tc>
              <w:tc>
                <w:tcPr>
                  <w:tcW w:w="648" w:type="dxa"/>
                </w:tcPr>
                <w:p w14:paraId="2E477A47" w14:textId="77777777" w:rsidR="00B23F52" w:rsidRDefault="00000000">
                  <w:pPr>
                    <w:framePr w:hSpace="180" w:wrap="around" w:vAnchor="page" w:hAnchor="margin" w:xAlign="center" w:y="3301"/>
                    <w:bidi w:val="0"/>
                    <w:jc w:val="left"/>
                  </w:pPr>
                  <w:r>
                    <w:rPr>
                      <w:sz w:val="16"/>
                    </w:rPr>
                    <w:t>5022</w:t>
                  </w:r>
                </w:p>
              </w:tc>
              <w:tc>
                <w:tcPr>
                  <w:tcW w:w="1224" w:type="dxa"/>
                </w:tcPr>
                <w:p w14:paraId="072AD31F" w14:textId="77777777" w:rsidR="00B23F52" w:rsidRDefault="00000000">
                  <w:pPr>
                    <w:framePr w:hSpace="180" w:wrap="around" w:vAnchor="page" w:hAnchor="margin" w:xAlign="center" w:y="3301"/>
                    <w:bidi w:val="0"/>
                    <w:jc w:val="left"/>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 public video id only.</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pPr>
                  <w:r>
                    <w:rPr>
                      <w:sz w:val="16"/>
                    </w:rPr>
                    <w:t>6514</w:t>
                  </w:r>
                </w:p>
              </w:tc>
              <w:tc>
                <w:tcPr>
                  <w:tcW w:w="1224" w:type="dxa"/>
                </w:tcPr>
                <w:p w14:paraId="56568857" w14:textId="77777777" w:rsidR="00B23F52" w:rsidRDefault="00000000">
                  <w:pPr>
                    <w:framePr w:hSpace="180" w:wrap="around" w:vAnchor="page" w:hAnchor="margin" w:xAlign="center" w:y="3301"/>
                    <w:bidi w:val="0"/>
                    <w:jc w:val="left"/>
                  </w:pPr>
                  <w:r>
                    <w:rPr>
                      <w:sz w:val="16"/>
                    </w:rPr>
                    <w:t>Outbound</w:t>
                  </w:r>
                </w:p>
              </w:tc>
              <w:tc>
                <w:tcPr>
                  <w:tcW w:w="2232" w:type="dxa"/>
                </w:tcPr>
                <w:p w14:paraId="50B9539C" w14:textId="77777777" w:rsidR="00B23F52" w:rsidRDefault="00000000">
                  <w:pPr>
                    <w:framePr w:hSpace="180" w:wrap="around" w:vAnchor="page" w:hAnchor="margin" w:xAlign="center" w:y="3301"/>
                    <w:bidi w:val="0"/>
                    <w:jc w:val="left"/>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are supplied through environment variables.</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Audit: two append-only trails. OperationLog records security-relevant business events with an actor snapshot, source IP, user agent and correlation ID. RowAudit records row-level before / after images with an actor snapshot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summarise and question text to filter. The call carries no account identifier.</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enable the identity-lifecycle controls (password expiry / history, dormant-account disable);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which is set when a password passes the configured maximum password age, every token-issuing path is blocked (initial password step, second-factor verify, recovery-code verify, one-time-code verify and refresh) until the user sets a new password through the reset flow.</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Database tier. High availability comes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uses a witness configured with the site.</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Application tier. Adding API nodes adds capacity with no redesign, because the API holds no session state.</w:t>
            </w:r>
          </w:p>
          <w:p w14:paraId="4CFC277E" w14:textId="77777777" w:rsidR="00B23F52" w:rsidRDefault="00000000">
            <w:pPr>
              <w:bidi w:val="0"/>
              <w:spacing w:after="80"/>
              <w:jc w:val="left"/>
            </w:pPr>
            <w:r>
              <w:rPr>
                <w:b/>
                <w:sz w:val="24"/>
              </w:rPr>
              <w:t>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Health and performance monitoring: the /health endpoint reports readiness. The monitoring toolchain collects system health metrics (CPU, memory, response time, throughput) and database query performance, and alerts on thresholds so degradation is detected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database nodes scale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rather than filtering in memory. Each list resource declares its own default page size and its own maximum, and a request for more rows than the maximum is clamped to it.</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t>Load testing and scaling: peak-shaped load tests run in staging before the event, covering registration surge, live-session concurrency, scan bursts, notification fan-out and mixed steady state. No tier scales itself. Capacity is added by deploying another node.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owner and operations actions listed in section 2.9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the scaling, query, e-mail and caching measures set out in the Solution Sizing and Performance View above, and the staging load test that runs before the event.</w:t>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A per-page end-to-end test-case catalogue is maintained as the regression record.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25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Figure 2 shows the components and their interactions. Figure 3 shows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external AI provider.</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The SMTP relay is an on-site server in HSA, on 587. The log collector is an operational service rather than a SIMF hosting server, reached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and no AI egress is possible. The on-site AI endpoint in HSA holds no outbound route. The one outbound call is the caption import, made by the Control Panel in SSA through the perimeter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