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1.1</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SIMF.RealTime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w:t>
      </w:r>
      <w:r>
        <w:t>: a public Blazor SSR site with interactive islands for the auth and account flows.</w:t>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and a production live-video provider integration</w:t>
      </w:r>
      <w:r>
        <w:t xml:space="preserve"> beyond the current YouTube-iframe approach: the geofence arrival/attendance chain is a deferred open item, and live video uses YouTube with HLS/MP4 fallback as the current design.</w:t>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the e-mail relay, the AI service and the video platform are integration endpoints called over public URLs, not components designed here. They appear in the data-flow view only; the data each receives is itemised in the third-party data statement under the data-flow figure.</w:t>
      </w:r>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in-process background workers. There is one API and it is the only writer to the databases; the three client surfaces are all clients of that one API.</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system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Background workers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three clients call the same REST API</w:t>
      </w:r>
      <w:r>
        <w:t xml:space="preserve">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Background workers</w:t>
      </w:r>
      <w:r>
        <w:t xml:space="preserve"> run in-process as hosted services and do not participate in the request path: `DormantAccountSweepService`, `RegistrationGateAutoCloseWorker`, `SessionReminderWorker`, and `EmailBackgroundService` (drains an `EmailQueue` and sends via MailKit SMTP). Notification and e-mail sending is therefore asynchronous: a request queues work and a worker drains it.</w:t>
      </w:r>
    </w:p>
    <w:p w14:paraId="1EFAAA7A" w14:textId="77777777" w:rsidR="00EC1D65" w:rsidRDefault="00000000" w:rsidP="00055633">
      <w:r>
        <w:rPr>
          <w:b/>
        </w:rPr>
        <w:t>Real-time note (as-built): live updates are delivered over REST, polled by the client on a bounded interval. This section describes that REST behaviour. No server-push transport ships in this build.</w:t>
      </w:r>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w:t>
      </w:r>
      <w:r>
        <w:t xml:space="preserve"> in `</w:t>
      </w:r>
      <w:proofErr w:type="gramStart"/>
      <w:r>
        <w:t>Configure(</w:t>
      </w:r>
      <w:proofErr w:type="gramEnd"/>
      <w:r>
        <w:t>)`: `</w:t>
      </w:r>
      <w:proofErr w:type="gramStart"/>
      <w:r>
        <w:t>AllowAnonymous(</w:t>
      </w:r>
      <w:proofErr w:type="gramEnd"/>
      <w:r>
        <w:t>)` for sign-in/sign-up/password-reset only, or `Policies(...)` naming a permission policy plus `RequireApprovedAccount` for admin actions.</w:t>
      </w:r>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system and data flow. A data flow diagram in Gane and Sarson notation: a level 0 context view and a level 1 decomposition that balances with it. The four walkthroughs below trace paths through it.</w:t>
      </w:r>
    </w:p>
    <w:p>
      <w:r>
        <w:rPr>
          <w:b/>
        </w:rPr>
        <w:t>Third-party services and the data sent to them</w:t>
      </w:r>
    </w:p>
    <w:p>
      <w:r>
        <w:rPr>
          <w:b w:val="0"/>
        </w:rPr>
        <w:t>The video platform, the AI service and the e-mail relay are called over public URLs. They are integration endpoints, not components designed as part of this solution, so they appear in the data-flow view above and deliberately not in the component view. What matters about each is the data that crosses the system boundary, stated below.</w:t>
      </w:r>
    </w:p>
    <w:p>
      <w:r>
        <w:rPr>
          <w:b w:val="0"/>
        </w:rPr>
        <w:t>Video platform (YouTube). Receives the live session stream while a session is running, and the session summary video published after it. No attendee record and no personal data accompany either; the platform receives video content and a public video identifier.</w:t>
      </w:r>
    </w:p>
    <w:p>
      <w:r>
        <w:rPr>
          <w:b w:val="0"/>
        </w:rPr>
        <w:t>AI service (Gemini API). Receives session speech and text for subtitle generation; session content for summarisation; attendee questions submitted during a session, for filtering before they reach the moderator queue; and FAQ and support text for the assistant. The unit of work is the content itself.</w:t>
      </w:r>
    </w:p>
    <w:p>
      <w:r>
        <w:rPr>
          <w:b w:val="0"/>
        </w:rPr>
        <w:t>E-mail relay. Receives notifications only: the account, booking, session and announcement messages raised by the platform, each addressed to its recipient. It receives no session content and nothing from the AI or video paths.</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D9C98A2" w14:textId="77777777" w:rsidR="00EC1D65" w:rsidRDefault="00000000" w:rsidP="00055633">
      <w:pPr>
        <w:pStyle w:val="ListBullet"/>
      </w:pPr>
      <w:r>
        <w:lastRenderedPageBreak/>
        <w:t>Reject to `Status = Rejected` with a reason, and a `BookingRejected` notification is queued (exception/alternate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 xml:space="preserve">Unauthenticated visitor browsing public content </w:t>
            </w:r>
            <w:r>
              <w:lastRenderedPageBreak/>
              <w:t>(programme, speakers, news, archive, delegations, venue map). No account.</w:t>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background workers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 geofence to `HallAttendance`.</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users near the venue.</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Sign-language, speech,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a GPS geofence crossing records `Method = Geofence`; both means update one row.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 xml:space="preserve">A1 </w:t>
            </w:r>
            <w:proofErr w:type="gramStart"/>
            <w:r>
              <w:t>Pre-session</w:t>
            </w:r>
            <w:proofErr w:type="gramEnd"/>
            <w:r>
              <w:t xml:space="preserve">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users near the venue. A4 Ratings triggers on session-end, hall-departure, live-close, day/programme-end.</w:t>
            </w:r>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accessibility AI (sign-language/speech/captions).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 xml:space="preserve">SIMF presents three </w:t>
      </w:r>
      <w:r w:rsidRPr="00055633">
        <w:t xml:space="preserve">distinct clients over the one backend API: the Control Panel (internal administration, Blazor Server), the public </w:t>
      </w:r>
      <w:proofErr w:type="gramStart"/>
      <w:r w:rsidRPr="00055633">
        <w:t>Website</w:t>
      </w:r>
      <w:proofErr w:type="gramEnd"/>
      <w:r w:rsidRPr="00055633">
        <w:t xml:space="preserve"> (Blazor SSR plus interactive auth islands), and the Mobile application (Flutter, Android and iOS). This section catalogues the screens of each </w:t>
      </w:r>
      <w:proofErr w:type="gramStart"/>
      <w:r w:rsidRPr="00055633">
        <w:t>client,</w:t>
      </w:r>
      <w:proofErr w:type="gramEnd"/>
      <w:r w:rsidRPr="00055633">
        <w:t xml:space="preserve">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w:t>
      </w:r>
      <w:r>
        <w:t xml:space="preserve"> from that index.</w:t>
      </w:r>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for public content (rendered statically for speed) with interactive islands (`InteractiveServerNoPrerender`) for the auth and account flows; cookie auth (`</w:t>
      </w:r>
      <w:proofErr w:type="gramStart"/>
      <w:r>
        <w:t>simf.web.auth</w:t>
      </w:r>
      <w:proofErr w:type="gramEnd"/>
      <w:r>
        <w:t>`) uses the same token-refresh handler as the CP, and public reads go through `SimfPublicClient`. Authorisation is binary (signed-in vs anonymous): the website has no per-page permission policies. There is no public navigation menu: every page is reached by direct URL or auth redirect. The public pages share the bilingual AR/EN RTL design system and the `ln-` SSR component kit noted per route in the page index.</w:t>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AI-assistant shell (interim, no API)</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 + sign-language + captions)</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w:t>
      </w:r>
      <w: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w:t>
      </w:r>
      <w: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w:t>
      </w:r>
      <w: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 xml:space="preserve">Business Rules. The attendee must be `Approved`; the session must be open with a free seat; the session must not overlap a `Pending` or `Approved` booking of the same attendee. A booking is </w:t>
      </w:r>
      <w:r>
        <w:lastRenderedPageBreak/>
        <w:t>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p>
    <w:p w14:paraId="41F17D3C" w14:textId="77777777" w:rsidR="00EC1D65" w:rsidRDefault="00000000" w:rsidP="00055633">
      <w:r>
        <w:t>Integration Points. Note the admin `/admin/bookings/{id}/approve|reject` endpoints (and BookingConfirmed/BookingRejected kinds) are retained but dormant; attendee reservations auto-confirm and raise no booking notification. Keep the session-started-no-attendance/no-entry events.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w:t>
      </w:r>
      <w:r>
        <w:t xml:space="preserve"> Present the exhibition: the booth directory, sponsors and their tiers, and the interactive 2D/3D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w:t>
      </w:r>
      <w:r>
        <w:t xml:space="preserve"> Let the audience take part in a session: the live broadcast with AI translation/captions and an optional notification to users near the venue, the questions an attendee </w:t>
      </w:r>
      <w:r>
        <w:lastRenderedPageBreak/>
        <w:t>puts to a moderator, comments with two-stage moderation, and the multi-trigger session, day, programme and app ratings.</w:t>
      </w:r>
    </w:p>
    <w:p w14:paraId="28695738" w14:textId="77777777" w:rsidR="00EC1D65" w:rsidRDefault="00000000" w:rsidP="00055633">
      <w:r>
        <w:rPr>
          <w:b/>
        </w:rPr>
        <w:t>Key Functionalities.</w:t>
      </w:r>
      <w:r>
        <w:t xml:space="preserve"> Start/stop live broadcast (YouTube via `youtube_player_iframe`, HLS/MP4 fallback) with a caption-language picker and an optional notification to users near the venue;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An optional feature can notify users near the venue about live sessions; viewing the live stream is not geographically restricted.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w:t>
      </w:r>
      <w:r>
        <w:t xml:space="preserve"> Connect attendees with one another and provide the cognitive-AI capabilities: interests and matchmaking, one-to-one meeting requests, the FAQ-backed AI assistant, the AI session summary, and the accessibility AI, all through one AI-provider abstraction.</w:t>
      </w:r>
    </w:p>
    <w:p w14:paraId="0CF16145" w14:textId="77777777" w:rsidR="00EC1D65" w:rsidRDefault="00000000" w:rsidP="00055633">
      <w:r>
        <w:rPr>
          <w:b/>
        </w:rPr>
        <w:t>Key Functionalities.</w:t>
      </w:r>
      <w:r>
        <w:t xml:space="preserve">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and accessibility aids, sign-language and speech conversion, live captions,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w:t>
      </w:r>
      <w:r>
        <w:t xml:space="preserve"> A meeting request to an inactive/unknown/self target, or without a topic, is rejected with a clear bilingual error; a decline requires a reason. AI capabilities degrade behind the abstraction: a deferred/unavailable provider is a configuration state, and a real AI key must be provisioned before the real filter/summary path replaces the stub.</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w:t>
      </w:r>
      <w: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a background worker drains the e-mail queue via MailKit, and a session-reminder worker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w:t>
      </w:r>
      <w:r>
        <w:t xml:space="preserve"> The figures organisers watch before and during the forum, and the live picture of who is in the venue: per-day statistics, overall statistics, live attendance and GPS-presence movement, on the Control-Panel dashboard.</w:t>
      </w:r>
    </w:p>
    <w:p w14:paraId="7F9423BF" w14:textId="77777777" w:rsidR="00EC1D65" w:rsidRDefault="00000000" w:rsidP="00055633">
      <w:r>
        <w:rPr>
          <w:b/>
        </w:rPr>
        <w:t>Key Functionalities.</w:t>
      </w:r>
      <w: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14:paraId="712C57C9" w14:textId="77777777" w:rsidR="00EC1D65" w:rsidRDefault="00000000" w:rsidP="00055633">
      <w:r>
        <w:rPr>
          <w:b/>
        </w:rPr>
        <w:lastRenderedPageBreak/>
        <w:t>Business Rules.</w:t>
      </w:r>
      <w: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w:t>
      </w:r>
      <w: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3371161"/>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3371161"/>
                    </a:xfrm>
                    <a:prstGeom prst="rect"/>
                  </pic:spPr>
                </pic:pic>
              </a:graphicData>
            </a:graphic>
          </wp:inline>
        </w:drawing>
      </w:r>
    </w:p>
    <w:p>
      <w:pPr>
        <w:jc w:val="center"/>
      </w:pPr>
      <w:r>
        <w:rPr>
          <w:i/>
        </w:rPr>
        <w:t>Figure 3. SIMF production deployment and network architecture. A UML deployment diagram: one node per hosting server, with its zone, its specification from the customer server requirements workbook, and the protocol and port of every path.</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background workers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(BFF)</w:t>
      </w:r>
      <w:r>
        <w:t>: Blazor SSR for public content with interactive islands for auth/account flows; cookie auth (`</w:t>
      </w:r>
      <w:proofErr w:type="gramStart"/>
      <w:r>
        <w:t>simf.web.auth</w:t>
      </w:r>
      <w:proofErr w:type="gramEnd"/>
      <w:r>
        <w:t>`); binary auth (signed-in vs anonymous), no per-page permissions.</w:t>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r>
      <w:r>
        <w:br/>
      </w:r>
      <w:r>
        <w:rPr>
          <w:rFonts w:ascii="MS Gothic" w:eastAsia="MS Gothic" w:hAnsi="MS Gothic" w:cs="MS Gothic" w:hint="eastAsia"/>
        </w:rPr>
        <w:t>├</w:t>
      </w:r>
      <w:r>
        <w:rPr>
          <w:rFonts w:cs="Calibri"/>
        </w:rPr>
        <w:t>─</w:t>
      </w:r>
      <w:r>
        <w:t xml:space="preserve"> App_Data/</w:t>
      </w:r>
      <w:r>
        <w:br/>
      </w:r>
      <w:r>
        <w:rPr>
          <w:rFonts w:ascii="MS Gothic" w:eastAsia="MS Gothic" w:hAnsi="MS Gothic" w:cs="MS Gothic" w:hint="eastAsia"/>
        </w:rPr>
        <w:t>├</w:t>
      </w:r>
      <w:r>
        <w:rPr>
          <w:rFonts w:cs="Calibri"/>
        </w:rPr>
        <w:t>─</w:t>
      </w:r>
      <w:r>
        <w:t xml:space="preserve"> Authentication/ # JWT/StreamToken scheme setup</w:t>
      </w:r>
      <w:r>
        <w:br/>
      </w:r>
      <w:r>
        <w:rPr>
          <w:rFonts w:ascii="MS Gothic" w:eastAsia="MS Gothic" w:hAnsi="MS Gothic" w:cs="MS Gothic" w:hint="eastAsia"/>
        </w:rPr>
        <w:t>├</w:t>
      </w:r>
      <w:r>
        <w:rPr>
          <w:rFonts w:cs="Calibri"/>
        </w:rPr>
        <w:t>─</w:t>
      </w:r>
      <w:r>
        <w:t xml:space="preserve"> Authorization/ # PermissionAuthorization (policy provider + handler)</w:t>
      </w:r>
      <w:r>
        <w:br/>
      </w:r>
      <w:r>
        <w:rPr>
          <w:rFonts w:ascii="MS Gothic" w:eastAsia="MS Gothic" w:hAnsi="MS Gothic" w:cs="MS Gothic" w:hint="eastAsia"/>
        </w:rPr>
        <w:t>├</w:t>
      </w:r>
      <w:r>
        <w:rPr>
          <w:rFonts w:cs="Calibri"/>
        </w:rPr>
        <w:t>─</w:t>
      </w:r>
      <w:r>
        <w:t xml:space="preserve"> Endpoints/ # feature-grouped endpoint classes (see below)</w:t>
      </w:r>
      <w:r>
        <w:br/>
      </w:r>
      <w:r>
        <w:rPr>
          <w:rFonts w:ascii="MS Gothic" w:eastAsia="MS Gothic" w:hAnsi="MS Gothic" w:cs="MS Gothic" w:hint="eastAsia"/>
        </w:rPr>
        <w:t>├</w:t>
      </w:r>
      <w:r>
        <w:rPr>
          <w:rFonts w:cs="Calibri"/>
        </w:rPr>
        <w:t>─</w:t>
      </w:r>
      <w:r>
        <w:t xml:space="preserve"> HostedServices/ # background workers (dormant sweep, reminders, etc.)</w:t>
      </w:r>
      <w:r>
        <w:br/>
      </w:r>
      <w:r>
        <w:rPr>
          <w:rFonts w:ascii="MS Gothic" w:eastAsia="MS Gothic" w:hAnsi="MS Gothic" w:cs="MS Gothic" w:hint="eastAsia"/>
        </w:rPr>
        <w:t>├</w:t>
      </w:r>
      <w:r>
        <w:rPr>
          <w:rFonts w:cs="Calibri"/>
        </w:rPr>
        <w:t>─</w:t>
      </w:r>
      <w:r>
        <w:t xml:space="preserve"> Middleware/ # correlation, security headers, error handling, email-rate-key, swagger auth</w:t>
      </w:r>
      <w:r>
        <w:br/>
      </w:r>
      <w:r>
        <w:rPr>
          <w:rFonts w:ascii="MS Gothic" w:eastAsia="MS Gothic" w:hAnsi="MS Gothic" w:cs="MS Gothic" w:hint="eastAsia"/>
        </w:rPr>
        <w:t>├</w:t>
      </w:r>
      <w:r>
        <w:rPr>
          <w:rFonts w:cs="Calibri"/>
        </w:rPr>
        <w:t>─</w:t>
      </w:r>
      <w:r>
        <w:t xml:space="preserve"> RateLimiting/</w:t>
      </w:r>
      <w:r>
        <w:br/>
      </w:r>
      <w:r>
        <w:rPr>
          <w:rFonts w:ascii="MS Gothic" w:eastAsia="MS Gothic" w:hAnsi="MS Gothic" w:cs="MS Gothic" w:hint="eastAsia"/>
        </w:rPr>
        <w:lastRenderedPageBreak/>
        <w:t>├</w:t>
      </w:r>
      <w:r>
        <w:rPr>
          <w:rFonts w:cs="Calibri"/>
        </w:rPr>
        <w:t>─</w:t>
      </w:r>
      <w:r>
        <w:t xml:space="preserve"> RequestContext/ # HttpRequestContext (IRequestContext)</w:t>
      </w:r>
      <w:r>
        <w:br/>
      </w:r>
      <w:r>
        <w:rPr>
          <w:rFonts w:cs="Calibri"/>
        </w:rPr>
        <w:t>└─</w:t>
      </w:r>
      <w:r>
        <w:t xml:space="preserve">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ControlPanel/SIMF.ControlPanel/</w:t>
      </w:r>
      <w:r>
        <w:br/>
        <w:t xml:space="preserve">│ </w:t>
      </w:r>
      <w:r>
        <w:rPr>
          <w:rFonts w:ascii="MS Gothic" w:eastAsia="MS Gothic" w:hAnsi="MS Gothic" w:cs="MS Gothic" w:hint="eastAsia"/>
        </w:rPr>
        <w:t>├</w:t>
      </w:r>
      <w:r>
        <w:rPr>
          <w:rFonts w:cs="Calibri"/>
        </w:rPr>
        <w:t>─</w:t>
      </w:r>
      <w:r>
        <w:t xml:space="preserve"> Endpoints/ # AuthEndpoints.cs (BFF credential/2FA + cookie)</w:t>
      </w:r>
      <w:r>
        <w:br/>
      </w:r>
      <w:r>
        <w:rPr>
          <w:rFonts w:cs="Calibri"/>
        </w:rPr>
        <w:t>│</w:t>
      </w:r>
      <w:r>
        <w:t xml:space="preserve"> </w:t>
      </w:r>
      <w:r>
        <w:rPr>
          <w:rFonts w:ascii="MS Gothic" w:eastAsia="MS Gothic" w:hAnsi="MS Gothic" w:cs="MS Gothic" w:hint="eastAsia"/>
        </w:rPr>
        <w:t>├</w:t>
      </w:r>
      <w:r>
        <w:rPr>
          <w:rFonts w:cs="Calibri"/>
        </w:rPr>
        <w:t>─</w:t>
      </w:r>
      <w:r>
        <w:t xml:space="preserve"> Authorization/ # PermissionAuthorization.cs (policy provider + handler)</w:t>
      </w:r>
      <w:r>
        <w:br/>
      </w:r>
      <w:r>
        <w:rPr>
          <w:rFonts w:cs="Calibri"/>
        </w:rPr>
        <w:t>│</w:t>
      </w:r>
      <w:r>
        <w:t xml:space="preserve"> </w:t>
      </w:r>
      <w:r>
        <w:rPr>
          <w:rFonts w:ascii="MS Gothic" w:eastAsia="MS Gothic" w:hAnsi="MS Gothic" w:cs="MS Gothic" w:hint="eastAsia"/>
        </w:rPr>
        <w:t>├</w:t>
      </w:r>
      <w:r>
        <w:rPr>
          <w:rFonts w:cs="Calibri"/>
        </w:rPr>
        <w:t>─</w:t>
      </w:r>
      <w:r>
        <w:t xml:space="preserve"> CpNavigation.cs # ~12 nav groups over /admin/* routes</w:t>
      </w:r>
      <w:r>
        <w:br/>
      </w:r>
      <w:r>
        <w:rPr>
          <w:rFonts w:cs="Calibri"/>
        </w:rPr>
        <w:t>│</w:t>
      </w:r>
      <w:r>
        <w:t xml:space="preserve"> </w:t>
      </w:r>
      <w:r>
        <w:rPr>
          <w:rFonts w:cs="Calibri"/>
        </w:rPr>
        <w:t>└─</w:t>
      </w:r>
      <w:r>
        <w:t xml:space="preserve"> (pages using SimfDataGrid + CRUD framework)</w:t>
      </w:r>
      <w:r>
        <w:br/>
      </w:r>
      <w:r>
        <w:rPr>
          <w:rFonts w:cs="Calibri"/>
        </w:rPr>
        <w:t>└─</w:t>
      </w:r>
      <w:r>
        <w:t xml:space="preserve"> Website/SIMF.Web/</w:t>
      </w:r>
      <w:r>
        <w:br/>
        <w:t xml:space="preserve"> </w:t>
      </w:r>
      <w:r>
        <w:rPr>
          <w:rFonts w:cs="Calibri"/>
        </w:rPr>
        <w:t>└─</w:t>
      </w:r>
      <w:r>
        <w:t xml:space="preserve"> (SSR public pages + interactive auth/account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 xml:space="preserve">The dependency rule is strictly inward, Domain to Application to Infrastructure to Api, which keeps the domain testable and the persistence concerns isolated. The Control Panel and Website reference only the shared client/contract/component projects (`SIMF.ApiClient`, `SIMF.Common`, </w:t>
      </w:r>
      <w:r>
        <w:lastRenderedPageBreak/>
        <w:t>`SIMF.Contracts`,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Live/sign-language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