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plus the two load balancers supplied as appliance or VM.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t>1.1 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66A8B16E" w14:textId="77777777" w:rsidR="00B23F52" w:rsidRDefault="00000000">
            <w:pPr>
              <w:bidi w:val="0"/>
              <w:spacing w:after="80"/>
              <w:ind w:left="360"/>
              <w:jc w:val="left"/>
            </w:pPr>
            <w:r>
              <w:rPr>
                <w:sz w:val="24"/>
              </w:rPr>
              <w:t>•  Open outbound internet access from the Control Panel hosts to the YouTube caption hosts only.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70ABBC20" w14:textId="77777777" w:rsidR="00B23F52" w:rsidRDefault="00000000">
            <w:pPr>
              <w:bidi w:val="0"/>
              <w:spacing w:after="80"/>
              <w:ind w:left="360"/>
              <w:jc w:val="left"/>
            </w:pPr>
            <w:r>
              <w:rPr>
                <w:sz w:val="24"/>
              </w:rPr>
              <w:t>•  Provision MinIO object storage in the HSA data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MinIO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rPr>
                <w:tblHeader/>
              </w:trPr>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 from the website and the Control Panel; the mobile edge forwards the app's own request as a reverse proxy.</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are supplied through environment variables.</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enabled with the identity-lifecycle controls in the owner and operations actions above.</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owner and operations actions listed in section 2.9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