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050"/>
          <w:sz w:val="40"/>
        </w:rPr>
        <w:t>Formal Response to the Technical Review</w:t>
      </w:r>
    </w:p>
    <w:p>
      <w:pPr>
        <w:jc w:val="center"/>
      </w:pPr>
      <w:r>
        <w:rPr>
          <w:color w:val="1F3050"/>
          <w:sz w:val="24"/>
        </w:rPr>
        <w:t>SIMF, Saudi International Maritime Forum Platform</w:t>
      </w:r>
    </w:p>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050"/>
          </w:tcPr>
          <w:p>
            <w:pPr>
              <w:spacing w:after="40"/>
            </w:pPr>
            <w:r/>
            <w:r>
              <w:rPr>
                <w:b/>
                <w:color w:val="FFFFFF"/>
                <w:sz w:val="18"/>
              </w:rPr>
              <w:t>Field</w:t>
            </w:r>
          </w:p>
        </w:tc>
        <w:tc>
          <w:tcPr>
            <w:tcW w:type="dxa" w:w="4824"/>
            <w:shd w:val="clear" w:color="auto" w:fill="1F3050"/>
          </w:tcPr>
          <w:p>
            <w:pPr>
              <w:spacing w:after="40"/>
            </w:pPr>
            <w:r/>
            <w:r>
              <w:rPr>
                <w:b/>
                <w:color w:val="FFFFFF"/>
                <w:sz w:val="18"/>
              </w:rPr>
              <w:t>Value</w:t>
            </w:r>
          </w:p>
        </w:tc>
      </w:tr>
      <w:tr>
        <w:tc>
          <w:tcPr>
            <w:tcW w:type="dxa" w:w="4824"/>
          </w:tcPr>
          <w:p>
            <w:pPr>
              <w:spacing w:after="40"/>
            </w:pPr>
            <w:r/>
            <w:r>
              <w:rPr>
                <w:sz w:val="18"/>
              </w:rPr>
              <w:t>Document</w:t>
            </w:r>
          </w:p>
        </w:tc>
        <w:tc>
          <w:tcPr>
            <w:tcW w:type="dxa" w:w="4824"/>
          </w:tcPr>
          <w:p>
            <w:pPr>
              <w:spacing w:after="40"/>
            </w:pPr>
            <w:r/>
            <w:r>
              <w:rPr>
                <w:sz w:val="18"/>
              </w:rPr>
              <w:t>Formal Response to the Technical Review of SIMF-HLD-002 v0.07</w:t>
            </w:r>
          </w:p>
        </w:tc>
      </w:tr>
      <w:tr>
        <w:tc>
          <w:tcPr>
            <w:tcW w:type="dxa" w:w="4824"/>
          </w:tcPr>
          <w:p>
            <w:pPr>
              <w:spacing w:after="40"/>
            </w:pPr>
            <w:r/>
            <w:r>
              <w:rPr>
                <w:sz w:val="18"/>
              </w:rPr>
              <w:t>Responds to</w:t>
            </w:r>
          </w:p>
        </w:tc>
        <w:tc>
          <w:tcPr>
            <w:tcW w:type="dxa" w:w="4824"/>
          </w:tcPr>
          <w:p>
            <w:pPr>
              <w:spacing w:after="40"/>
            </w:pPr>
            <w:r/>
            <w:r>
              <w:rPr>
                <w:sz w:val="18"/>
              </w:rPr>
              <w:t>MoD technical review comments, thirteen clarification points</w:t>
            </w:r>
          </w:p>
        </w:tc>
      </w:tr>
      <w:tr>
        <w:tc>
          <w:tcPr>
            <w:tcW w:type="dxa" w:w="4824"/>
          </w:tcPr>
          <w:p>
            <w:pPr>
              <w:spacing w:after="40"/>
            </w:pPr>
            <w:r/>
            <w:r>
              <w:rPr>
                <w:sz w:val="18"/>
              </w:rPr>
              <w:t>Issued with</w:t>
            </w:r>
          </w:p>
        </w:tc>
        <w:tc>
          <w:tcPr>
            <w:tcW w:type="dxa" w:w="4824"/>
          </w:tcPr>
          <w:p>
            <w:pPr>
              <w:spacing w:after="40"/>
            </w:pPr>
            <w:r/>
            <w:r>
              <w:rPr>
                <w:sz w:val="18"/>
              </w:rPr>
              <w:t>SIMF-HLD-003, High-Level Design (External), version 1.0</w:t>
            </w:r>
          </w:p>
        </w:tc>
      </w:tr>
      <w:tr>
        <w:tc>
          <w:tcPr>
            <w:tcW w:type="dxa" w:w="4824"/>
          </w:tcPr>
          <w:p>
            <w:pPr>
              <w:spacing w:after="40"/>
            </w:pPr>
            <w:r/>
            <w:r>
              <w:rPr>
                <w:sz w:val="18"/>
              </w:rPr>
              <w:t>Date</w:t>
            </w:r>
          </w:p>
        </w:tc>
        <w:tc>
          <w:tcPr>
            <w:tcW w:type="dxa" w:w="4824"/>
          </w:tcPr>
          <w:p>
            <w:pPr>
              <w:spacing w:after="40"/>
            </w:pPr>
            <w:r/>
            <w:r>
              <w:rPr>
                <w:sz w:val="18"/>
              </w:rPr>
              <w:t>2026-07-30</w:t>
            </w:r>
          </w:p>
        </w:tc>
      </w:tr>
      <w:tr>
        <w:tc>
          <w:tcPr>
            <w:tcW w:type="dxa" w:w="4824"/>
          </w:tcPr>
          <w:p>
            <w:pPr>
              <w:spacing w:after="40"/>
            </w:pPr>
            <w:r/>
            <w:r>
              <w:rPr>
                <w:sz w:val="18"/>
              </w:rPr>
              <w:t>Programme</w:t>
            </w:r>
          </w:p>
        </w:tc>
        <w:tc>
          <w:tcPr>
            <w:tcW w:type="dxa" w:w="4824"/>
          </w:tcPr>
          <w:p>
            <w:pPr>
              <w:spacing w:after="40"/>
            </w:pPr>
            <w:r/>
            <w:r>
              <w:rPr>
                <w:sz w:val="18"/>
              </w:rPr>
              <w:t>Royal Saudi Naval Forces (RSNF), Ministry of Defense</w:t>
            </w:r>
          </w:p>
        </w:tc>
      </w:tr>
      <w:tr>
        <w:tc>
          <w:tcPr>
            <w:tcW w:type="dxa" w:w="4824"/>
          </w:tcPr>
          <w:p>
            <w:pPr>
              <w:spacing w:after="40"/>
            </w:pPr>
            <w:r/>
            <w:r>
              <w:rPr>
                <w:sz w:val="18"/>
              </w:rPr>
              <w:t>Classification</w:t>
            </w:r>
          </w:p>
        </w:tc>
        <w:tc>
          <w:tcPr>
            <w:tcW w:type="dxa" w:w="4824"/>
          </w:tcPr>
          <w:p>
            <w:pPr>
              <w:spacing w:after="40"/>
            </w:pPr>
            <w:r/>
            <w:r>
              <w:rPr>
                <w:sz w:val="18"/>
              </w:rPr>
              <w:t>Confidential</w:t>
            </w:r>
          </w:p>
        </w:tc>
      </w:tr>
    </w:tbl>
    <w:p/>
    <w:p>
      <w:pPr>
        <w:pStyle w:val="Heading1"/>
      </w:pPr>
      <w:r>
        <w:t>1. Introduction</w:t>
      </w:r>
    </w:p>
    <w:p>
      <w:r>
        <w:rPr>
          <w:b w:val="0"/>
          <w:i w:val="0"/>
        </w:rPr>
        <w:t>We thank the review team for the thirteen clarification points raised against SIMF-HLD-002 version 0.07. Each point has been addressed in full and the design document has been reissued as SIMF-HLD-003 version 1.0, which accompanies this response.</w:t>
      </w:r>
    </w:p>
    <w:p>
      <w:r>
        <w:rPr>
          <w:b w:val="0"/>
          <w:i w:val="0"/>
        </w:rPr>
        <w:t>This document provides a direct answer to each point and states where the corresponding detail is recorded in HLD-003. Three matters warrant the review team's attention before the point-by-point responses:</w:t>
      </w:r>
    </w:p>
    <w:p>
      <w:r>
        <w:rPr>
          <w:b/>
          <w:i w:val="0"/>
        </w:rPr>
        <w:t>a) A material design decision has been taken.</w:t>
      </w:r>
    </w:p>
    <w:p>
      <w:pPr>
        <w:ind w:left="360"/>
      </w:pPr>
      <w:r>
        <w:rPr>
          <w:b w:val="0"/>
          <w:i w:val="0"/>
        </w:rPr>
        <w:t>All artificial-intelligence processing now runs on-premises. No AI request, and no session content, leaves the ministry network. This supersedes the previous hybrid model and is described in section 3 below.</w:t>
      </w:r>
    </w:p>
    <w:p>
      <w:r>
        <w:rPr>
          <w:b/>
          <w:i w:val="0"/>
        </w:rPr>
        <w:t>b) Two points were found to be defects in the diagram, not in the design.</w:t>
      </w:r>
    </w:p>
    <w:p>
      <w:pPr>
        <w:ind w:left="360"/>
      </w:pPr>
      <w:r>
        <w:rPr>
          <w:b w:val="0"/>
          <w:i w:val="0"/>
        </w:rPr>
        <w:t>Points 11 and 12 arose from a drawing artefact in Figure 1 of version 0.07. The design was correct; the figure did not represent it accurately. Both are corrected.</w:t>
      </w:r>
    </w:p>
    <w:p>
      <w:r>
        <w:rPr>
          <w:b/>
          <w:i w:val="0"/>
        </w:rPr>
        <w:t>c) We have self-reported four inaccuracies.</w:t>
      </w:r>
    </w:p>
    <w:p>
      <w:pPr>
        <w:ind w:left="360"/>
      </w:pPr>
      <w:r>
        <w:rPr>
          <w:b w:val="0"/>
          <w:i w:val="0"/>
        </w:rPr>
        <w:t>In preparing this response we audited the delivered system against version 0.07 and identified four statements that did not match the as-built solution. These were not raised by the review team. They are disclosed in section 5 and corrected in HLD-003.</w:t>
      </w:r>
    </w:p>
    <w:p>
      <w:pPr>
        <w:pStyle w:val="Heading1"/>
      </w:pPr>
      <w:r>
        <w:t>2. Summary of disposition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050"/>
          </w:tcPr>
          <w:p>
            <w:pPr>
              <w:spacing w:after="40"/>
            </w:pPr>
            <w:r/>
            <w:r>
              <w:rPr>
                <w:b/>
                <w:color w:val="FFFFFF"/>
                <w:sz w:val="18"/>
              </w:rPr>
              <w:t>Category</w:t>
            </w:r>
          </w:p>
        </w:tc>
        <w:tc>
          <w:tcPr>
            <w:tcW w:type="dxa" w:w="3216"/>
            <w:shd w:val="clear" w:color="auto" w:fill="1F3050"/>
          </w:tcPr>
          <w:p>
            <w:pPr>
              <w:spacing w:after="40"/>
            </w:pPr>
            <w:r/>
            <w:r>
              <w:rPr>
                <w:b/>
                <w:color w:val="FFFFFF"/>
                <w:sz w:val="18"/>
              </w:rPr>
              <w:t>Points</w:t>
            </w:r>
          </w:p>
        </w:tc>
        <w:tc>
          <w:tcPr>
            <w:tcW w:type="dxa" w:w="3216"/>
            <w:shd w:val="clear" w:color="auto" w:fill="1F3050"/>
          </w:tcPr>
          <w:p>
            <w:pPr>
              <w:spacing w:after="40"/>
            </w:pPr>
            <w:r/>
            <w:r>
              <w:rPr>
                <w:b/>
                <w:color w:val="FFFFFF"/>
                <w:sz w:val="18"/>
              </w:rPr>
              <w:t>Disposition</w:t>
            </w:r>
          </w:p>
        </w:tc>
      </w:tr>
      <w:tr>
        <w:tc>
          <w:tcPr>
            <w:tcW w:type="dxa" w:w="3216"/>
          </w:tcPr>
          <w:p>
            <w:pPr>
              <w:spacing w:after="40"/>
            </w:pPr>
            <w:r/>
            <w:r>
              <w:rPr>
                <w:sz w:val="18"/>
              </w:rPr>
              <w:t>Clarification provided, design unchanged</w:t>
            </w:r>
          </w:p>
        </w:tc>
        <w:tc>
          <w:tcPr>
            <w:tcW w:type="dxa" w:w="3216"/>
          </w:tcPr>
          <w:p>
            <w:pPr>
              <w:spacing w:after="40"/>
            </w:pPr>
            <w:r/>
            <w:r>
              <w:rPr>
                <w:sz w:val="18"/>
              </w:rPr>
              <w:t>1, 2, 3, 4, 5, 6, 8, 9</w:t>
            </w:r>
          </w:p>
        </w:tc>
        <w:tc>
          <w:tcPr>
            <w:tcW w:type="dxa" w:w="3216"/>
          </w:tcPr>
          <w:p>
            <w:pPr>
              <w:spacing w:after="40"/>
            </w:pPr>
            <w:r/>
            <w:r>
              <w:rPr>
                <w:sz w:val="18"/>
              </w:rPr>
              <w:t>Answered in HLD-003</w:t>
            </w:r>
          </w:p>
        </w:tc>
      </w:tr>
      <w:tr>
        <w:tc>
          <w:tcPr>
            <w:tcW w:type="dxa" w:w="3216"/>
          </w:tcPr>
          <w:p>
            <w:pPr>
              <w:spacing w:after="40"/>
            </w:pPr>
            <w:r/>
            <w:r>
              <w:rPr>
                <w:sz w:val="18"/>
              </w:rPr>
              <w:t>Documentation defect, corrected</w:t>
            </w:r>
          </w:p>
        </w:tc>
        <w:tc>
          <w:tcPr>
            <w:tcW w:type="dxa" w:w="3216"/>
          </w:tcPr>
          <w:p>
            <w:pPr>
              <w:spacing w:after="40"/>
            </w:pPr>
            <w:r/>
            <w:r>
              <w:rPr>
                <w:sz w:val="18"/>
              </w:rPr>
              <w:t>10, 11, 12, 13</w:t>
            </w:r>
          </w:p>
        </w:tc>
        <w:tc>
          <w:tcPr>
            <w:tcW w:type="dxa" w:w="3216"/>
          </w:tcPr>
          <w:p>
            <w:pPr>
              <w:spacing w:after="40"/>
            </w:pPr>
            <w:r/>
            <w:r>
              <w:rPr>
                <w:sz w:val="18"/>
              </w:rPr>
              <w:t>Figure and matrix reissued</w:t>
            </w:r>
          </w:p>
        </w:tc>
      </w:tr>
      <w:tr>
        <w:tc>
          <w:tcPr>
            <w:tcW w:type="dxa" w:w="3216"/>
          </w:tcPr>
          <w:p>
            <w:pPr>
              <w:spacing w:after="40"/>
            </w:pPr>
            <w:r/>
            <w:r>
              <w:rPr>
                <w:sz w:val="18"/>
              </w:rPr>
              <w:t>New content supplied</w:t>
            </w:r>
          </w:p>
        </w:tc>
        <w:tc>
          <w:tcPr>
            <w:tcW w:type="dxa" w:w="3216"/>
          </w:tcPr>
          <w:p>
            <w:pPr>
              <w:spacing w:after="40"/>
            </w:pPr>
            <w:r/>
            <w:r>
              <w:rPr>
                <w:sz w:val="18"/>
              </w:rPr>
              <w:t>7</w:t>
            </w:r>
          </w:p>
        </w:tc>
        <w:tc>
          <w:tcPr>
            <w:tcW w:type="dxa" w:w="3216"/>
          </w:tcPr>
          <w:p>
            <w:pPr>
              <w:spacing w:after="40"/>
            </w:pPr>
            <w:r/>
            <w:r>
              <w:rPr>
                <w:sz w:val="18"/>
              </w:rPr>
              <w:t>Nine sequence diagrams added</w:t>
            </w:r>
          </w:p>
        </w:tc>
      </w:tr>
    </w:tbl>
    <w:p/>
    <w:p>
      <w:pPr>
        <w:pStyle w:val="Heading1"/>
      </w:pPr>
      <w:r>
        <w:t>3. Material decision: all AI processing is on-premises</w:t>
      </w:r>
    </w:p>
    <w:p>
      <w:r>
        <w:rPr>
          <w:b w:val="0"/>
          <w:i w:val="0"/>
        </w:rPr>
        <w:t>Further to point 4 and point 9, the programme owner has directed that no artificial intelligence service is consumed from the cloud. All inference runs on an on-premises service inside the application zone.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050"/>
          </w:tcPr>
          <w:p>
            <w:pPr>
              <w:spacing w:after="40"/>
            </w:pPr>
            <w:r/>
            <w:r>
              <w:rPr>
                <w:b/>
                <w:color w:val="FFFFFF"/>
                <w:sz w:val="18"/>
              </w:rPr>
              <w:t>Aspect</w:t>
            </w:r>
          </w:p>
        </w:tc>
        <w:tc>
          <w:tcPr>
            <w:tcW w:type="dxa" w:w="4824"/>
            <w:shd w:val="clear" w:color="auto" w:fill="1F3050"/>
          </w:tcPr>
          <w:p>
            <w:pPr>
              <w:spacing w:after="40"/>
            </w:pPr>
            <w:r/>
            <w:r>
              <w:rPr>
                <w:b/>
                <w:color w:val="FFFFFF"/>
                <w:sz w:val="18"/>
              </w:rPr>
              <w:t>Position</w:t>
            </w:r>
          </w:p>
        </w:tc>
      </w:tr>
      <w:tr>
        <w:tc>
          <w:tcPr>
            <w:tcW w:type="dxa" w:w="4824"/>
          </w:tcPr>
          <w:p>
            <w:pPr>
              <w:spacing w:after="40"/>
            </w:pPr>
            <w:r/>
            <w:r>
              <w:rPr>
                <w:sz w:val="18"/>
              </w:rPr>
              <w:t>Inference location</w:t>
            </w:r>
          </w:p>
        </w:tc>
        <w:tc>
          <w:tcPr>
            <w:tcW w:type="dxa" w:w="4824"/>
          </w:tcPr>
          <w:p>
            <w:pPr>
              <w:spacing w:after="40"/>
            </w:pPr>
            <w:r/>
            <w:r>
              <w:rPr>
                <w:sz w:val="18"/>
              </w:rPr>
              <w:t>On-premises inference service in the SSA application zone</w:t>
            </w:r>
          </w:p>
        </w:tc>
      </w:tr>
      <w:tr>
        <w:tc>
          <w:tcPr>
            <w:tcW w:type="dxa" w:w="4824"/>
          </w:tcPr>
          <w:p>
            <w:pPr>
              <w:spacing w:after="40"/>
            </w:pPr>
            <w:r/>
            <w:r>
              <w:rPr>
                <w:sz w:val="18"/>
              </w:rPr>
              <w:t>Mechanism</w:t>
            </w:r>
          </w:p>
        </w:tc>
        <w:tc>
          <w:tcPr>
            <w:tcW w:type="dxa" w:w="4824"/>
          </w:tcPr>
          <w:p>
            <w:pPr>
              <w:spacing w:after="40"/>
            </w:pPr>
            <w:r/>
            <w:r>
              <w:rPr>
                <w:sz w:val="18"/>
              </w:rPr>
              <w:t>The existing provider abstraction pointed at a local endpoint. A configuration value, not a code change</w:t>
            </w:r>
          </w:p>
        </w:tc>
      </w:tr>
      <w:tr>
        <w:tc>
          <w:tcPr>
            <w:tcW w:type="dxa" w:w="4824"/>
          </w:tcPr>
          <w:p>
            <w:pPr>
              <w:spacing w:after="40"/>
            </w:pPr>
            <w:r/>
            <w:r>
              <w:rPr>
                <w:sz w:val="18"/>
              </w:rPr>
              <w:t>Cloud providers</w:t>
            </w:r>
          </w:p>
        </w:tc>
        <w:tc>
          <w:tcPr>
            <w:tcW w:type="dxa" w:w="4824"/>
          </w:tcPr>
          <w:p>
            <w:pPr>
              <w:spacing w:after="40"/>
            </w:pPr>
            <w:r/>
            <w:r>
              <w:rPr>
                <w:sz w:val="18"/>
              </w:rPr>
              <w:t>Not configured. Without a key each refuses the call rather than falling back</w:t>
            </w:r>
          </w:p>
        </w:tc>
      </w:tr>
      <w:tr>
        <w:tc>
          <w:tcPr>
            <w:tcW w:type="dxa" w:w="4824"/>
          </w:tcPr>
          <w:p>
            <w:pPr>
              <w:spacing w:after="40"/>
            </w:pPr>
            <w:r/>
            <w:r>
              <w:rPr>
                <w:sz w:val="18"/>
              </w:rPr>
              <w:t>Default state</w:t>
            </w:r>
          </w:p>
        </w:tc>
        <w:tc>
          <w:tcPr>
            <w:tcW w:type="dxa" w:w="4824"/>
          </w:tcPr>
          <w:p>
            <w:pPr>
              <w:spacing w:after="40"/>
            </w:pPr>
            <w:r/>
            <w:r>
              <w:rPr>
                <w:sz w:val="18"/>
              </w:rPr>
              <w:t>An offline stub, so an unconfigured environment makes no AI call at all</w:t>
            </w:r>
          </w:p>
        </w:tc>
      </w:tr>
      <w:tr>
        <w:tc>
          <w:tcPr>
            <w:tcW w:type="dxa" w:w="4824"/>
          </w:tcPr>
          <w:p>
            <w:pPr>
              <w:spacing w:after="40"/>
            </w:pPr>
            <w:r/>
            <w:r>
              <w:rPr>
                <w:sz w:val="18"/>
              </w:rPr>
              <w:t>Traffic path</w:t>
            </w:r>
          </w:p>
        </w:tc>
        <w:tc>
          <w:tcPr>
            <w:tcW w:type="dxa" w:w="4824"/>
          </w:tcPr>
          <w:p>
            <w:pPr>
              <w:spacing w:after="40"/>
            </w:pPr>
            <w:r/>
            <w:r>
              <w:rPr>
                <w:sz w:val="18"/>
              </w:rPr>
              <w:t>Internal to the application zone. It does not traverse the load balancer, the egress point, or any firewall boundary to the Internet</w:t>
            </w:r>
          </w:p>
        </w:tc>
      </w:tr>
      <w:tr>
        <w:tc>
          <w:tcPr>
            <w:tcW w:type="dxa" w:w="4824"/>
          </w:tcPr>
          <w:p>
            <w:pPr>
              <w:spacing w:after="40"/>
            </w:pPr>
            <w:r/>
            <w:r>
              <w:rPr>
                <w:sz w:val="18"/>
              </w:rPr>
              <w:t>Data leaving the ministry for AI</w:t>
            </w:r>
          </w:p>
        </w:tc>
        <w:tc>
          <w:tcPr>
            <w:tcW w:type="dxa" w:w="4824"/>
          </w:tcPr>
          <w:p>
            <w:pPr>
              <w:spacing w:after="40"/>
            </w:pPr>
            <w:r/>
            <w:r>
              <w:rPr>
                <w:sz w:val="18"/>
              </w:rPr>
              <w:t>None</w:t>
            </w:r>
          </w:p>
        </w:tc>
      </w:tr>
    </w:tbl>
    <w:p/>
    <w:p>
      <w:r>
        <w:rPr>
          <w:b w:val="0"/>
          <w:i w:val="0"/>
        </w:rPr>
        <w:t>The consequences for the security posture are significant and we invite the review team to note them:</w:t>
      </w:r>
    </w:p>
    <w:p>
      <w:pPr>
        <w:pStyle w:val="ListBullet"/>
      </w:pPr>
      <w:r>
        <w:t>The platform's entire external data exchange reduces to one optional flow, the import of an existing caption track from YouTube, which carries only a public video identifier.</w:t>
      </w:r>
    </w:p>
    <w:p>
      <w:pPr>
        <w:pStyle w:val="ListBullet"/>
      </w:pPr>
      <w:r>
        <w:t>Session transcripts, speaker names, attendee questions and operator queries all remain inside the ministry boundary.</w:t>
      </w:r>
    </w:p>
    <w:p>
      <w:pPr>
        <w:pStyle w:val="ListBullet"/>
      </w:pPr>
      <w:r>
        <w:t>Questions of provider data retention, model training, data residency, sub-processors and data-processing agreements no longer arise, because no content is disclosed to any third-party processor.</w:t>
      </w:r>
    </w:p>
    <w:p>
      <w:pPr>
        <w:pStyle w:val="ListBullet"/>
      </w:pPr>
      <w:r>
        <w:t>The outbound firewall allow-list reduces to three YouTube caption hostnames, and the caption feature degrades gracefully to manual paste or upload if that egress is not approved.</w:t>
      </w:r>
    </w:p>
    <w:p>
      <w:pPr>
        <w:pStyle w:val="Heading1"/>
      </w:pPr>
      <w:r>
        <w:t>4. Response to each clarification point</w:t>
      </w:r>
    </w:p>
    <w:p>
      <w:pPr>
        <w:pStyle w:val="Heading2"/>
      </w:pPr>
      <w:r>
        <w:t>Point 1</w:t>
      </w:r>
    </w:p>
    <w:p>
      <w:r>
        <w:rPr>
          <w:b w:val="0"/>
          <w:i/>
        </w:rPr>
        <w:t>Two-tier or three-tier; is the presentation layer deployed separately from the API</w:t>
      </w:r>
    </w:p>
    <w:p>
      <w:r>
        <w:rPr>
          <w:b w:val="0"/>
          <w:i w:val="0"/>
        </w:rPr>
        <w:t>The solution is three-tier: presentation (public website and Control Panel), application (API and background worker), and data (SQL Server and file store). In production the presentation tier and the application tier run on separate hosts. The separation is enforced: only the API and the worker hold database connection strings, so neither presentation application can reach the database at all; both obtain every byte of data from the API over HTTPS. The tiers appeared merged only because version 0.07 grouped them inside a single diagram box.</w:t>
      </w:r>
    </w:p>
    <w:p>
      <w:r>
        <w:rPr>
          <w:b/>
          <w:i w:val="0"/>
        </w:rPr>
        <w:t>Recorded in: HLD-003 section 2.1.1</w:t>
      </w:r>
    </w:p>
    <w:p>
      <w:pPr>
        <w:pStyle w:val="Heading2"/>
      </w:pPr>
      <w:r>
        <w:t>Point 2</w:t>
      </w:r>
    </w:p>
    <w:p>
      <w:r>
        <w:rPr>
          <w:b w:val="0"/>
          <w:i/>
        </w:rPr>
        <w:t>Role and communication flow of the YouTube integration</w:t>
      </w:r>
    </w:p>
    <w:p>
      <w:r>
        <w:rPr>
          <w:b w:val="0"/>
          <w:i w:val="0"/>
        </w:rPr>
        <w:t>There are two distinct flows. Live video is played directly from YouTube by the attendee device and never passes through the platform; only the stream URL is stored. Caption import is a separate, outbound, server-to-server call made by the backend. No inbound connection from YouTube exists.</w:t>
      </w:r>
    </w:p>
    <w:p>
      <w:r>
        <w:rPr>
          <w:b/>
          <w:i w:val="0"/>
        </w:rPr>
        <w:t>Recorded in: HLD-003 section 2.4.1</w:t>
      </w:r>
    </w:p>
    <w:p>
      <w:pPr>
        <w:pStyle w:val="Heading2"/>
      </w:pPr>
      <w:r>
        <w:t>Point 3</w:t>
      </w:r>
    </w:p>
    <w:p>
      <w:r>
        <w:rPr>
          <w:b w:val="0"/>
          <w:i/>
        </w:rPr>
        <w:t>Does the solution only embed the stream, or use YouTube APIs to create, manage or retrieve stream and caption information</w:t>
      </w:r>
    </w:p>
    <w:p>
      <w:r>
        <w:rPr>
          <w:b w:val="0"/>
          <w:i w:val="0"/>
        </w:rPr>
        <w:t>The solution embeds the stream for playback and performs a read-only retrieval of an existing caption track. It does not create, schedule, manage or control broadcasts, does not read broadcast metadata, does not create or upload captions, does not use the YouTube Data API, and holds no Google account, service account or OAuth credential. Broadcasts are created on YouTube by ministry staff and the resulting URL is entered in the Control Panel.</w:t>
      </w:r>
    </w:p>
    <w:p>
      <w:r>
        <w:rPr>
          <w:b/>
          <w:i w:val="0"/>
        </w:rPr>
        <w:t>Recorded in: HLD-003 section 2.4.1</w:t>
      </w:r>
    </w:p>
    <w:p>
      <w:pPr>
        <w:pStyle w:val="Heading2"/>
      </w:pPr>
      <w:r>
        <w:t>Point 4</w:t>
      </w:r>
    </w:p>
    <w:p>
      <w:r>
        <w:rPr>
          <w:b w:val="0"/>
          <w:i/>
        </w:rPr>
        <w:t>Purpose and outbound flow between the backend, the AI provider and the YouTube caption API, including data exchange and authentication</w:t>
      </w:r>
    </w:p>
    <w:p>
      <w:r>
        <w:rPr>
          <w:b w:val="0"/>
          <w:i w:val="0"/>
        </w:rPr>
        <w:t>Following the decision in section 3 above, there is no outbound AI flow. AI is an internal call within the application zone. The only outbound flow is the caption import, which is unauthenticated, carries only the public video identifier, and is protected by host re-validation and disabled redirects. Its purpose is to supply a transcript to the on-premises session-summary drafter, which the Scientific Committee then reviews and approves before publication.</w:t>
      </w:r>
    </w:p>
    <w:p>
      <w:r>
        <w:rPr>
          <w:b/>
          <w:i w:val="0"/>
        </w:rPr>
        <w:t>Recorded in: HLD-003 sections 2.4.1, 2.4.2 and Annex A</w:t>
      </w:r>
    </w:p>
    <w:p>
      <w:pPr>
        <w:pStyle w:val="Heading2"/>
      </w:pPr>
      <w:r>
        <w:t>Point 5</w:t>
      </w:r>
    </w:p>
    <w:p>
      <w:r>
        <w:rPr>
          <w:b w:val="0"/>
          <w:i/>
        </w:rPr>
        <w:t>How users are authenticated on subsequent logins if passwords are not stored; whether an emailed password is temporary and must be changed</w:t>
      </w:r>
    </w:p>
    <w:p>
      <w:r>
        <w:rPr>
          <w:b w:val="0"/>
          <w:i w:val="0"/>
        </w:rPr>
        <w:t>Passwords are stored, as salted PBKDF2 hashes. Only the plaintext is not stored, and each sign-in re-derives and compares the hash. The platform never sends a password by e-mail. Accounts created by an administrator are created with no password at all and receive a seven-day invitation through which the user sets their own; consequently nothing is temporary and there is no forced change at first login, because no system-issued password exists. Items sent by e-mail are always short-lived, single-use, hashed codes.</w:t>
      </w:r>
    </w:p>
    <w:p>
      <w:r>
        <w:rPr>
          <w:b/>
          <w:i w:val="0"/>
        </w:rPr>
        <w:t>Recorded in: HLD-003 section 2.9.1</w:t>
      </w:r>
    </w:p>
    <w:p>
      <w:pPr>
        <w:pStyle w:val="Heading2"/>
      </w:pPr>
      <w:r>
        <w:t>Point 6</w:t>
      </w:r>
    </w:p>
    <w:p>
      <w:r>
        <w:rPr>
          <w:b w:val="0"/>
          <w:i/>
        </w:rPr>
        <w:t>Purpose of the file share storage and the types of file and data stored</w:t>
      </w:r>
    </w:p>
    <w:p>
      <w:r>
        <w:rPr>
          <w:b w:val="0"/>
          <w:i w:val="0"/>
        </w:rPr>
        <w:t>The store keeps binary content out of the database, gives a multi-node application tier a single coherent view, and concentrates file security decisions in one policy registry. Eighteen categories are classified across four sensitivity tiers, from public images through to identity documents, which are the most protected class and are audited on every access. HLD-003 sets out the full table, including which categories are encrypted at rest and the technical reason where a category is deliberately not.</w:t>
      </w:r>
    </w:p>
    <w:p>
      <w:r>
        <w:rPr>
          <w:b/>
          <w:i w:val="0"/>
        </w:rPr>
        <w:t>Recorded in: HLD-003 section 2.8.3</w:t>
      </w:r>
    </w:p>
    <w:p>
      <w:pPr>
        <w:pStyle w:val="Heading2"/>
      </w:pPr>
      <w:r>
        <w:t>Point 7</w:t>
      </w:r>
    </w:p>
    <w:p>
      <w:r>
        <w:rPr>
          <w:b w:val="0"/>
          <w:i/>
        </w:rPr>
        <w:t>Sequence diagrams for the key system workflows</w:t>
      </w:r>
    </w:p>
    <w:p>
      <w:r>
        <w:rPr>
          <w:b w:val="0"/>
          <w:i w:val="0"/>
        </w:rPr>
        <w:t>Nine workflows are documented as numbered interaction sequences covering every relevant component: registration and approval; sign-in with the second factor; biometric enrolment and sign-in; seat reservation and check-in; gate scan; live session and moderated questions; AI session summary; asynchronous e-mail dispatch; and logging to the SIEM.</w:t>
      </w:r>
    </w:p>
    <w:p>
      <w:r>
        <w:rPr>
          <w:b/>
          <w:i w:val="0"/>
        </w:rPr>
        <w:t>Recorded in: HLD-003 sections 2.3.1 to 2.3.9</w:t>
      </w:r>
    </w:p>
    <w:p>
      <w:pPr>
        <w:pStyle w:val="Heading2"/>
      </w:pPr>
      <w:r>
        <w:t>Point 8</w:t>
      </w:r>
    </w:p>
    <w:p>
      <w:r>
        <w:rPr>
          <w:b w:val="0"/>
          <w:i/>
        </w:rPr>
        <w:t>Mobile enrolment and authentication flow, OTP, secure storage of the private key, public key registration, device binding, revocation, and the lost or replaced device process</w:t>
      </w:r>
    </w:p>
    <w:p>
      <w:r>
        <w:rPr>
          <w:b w:val="0"/>
          <w:i w:val="0"/>
        </w:rPr>
        <w:t>Enrolment requires an already-authenticated session, an emailed step-up code, and a device credential confirmation on the handset. The device generates the key pair locally and the private key never leaves it; only the public key is registered. Sign-in is a challenge and response with a single-use challenge consumed atomically, so a replay cannot succeed. Revocation is available to the user and to an administrator and is idempotent. A lost device is handled by signing in with password and second factor, revoking the lost key and enrolling a new one, or by administrator revocation. Biometric authentication is never the only factor. HLD-003 also discloses that the key is presently software-bound in secure storage, with hardware binding identified as planned hardening.</w:t>
      </w:r>
    </w:p>
    <w:p>
      <w:r>
        <w:rPr>
          <w:b/>
          <w:i w:val="0"/>
        </w:rPr>
        <w:t>Recorded in: HLD-003 sections 2.9.1 and 2.3.3</w:t>
      </w:r>
    </w:p>
    <w:p>
      <w:pPr>
        <w:pStyle w:val="Heading2"/>
      </w:pPr>
      <w:r>
        <w:t>Point 9</w:t>
      </w:r>
    </w:p>
    <w:p>
      <w:r>
        <w:rPr>
          <w:b w:val="0"/>
          <w:i/>
        </w:rPr>
        <w:t>Data shared with each external service, its type, purpose and sensitivity, and whether personal or confidential information is transferred outside the ministry</w:t>
      </w:r>
    </w:p>
    <w:p>
      <w:r>
        <w:rPr>
          <w:b w:val="0"/>
          <w:i w:val="0"/>
        </w:rPr>
        <w:t>Following the decision in section 3, the register is short. The only data leaving the ministry is a public video identifier sent to YouTube for caption import, and the attendee device's own network metadata disclosed to Google when it plays the stream directly, which is disclosed by the device and not by the platform. No personal data, no identity data and no session content is transferred outside the ministry.</w:t>
      </w:r>
    </w:p>
    <w:p>
      <w:r>
        <w:rPr>
          <w:b/>
          <w:i w:val="0"/>
        </w:rPr>
        <w:t>Recorded in: HLD-003 Annex A</w:t>
      </w:r>
    </w:p>
    <w:p>
      <w:pPr>
        <w:pStyle w:val="Heading2"/>
      </w:pPr>
      <w:r>
        <w:t>Point 10</w:t>
      </w:r>
    </w:p>
    <w:p>
      <w:r>
        <w:rPr>
          <w:b w:val="0"/>
          <w:i/>
        </w:rPr>
        <w:t>Clarify the SIEM and SMTP components, their communication paths, hosting locations and applicable gateways, and update the communication matrix</w:t>
      </w:r>
    </w:p>
    <w:p>
      <w:r>
        <w:rPr>
          <w:b w:val="0"/>
          <w:i w:val="0"/>
        </w:rPr>
        <w:t>Accepted. In version 0.07 both appeared in a single box with no connection lines and no host. They are now identified as separate hosts in the application zone with explicit paths and ports, and the matrix has been corrected accordingly, including the addition of database-tier logging and the correction that the background worker, not the API, opens the mail connection. We ask the review team to confirm whether these services are to be provided by the ministry's central shared services, which would change the zone path and require a firewall rule.</w:t>
      </w:r>
    </w:p>
    <w:p>
      <w:r>
        <w:rPr>
          <w:b/>
          <w:i w:val="0"/>
        </w:rPr>
        <w:t>Recorded in: HLD-003 sections 2.5, 2.7.2 and 2.8.5</w:t>
      </w:r>
    </w:p>
    <w:p>
      <w:pPr>
        <w:pStyle w:val="Heading2"/>
      </w:pPr>
      <w:r>
        <w:t>Point 11</w:t>
      </w:r>
    </w:p>
    <w:p>
      <w:r>
        <w:rPr>
          <w:b w:val="0"/>
          <w:i/>
        </w:rPr>
        <w:t>Clarify the purpose of the direct connection between the load balancer and SIMF.ai, and whether AI requests are routed through the load balancer or the main application</w:t>
      </w:r>
    </w:p>
    <w:p>
      <w:r>
        <w:rPr>
          <w:b w:val="0"/>
          <w:i w:val="0"/>
        </w:rPr>
        <w:t>No component named SIMF.ai exists in the solution. AI is a feature set inside the main application. The apparent connection was a drawing artefact: the outbound arrow was routed across the load balancer box on its way to the diagram edge. AI requests are never routed through the load balancer. Following the decision in section 3, AI traffic is now an internal call within the application zone and does not leave it.</w:t>
      </w:r>
    </w:p>
    <w:p>
      <w:r>
        <w:rPr>
          <w:b/>
          <w:i w:val="0"/>
        </w:rPr>
        <w:t>Recorded in: HLD-003 section 2.4.5</w:t>
      </w:r>
    </w:p>
    <w:p>
      <w:pPr>
        <w:pStyle w:val="Heading2"/>
      </w:pPr>
      <w:r>
        <w:t>Point 12</w:t>
      </w:r>
    </w:p>
    <w:p>
      <w:r>
        <w:rPr>
          <w:b w:val="0"/>
          <w:i/>
        </w:rPr>
        <w:t>Clarify the outbound communication path to external services including firewall, gateway and network zone; SIMF.ai should not connect directly</w:t>
      </w:r>
    </w:p>
    <w:p>
      <w:r>
        <w:rPr>
          <w:b w:val="0"/>
          <w:i w:val="0"/>
        </w:rPr>
        <w:t>We agree, and this was already the design intent; the controlled egress point was described in the text of version 0.07 but was not drawn, which made the connection appear direct. No application host holds a default route to the Internet. All outbound traffic passes from the application host to a controlled egress point inside the application zone, which enforces a hostname allow-list and full request logging, and only then through the edge firewall. The egress point is now shown as a node and the matrix lists each hop separately.</w:t>
      </w:r>
    </w:p>
    <w:p>
      <w:r>
        <w:rPr>
          <w:b/>
          <w:i w:val="0"/>
        </w:rPr>
        <w:t>Recorded in: HLD-003 section 2.4.4</w:t>
      </w:r>
    </w:p>
    <w:p>
      <w:pPr>
        <w:pStyle w:val="Heading2"/>
      </w:pPr>
      <w:r>
        <w:t>Point 13</w:t>
      </w:r>
    </w:p>
    <w:p>
      <w:r>
        <w:rPr>
          <w:b w:val="0"/>
          <w:i/>
        </w:rPr>
        <w:t>Update the deployment diagram to show the hosting server for each component rather than grouping them under an application server, and update the matrix accordingly</w:t>
      </w:r>
    </w:p>
    <w:p>
      <w:r>
        <w:rPr>
          <w:b w:val="0"/>
          <w:i w:val="0"/>
        </w:rPr>
        <w:t>Accepted. The deployment view now enumerates twelve host roles with their zone, instance count and function, rather than one grouped box. The communication matrix has been reissued per host and extended from sixteen to nineteen rows, adding the load balancer to Control Panel path, the cluster witness, database-tier logging, the health probes and the internal AI path, and removing the outbound AI row that no longer applies.</w:t>
      </w:r>
    </w:p>
    <w:p>
      <w:r>
        <w:rPr>
          <w:b/>
          <w:i w:val="0"/>
        </w:rPr>
        <w:t>Recorded in: HLD-003 sections 2.7.2 and 2.8.5</w:t>
      </w:r>
    </w:p>
    <w:p>
      <w:pPr>
        <w:pStyle w:val="Heading1"/>
      </w:pPr>
      <w:r>
        <w:t>5. Matters we are self-reporting</w:t>
      </w:r>
    </w:p>
    <w:p>
      <w:r>
        <w:rPr>
          <w:b w:val="0"/>
          <w:i w:val="0"/>
        </w:rPr>
        <w:t>In auditing the delivered system against version 0.07 we identified four statements that did not accurately describe the solution as built. The review team did not raise these. We consider it proper to disclose them, and each is corrected in HLD-003.</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050"/>
          </w:tcPr>
          <w:p>
            <w:pPr>
              <w:spacing w:after="40"/>
            </w:pPr>
            <w:r/>
            <w:r>
              <w:rPr>
                <w:b/>
                <w:color w:val="FFFFFF"/>
                <w:sz w:val="18"/>
              </w:rPr>
              <w:t>Ref</w:t>
            </w:r>
          </w:p>
        </w:tc>
        <w:tc>
          <w:tcPr>
            <w:tcW w:type="dxa" w:w="3216"/>
            <w:shd w:val="clear" w:color="auto" w:fill="1F3050"/>
          </w:tcPr>
          <w:p>
            <w:pPr>
              <w:spacing w:after="40"/>
            </w:pPr>
            <w:r/>
            <w:r>
              <w:rPr>
                <w:b/>
                <w:color w:val="FFFFFF"/>
                <w:sz w:val="18"/>
              </w:rPr>
              <w:t>Statement in v0.07</w:t>
            </w:r>
          </w:p>
        </w:tc>
        <w:tc>
          <w:tcPr>
            <w:tcW w:type="dxa" w:w="3216"/>
            <w:shd w:val="clear" w:color="auto" w:fill="1F3050"/>
          </w:tcPr>
          <w:p>
            <w:pPr>
              <w:spacing w:after="40"/>
            </w:pPr>
            <w:r/>
            <w:r>
              <w:rPr>
                <w:b/>
                <w:color w:val="FFFFFF"/>
                <w:sz w:val="18"/>
              </w:rPr>
              <w:t>Position in HLD-003</w:t>
            </w:r>
          </w:p>
        </w:tc>
      </w:tr>
      <w:tr>
        <w:tc>
          <w:tcPr>
            <w:tcW w:type="dxa" w:w="3216"/>
          </w:tcPr>
          <w:p>
            <w:pPr>
              <w:spacing w:after="40"/>
            </w:pPr>
            <w:r/>
            <w:r>
              <w:rPr>
                <w:sz w:val="18"/>
              </w:rPr>
              <w:t>C1</w:t>
            </w:r>
          </w:p>
        </w:tc>
        <w:tc>
          <w:tcPr>
            <w:tcW w:type="dxa" w:w="3216"/>
          </w:tcPr>
          <w:p>
            <w:pPr>
              <w:spacing w:after="40"/>
            </w:pPr>
            <w:r/>
            <w:r>
              <w:rPr>
                <w:sz w:val="18"/>
              </w:rPr>
              <w:t>The real-time push channel was described as delivered, and the application tier was sized for its concurrent connections</w:t>
            </w:r>
          </w:p>
        </w:tc>
        <w:tc>
          <w:tcPr>
            <w:tcW w:type="dxa" w:w="3216"/>
          </w:tcPr>
          <w:p>
            <w:pPr>
              <w:spacing w:after="40"/>
            </w:pPr>
            <w:r/>
            <w:r>
              <w:rPr>
                <w:sz w:val="18"/>
              </w:rPr>
              <w:t>The real-time channel is not implemented. Live data is served by request and response. The concurrency figures are withdrawn and the load test model is adjusted</w:t>
            </w:r>
          </w:p>
        </w:tc>
      </w:tr>
      <w:tr>
        <w:tc>
          <w:tcPr>
            <w:tcW w:type="dxa" w:w="3216"/>
          </w:tcPr>
          <w:p>
            <w:pPr>
              <w:spacing w:after="40"/>
            </w:pPr>
            <w:r/>
            <w:r>
              <w:rPr>
                <w:sz w:val="18"/>
              </w:rPr>
              <w:t>C2</w:t>
            </w:r>
          </w:p>
        </w:tc>
        <w:tc>
          <w:tcPr>
            <w:tcW w:type="dxa" w:w="3216"/>
          </w:tcPr>
          <w:p>
            <w:pPr>
              <w:spacing w:after="40"/>
            </w:pPr>
            <w:r/>
            <w:r>
              <w:rPr>
                <w:sz w:val="18"/>
              </w:rPr>
              <w:t>Every uploaded file was described as encrypted at rest</w:t>
            </w:r>
          </w:p>
        </w:tc>
        <w:tc>
          <w:tcPr>
            <w:tcW w:type="dxa" w:w="3216"/>
          </w:tcPr>
          <w:p>
            <w:pPr>
              <w:spacing w:after="40"/>
            </w:pPr>
            <w:r/>
            <w:r>
              <w:rPr>
                <w:sz w:val="18"/>
              </w:rPr>
              <w:t>Four of the eighteen categories are encrypted. Recorded media is deliberately unencrypted because encryption prevents the byte-range seeking required to stream it, and it holds no personal data. The remainder are public content</w:t>
            </w:r>
          </w:p>
        </w:tc>
      </w:tr>
      <w:tr>
        <w:tc>
          <w:tcPr>
            <w:tcW w:type="dxa" w:w="3216"/>
          </w:tcPr>
          <w:p>
            <w:pPr>
              <w:spacing w:after="40"/>
            </w:pPr>
            <w:r/>
            <w:r>
              <w:rPr>
                <w:sz w:val="18"/>
              </w:rPr>
              <w:t>C3</w:t>
            </w:r>
          </w:p>
        </w:tc>
        <w:tc>
          <w:tcPr>
            <w:tcW w:type="dxa" w:w="3216"/>
          </w:tcPr>
          <w:p>
            <w:pPr>
              <w:spacing w:after="40"/>
            </w:pPr>
            <w:r/>
            <w:r>
              <w:rPr>
                <w:sz w:val="18"/>
              </w:rPr>
              <w:t>The web application firewall was described in the present tense in one section while listed as outstanding in another</w:t>
            </w:r>
          </w:p>
        </w:tc>
        <w:tc>
          <w:tcPr>
            <w:tcW w:type="dxa" w:w="3216"/>
          </w:tcPr>
          <w:p>
            <w:pPr>
              <w:spacing w:after="40"/>
            </w:pPr>
            <w:r/>
            <w:r>
              <w:rPr>
                <w:sz w:val="18"/>
              </w:rPr>
              <w:t>It is not yet deployed. It is stated as a production prerequisite and tracked as an open item</w:t>
            </w:r>
          </w:p>
        </w:tc>
      </w:tr>
      <w:tr>
        <w:tc>
          <w:tcPr>
            <w:tcW w:type="dxa" w:w="3216"/>
          </w:tcPr>
          <w:p>
            <w:pPr>
              <w:spacing w:after="40"/>
            </w:pPr>
            <w:r/>
            <w:r>
              <w:rPr>
                <w:sz w:val="18"/>
              </w:rPr>
              <w:t>C4</w:t>
            </w:r>
          </w:p>
        </w:tc>
        <w:tc>
          <w:tcPr>
            <w:tcW w:type="dxa" w:w="3216"/>
          </w:tcPr>
          <w:p>
            <w:pPr>
              <w:spacing w:after="40"/>
            </w:pPr>
            <w:r/>
            <w:r>
              <w:rPr>
                <w:sz w:val="18"/>
              </w:rPr>
              <w:t>A retention position was implied but none is implemented</w:t>
            </w:r>
          </w:p>
        </w:tc>
        <w:tc>
          <w:tcPr>
            <w:tcW w:type="dxa" w:w="3216"/>
          </w:tcPr>
          <w:p>
            <w:pPr>
              <w:spacing w:after="40"/>
            </w:pPr>
            <w:r/>
            <w:r>
              <w:rPr>
                <w:sz w:val="18"/>
              </w:rPr>
              <w:t>Retention is currently indefinite for every file category. Defining and implementing the schedule is tracked as an open item against the agreed alignment to NCA and ministry policy</w:t>
            </w:r>
          </w:p>
        </w:tc>
      </w:tr>
    </w:tbl>
    <w:p/>
    <w:p>
      <w:r>
        <w:rPr>
          <w:b w:val="0"/>
          <w:i w:val="0"/>
        </w:rPr>
        <w:t>None of these affects the security controls that are in place. C1 and C4 have planning consequences, which is why we raise them now rather than at acceptance.</w:t>
      </w:r>
    </w:p>
    <w:p>
      <w:pPr>
        <w:pStyle w:val="Heading1"/>
      </w:pPr>
      <w:r>
        <w:t>6. Inputs requested from the ministry</w:t>
      </w:r>
    </w:p>
    <w:p>
      <w:r>
        <w:rPr>
          <w:b w:val="0"/>
          <w:i w:val="0"/>
        </w:rPr>
        <w:t>To finalise the deployment design we ask the review team to confirm the following. None is a design question; each is an infrastructure input.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050"/>
          </w:tcPr>
          <w:p>
            <w:pPr>
              <w:spacing w:after="40"/>
            </w:pPr>
            <w:r/>
            <w:r>
              <w:rPr>
                <w:b/>
                <w:color w:val="FFFFFF"/>
                <w:sz w:val="18"/>
              </w:rPr>
              <w:t>Ref</w:t>
            </w:r>
          </w:p>
        </w:tc>
        <w:tc>
          <w:tcPr>
            <w:tcW w:type="dxa" w:w="3216"/>
            <w:shd w:val="clear" w:color="auto" w:fill="1F3050"/>
          </w:tcPr>
          <w:p>
            <w:pPr>
              <w:spacing w:after="40"/>
            </w:pPr>
            <w:r/>
            <w:r>
              <w:rPr>
                <w:b/>
                <w:color w:val="FFFFFF"/>
                <w:sz w:val="18"/>
              </w:rPr>
              <w:t>Input required</w:t>
            </w:r>
          </w:p>
        </w:tc>
        <w:tc>
          <w:tcPr>
            <w:tcW w:type="dxa" w:w="3216"/>
            <w:shd w:val="clear" w:color="auto" w:fill="1F3050"/>
          </w:tcPr>
          <w:p>
            <w:pPr>
              <w:spacing w:after="40"/>
            </w:pPr>
            <w:r/>
            <w:r>
              <w:rPr>
                <w:b/>
                <w:color w:val="FFFFFF"/>
                <w:sz w:val="18"/>
              </w:rPr>
              <w:t>Affects</w:t>
            </w:r>
          </w:p>
        </w:tc>
      </w:tr>
      <w:tr>
        <w:tc>
          <w:tcPr>
            <w:tcW w:type="dxa" w:w="3216"/>
          </w:tcPr>
          <w:p>
            <w:pPr>
              <w:spacing w:after="40"/>
            </w:pPr>
            <w:r/>
            <w:r>
              <w:rPr>
                <w:sz w:val="18"/>
              </w:rPr>
              <w:t>OI-2</w:t>
            </w:r>
          </w:p>
        </w:tc>
        <w:tc>
          <w:tcPr>
            <w:tcW w:type="dxa" w:w="3216"/>
          </w:tcPr>
          <w:p>
            <w:pPr>
              <w:spacing w:after="40"/>
            </w:pPr>
            <w:r/>
            <w:r>
              <w:rPr>
                <w:sz w:val="18"/>
              </w:rPr>
              <w:t>Whether the SMTP relay and the SIEM collector are provided by the ministry's central shared services or hosted within the SIMF application zone, and their endpoints</w:t>
            </w:r>
          </w:p>
        </w:tc>
        <w:tc>
          <w:tcPr>
            <w:tcW w:type="dxa" w:w="3216"/>
          </w:tcPr>
          <w:p>
            <w:pPr>
              <w:spacing w:after="40"/>
            </w:pPr>
            <w:r/>
            <w:r>
              <w:rPr>
                <w:sz w:val="18"/>
              </w:rPr>
              <w:t>Two matrix rows, two firewall rules, one additional credential</w:t>
            </w:r>
          </w:p>
        </w:tc>
      </w:tr>
      <w:tr>
        <w:tc>
          <w:tcPr>
            <w:tcW w:type="dxa" w:w="3216"/>
          </w:tcPr>
          <w:p>
            <w:pPr>
              <w:spacing w:after="40"/>
            </w:pPr>
            <w:r/>
            <w:r>
              <w:rPr>
                <w:sz w:val="18"/>
              </w:rPr>
              <w:t>OI-1</w:t>
            </w:r>
          </w:p>
        </w:tc>
        <w:tc>
          <w:tcPr>
            <w:tcW w:type="dxa" w:w="3216"/>
          </w:tcPr>
          <w:p>
            <w:pPr>
              <w:spacing w:after="40"/>
            </w:pPr>
            <w:r/>
            <w:r>
              <w:rPr>
                <w:sz w:val="18"/>
              </w:rPr>
              <w:t>Confirmation to provision an on-premises inference host, so it can be sized against the selected model</w:t>
            </w:r>
          </w:p>
        </w:tc>
        <w:tc>
          <w:tcPr>
            <w:tcW w:type="dxa" w:w="3216"/>
          </w:tcPr>
          <w:p>
            <w:pPr>
              <w:spacing w:after="40"/>
            </w:pPr>
            <w:r/>
            <w:r>
              <w:rPr>
                <w:sz w:val="18"/>
              </w:rPr>
              <w:t>Availability of the AI features</w:t>
            </w:r>
          </w:p>
        </w:tc>
      </w:tr>
      <w:tr>
        <w:tc>
          <w:tcPr>
            <w:tcW w:type="dxa" w:w="3216"/>
          </w:tcPr>
          <w:p>
            <w:pPr>
              <w:spacing w:after="40"/>
            </w:pPr>
            <w:r/>
            <w:r>
              <w:rPr>
                <w:sz w:val="18"/>
              </w:rPr>
              <w:t>OI-8</w:t>
            </w:r>
          </w:p>
        </w:tc>
        <w:tc>
          <w:tcPr>
            <w:tcW w:type="dxa" w:w="3216"/>
          </w:tcPr>
          <w:p>
            <w:pPr>
              <w:spacing w:after="40"/>
            </w:pPr>
            <w:r/>
            <w:r>
              <w:rPr>
                <w:sz w:val="18"/>
              </w:rPr>
              <w:t>Confirmation of the production database edition. The design assumes Enterprise with an availability group; the open items register records the edition as deferred</w:t>
            </w:r>
          </w:p>
        </w:tc>
        <w:tc>
          <w:tcPr>
            <w:tcW w:type="dxa" w:w="3216"/>
          </w:tcPr>
          <w:p>
            <w:pPr>
              <w:spacing w:after="40"/>
            </w:pPr>
            <w:r/>
            <w:r>
              <w:rPr>
                <w:sz w:val="18"/>
              </w:rPr>
              <w:t>The availability and read-scaling design</w:t>
            </w:r>
          </w:p>
        </w:tc>
      </w:tr>
      <w:tr>
        <w:tc>
          <w:tcPr>
            <w:tcW w:type="dxa" w:w="3216"/>
          </w:tcPr>
          <w:p>
            <w:pPr>
              <w:spacing w:after="40"/>
            </w:pPr>
            <w:r/>
            <w:r>
              <w:rPr>
                <w:sz w:val="18"/>
              </w:rPr>
              <w:t>OI-13</w:t>
            </w:r>
          </w:p>
        </w:tc>
        <w:tc>
          <w:tcPr>
            <w:tcW w:type="dxa" w:w="3216"/>
          </w:tcPr>
          <w:p>
            <w:pPr>
              <w:spacing w:after="40"/>
            </w:pPr>
            <w:r/>
            <w:r>
              <w:rPr>
                <w:sz w:val="18"/>
              </w:rPr>
              <w:t>Confirmation that direct playback from YouTube to the attendee device is acceptable, noting that the device discloses its own network metadata to the provider</w:t>
            </w:r>
          </w:p>
        </w:tc>
        <w:tc>
          <w:tcPr>
            <w:tcW w:type="dxa" w:w="3216"/>
          </w:tcPr>
          <w:p>
            <w:pPr>
              <w:spacing w:after="40"/>
            </w:pPr>
            <w:r/>
            <w:r>
              <w:rPr>
                <w:sz w:val="18"/>
              </w:rPr>
              <w:t>The live streaming approach</w:t>
            </w:r>
          </w:p>
        </w:tc>
      </w:tr>
    </w:tbl>
    <w:p/>
    <w:p>
      <w:pPr>
        <w:pStyle w:val="Heading1"/>
      </w:pPr>
      <w:r>
        <w:t>7. Enclosures</w:t>
      </w:r>
    </w:p>
    <w:p>
      <w:pPr>
        <w:pStyle w:val="ListBullet"/>
      </w:pPr>
      <w:r>
        <w:t>SIMF-HLD-003, High-Level Design (External), version 1.0. Supersedes SIMF-HLD-002 version 0.07.</w:t>
      </w:r>
    </w:p>
    <w:p>
      <w:r>
        <w:rPr>
          <w:b w:val="0"/>
          <w:i w:val="0"/>
        </w:rPr>
        <w:t>HLD-003 contains, in Annex B, a table mapping each of the thirteen points to the section that answers it, and in Annex C the full open items register.</w:t>
      </w:r>
    </w:p>
    <w:p/>
    <w:p>
      <w:r>
        <w:rPr>
          <w:b w:val="0"/>
          <w:i w:val="0"/>
        </w:rPr>
        <w:t>We remain available to walk the review team through any section, and to provide the updated network diagram in the review team's preferred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SIMF Formal Response to Technical Review  |  Confidential  |  2026-07-30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05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0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