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 delegation /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 xml:space="preserve">External (outbound only, via the controlled egress point): </w:t>
            </w:r>
            <w:r>
              <w:rPr>
                <w:sz w:val="24"/>
              </w:rPr>
              <w:t>AI provider, Gemini / OpenAI / Anthropic (pluggable behind an abstraction, selected by configuration) for session-summary generation and comment/question filtering; YouTube caption API for server-to-server subtitle import (egress approval pending).</w:t>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 xml:space="preserve">Compliance: </w:t>
            </w:r>
            <w:r>
              <w:rPr>
                <w:sz w:val="24"/>
              </w:rPr>
              <w:t>aligned to the NCA Secure Application Development Standard (ECC / OWASP baselines).</w:t>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with the per-tier node counts and the CPU, RAM and storage, is part of the deferred scale-out and is confirmed with the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and to begin registration.</w:t>
            </w:r>
          </w:p>
          <w:p w14:paraId="2097DE9A" w14:textId="77777777" w:rsidR="00B23F52" w:rsidRDefault="00000000">
            <w:pPr>
              <w:bidi w:val="0"/>
              <w:spacing w:after="80"/>
              <w:ind w:left="360"/>
              <w:jc w:val="left"/>
            </w:pPr>
            <w:r>
              <w:rPr>
                <w:sz w:val="24"/>
              </w:rPr>
              <w:t>•  Administrators / organisers / scientific committee / public relations, use the Control Panel, reached on a separate hostname (the administrator is the "Backend user" in the SITE reference topology of section 2.1).</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AI provider, Gemini / OpenAI / Anthropic, pluggable behind an abstraction and selected by configuration; used for session-summary generation and comment / question filtering.</w:t>
            </w:r>
          </w:p>
          <w:p w14:paraId="5B8980A0" w14:textId="77777777" w:rsidR="00B23F52" w:rsidRDefault="00000000">
            <w:pPr>
              <w:bidi w:val="0"/>
              <w:spacing w:after="80"/>
              <w:ind w:left="360"/>
              <w:jc w:val="left"/>
            </w:pPr>
            <w:r>
              <w:rPr>
                <w:sz w:val="24"/>
              </w:rPr>
              <w:t>•  YouTube caption API, server-to-server subtitle import that feeds the AI summary drafter (egress approval pending; the paste / upload path works without it).</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network architecture on the SITE Private Cloud zone model (Internet, SSA Zone, HSA Zone).</w:t>
            </w:r>
          </w:p>
          <w:p w14:paraId="02EE436A" w14:textId="77777777" w:rsidR="00B23F52" w:rsidRDefault="00000000">
            <w:pPr>
              <w:bidi w:val="0"/>
              <w:spacing w:after="80"/>
              <w:jc w:val="center"/>
            </w:pPr>
            <w:r>
              <w:rPr>
                <w:noProof/>
              </w:rPr>
              <w:drawing>
                <wp:inline distT="0" distB="0" distL="0" distR="0" wp14:anchorId="4EE7C765" wp14:editId="2CD93A45">
                  <wp:extent cx="5852160" cy="2893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Network-Architecture.png"/>
                          <pic:cNvPicPr/>
                        </pic:nvPicPr>
                        <pic:blipFill>
                          <a:blip r:embed="rId7"/>
                          <a:stretch>
                            <a:fillRect/>
                          </a:stretch>
                        </pic:blipFill>
                        <pic:spPr>
                          <a:xfrm>
                            <a:off x="0" y="0"/>
                            <a:ext cx="5852160" cy="2893203"/>
                          </a:xfrm>
                          <a:prstGeom prst="rect">
                            <a:avLst/>
                          </a:prstGeom>
                        </pic:spPr>
                      </pic:pic>
                    </a:graphicData>
                  </a:graphic>
                </wp:inline>
              </w:drawing>
            </w:r>
          </w:p>
          <w:p w14:paraId="099CF049"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outbound calls to two external services only: the AI provider for session summaries and the YouTube caption API. Authentication uses e-mail one-time passwords, so there is no SMS or NAFATH dependency.</w:t>
            </w:r>
          </w:p>
          <w:p w14:paraId="64BACB87"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and the SignalR real-time channel;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internal SMTP relay, the log collector, and the single controlled egress point for the two outbound calls.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lastRenderedPageBreak/>
              <w:t xml:space="preserve">HSA Zone (data). </w:t>
            </w:r>
            <w:r>
              <w:rPr>
                <w:sz w:val="24"/>
              </w:rPr>
              <w:t>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The zone also holds the shared file store, which keeps every uploaded file, including identity documents, encrypted at rest, and the scheduled backups.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WebSocket-aware, health probes; tuned for tens of thousands of long-lived connections.</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 SignalR. about 10,000 WebSocket connections/node, about a 40k ceiling; PBKDF2 auth is CPU-bound; per-node in-memory cache (section A.1).</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 interactive islands), public content and visitor self-service.</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(summaries, filtering);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4FD34EF0" w14:textId="77777777" w:rsidR="00B23F52" w:rsidRDefault="00000000">
            <w:pPr>
              <w:bidi w:val="0"/>
              <w:spacing w:after="80"/>
              <w:ind w:left="360"/>
              <w:jc w:val="left"/>
            </w:pPr>
            <w:r>
              <w:rPr>
                <w:sz w:val="24"/>
              </w:rPr>
              <w:t>•  SIMF.RealTime, SignalR server push for live notifications and Q&amp;A.</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three clients call the same API. The API exposes two route-prefixed surfaces from one process, /api/v1/app/* for the mobile app and the public website, and /api/v1/admin/* for the Control Panel,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provider through the controlled egress 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tc>
      </w:tr>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 xml:space="preserve">AI provider (Gemini / OpenAI / Anthropic): </w:t>
            </w:r>
            <w:r>
              <w:rPr>
                <w:sz w:val="24"/>
              </w:rPr>
              <w:t>consumed through a provider abstraction; the provider is a configuration choice, not a code change. Every invocation is logged and rate-limited per administrator.</w:t>
            </w:r>
          </w:p>
          <w:p w14:paraId="739E9688" w14:textId="77777777" w:rsidR="00B23F52" w:rsidRDefault="00000000">
            <w:pPr>
              <w:bidi w:val="0"/>
              <w:spacing w:after="80"/>
              <w:jc w:val="left"/>
            </w:pPr>
            <w:r>
              <w:rPr>
                <w:b/>
                <w:sz w:val="24"/>
              </w:rPr>
              <w:t xml:space="preserve">YouTube caption API: </w:t>
            </w:r>
            <w:r>
              <w:rPr>
                <w:sz w:val="24"/>
              </w:rPr>
              <w:t>server-to-server subtitle import from youtubei.googleapis.com and www.youtube.com. The returned caption host is re-validated before the second request and a no-redirect HTTP client is used (SSRF hardening). Egress approval is pending; the feature degrades gracefully to paste / upload.</w:t>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 xml:space="preserve">YouTube live playback: </w:t>
            </w:r>
            <w:r>
              <w:rPr>
                <w:sz w:val="24"/>
              </w:rPr>
              <w:t>the attendee device plays the configured stream URL directly. The platform stores only the URL, and this traffic does not traverse the SIMF backend.</w:t>
            </w:r>
          </w:p>
          <w:p w14:paraId="6B91F276" w14:textId="77777777" w:rsidR="00B23F52" w:rsidRDefault="00000000">
            <w:pPr>
              <w:bidi w:val="0"/>
              <w:spacing w:after="80"/>
              <w:jc w:val="left"/>
            </w:pPr>
            <w:r>
              <w:rPr>
                <w:i/>
                <w:color w:val="444444"/>
                <w:sz w:val="22"/>
              </w:rPr>
              <w:t>No inbound interface is exposed to any external entity.</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with interactive islands for the authentication and account flows.</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two outbound external services (the AI provider and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and the internal SMTP relay and log collector.</w:t>
            </w:r>
          </w:p>
          <w:p w14:paraId="1EBA66C5" w14:textId="77777777" w:rsidR="00B23F52" w:rsidRDefault="00000000">
            <w:pPr>
              <w:bidi w:val="0"/>
              <w:spacing w:after="80"/>
              <w:ind w:left="360"/>
              <w:jc w:val="left"/>
            </w:pPr>
            <w:r>
              <w:rPr>
                <w:sz w:val="24"/>
              </w:rPr>
              <w:t>•  HSA Zone, the database Availability Group,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AI provider and the YouTube caption hosts.</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and outbound AI and caption calls leave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SIMF.Web</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w:t>
                  </w:r>
                </w:p>
              </w:tc>
              <w:tc>
                <w:tcPr>
                  <w:tcW w:w="2232" w:type="dxa"/>
                </w:tcPr>
                <w:p w14:paraId="39AC7435"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SIMF.Api</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w:t>
                  </w:r>
                </w:p>
              </w:tc>
              <w:tc>
                <w:tcPr>
                  <w:tcW w:w="2232" w:type="dxa"/>
                </w:tcPr>
                <w:p w14:paraId="1109DB6A" w14:textId="77777777" w:rsidR="00B23F52" w:rsidRDefault="00000000">
                  <w:pPr>
                    <w:framePr w:hSpace="180" w:wrap="around" w:vAnchor="page" w:hAnchor="margin" w:xAlign="center" w:y="3301"/>
                    <w:bidi w:val="0"/>
                    <w:jc w:val="left"/>
                  </w:pPr>
                  <w:r>
                    <w:rPr>
                      <w:sz w:val="16"/>
                    </w:rPr>
                    <w:t>API to the mobile app (stateless, round-robin)</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SIMF.Web / SIMF.ControlPanel</w:t>
                  </w:r>
                </w:p>
              </w:tc>
              <w:tc>
                <w:tcPr>
                  <w:tcW w:w="1944" w:type="dxa"/>
                </w:tcPr>
                <w:p w14:paraId="43636061" w14:textId="77777777" w:rsidR="00B23F52" w:rsidRDefault="00000000">
                  <w:pPr>
                    <w:framePr w:hSpace="180" w:wrap="around" w:vAnchor="page" w:hAnchor="margin" w:xAlign="center" w:y="3301"/>
                    <w:bidi w:val="0"/>
                    <w:jc w:val="left"/>
                  </w:pPr>
                  <w:r>
                    <w:rPr>
                      <w:sz w:val="16"/>
                    </w:rPr>
                    <w:t>SIMF.Api</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w:t>
                  </w:r>
                </w:p>
              </w:tc>
              <w:tc>
                <w:tcPr>
                  <w:tcW w:w="2232" w:type="dxa"/>
                </w:tcPr>
                <w:p w14:paraId="0BF33650" w14:textId="77777777" w:rsidR="00B23F52" w:rsidRDefault="00000000">
                  <w:pPr>
                    <w:framePr w:hSpace="180" w:wrap="around" w:vAnchor="page" w:hAnchor="margin" w:xAlign="center" w:y="3301"/>
                    <w:bidi w:val="0"/>
                    <w:jc w:val="left"/>
                  </w:pPr>
                  <w:r>
                    <w:rPr>
                      <w:sz w:val="16"/>
                    </w:rPr>
                    <w:t>Server-to-server typed API client</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SIMF.Api / worker</w:t>
                  </w:r>
                </w:p>
              </w:tc>
              <w:tc>
                <w:tcPr>
                  <w:tcW w:w="1944" w:type="dxa"/>
                </w:tcPr>
                <w:p w14:paraId="22E64572"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7702F3E3" w14:textId="77777777" w:rsidR="00B23F52" w:rsidRDefault="00000000">
                  <w:pPr>
                    <w:framePr w:hSpace="180" w:wrap="around" w:vAnchor="page" w:hAnchor="margin" w:xAlign="center" w:y="3301"/>
                    <w:bidi w:val="0"/>
                    <w:jc w:val="left"/>
                  </w:pPr>
                  <w:r>
                    <w:rPr>
                      <w:sz w:val="16"/>
                    </w:rPr>
                    <w:t>TCP / TDS</w:t>
                  </w:r>
                </w:p>
              </w:tc>
              <w:tc>
                <w:tcPr>
                  <w:tcW w:w="648" w:type="dxa"/>
                </w:tcPr>
                <w:p w14:paraId="475344A0" w14:textId="77777777" w:rsidR="00B23F52" w:rsidRDefault="00000000">
                  <w:pPr>
                    <w:framePr w:hSpace="180" w:wrap="around" w:vAnchor="page" w:hAnchor="margin" w:xAlign="center" w:y="3301"/>
                    <w:bidi w:val="0"/>
                    <w:jc w:val="left"/>
                  </w:pPr>
                  <w:r>
                    <w:rPr>
                      <w:sz w:val="16"/>
                    </w:rPr>
                    <w:t>1433</w:t>
                  </w:r>
                </w:p>
              </w:tc>
              <w:tc>
                <w:tcPr>
                  <w:tcW w:w="1224" w:type="dxa"/>
                </w:tcPr>
                <w:p w14:paraId="607C7D06" w14:textId="77777777" w:rsidR="00B23F52" w:rsidRDefault="00000000">
                  <w:pPr>
                    <w:framePr w:hSpace="180" w:wrap="around" w:vAnchor="page" w:hAnchor="margin" w:xAlign="center" w:y="3301"/>
                    <w:bidi w:val="0"/>
                    <w:jc w:val="left"/>
                  </w:pPr>
                  <w:r>
                    <w:rPr>
                      <w:sz w:val="16"/>
                    </w:rPr>
                    <w:t>Internal</w:t>
                  </w:r>
                </w:p>
              </w:tc>
              <w:tc>
                <w:tcPr>
                  <w:tcW w:w="2232" w:type="dxa"/>
                </w:tcPr>
                <w:p w14:paraId="22D53349" w14:textId="77777777" w:rsidR="00B23F52" w:rsidRDefault="00000000">
                  <w:pPr>
                    <w:framePr w:hSpace="180" w:wrap="around" w:vAnchor="page" w:hAnchor="margin" w:xAlign="center" w:y="3301"/>
                    <w:bidi w:val="0"/>
                    <w:jc w:val="left"/>
                  </w:pPr>
                  <w:r>
                    <w:rPr>
                      <w:sz w:val="16"/>
                    </w:rPr>
                    <w:t>Data access + SignalR backplane (SIMF_Identity, SIMF_App)</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5B58DC7A"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7B0F1054" w14:textId="77777777" w:rsidR="00B23F52" w:rsidRDefault="00000000">
                  <w:pPr>
                    <w:framePr w:hSpace="180" w:wrap="around" w:vAnchor="page" w:hAnchor="margin" w:xAlign="center" w:y="3301"/>
                    <w:bidi w:val="0"/>
                    <w:jc w:val="left"/>
                  </w:pPr>
                  <w:r>
                    <w:rPr>
                      <w:sz w:val="16"/>
                    </w:rPr>
                    <w:t>TCP</w:t>
                  </w:r>
                </w:p>
              </w:tc>
              <w:tc>
                <w:tcPr>
                  <w:tcW w:w="648" w:type="dxa"/>
                </w:tcPr>
                <w:p w14:paraId="0BF268D2" w14:textId="77777777" w:rsidR="00B23F52" w:rsidRDefault="00000000">
                  <w:pPr>
                    <w:framePr w:hSpace="180" w:wrap="around" w:vAnchor="page" w:hAnchor="margin" w:xAlign="center" w:y="3301"/>
                    <w:bidi w:val="0"/>
                    <w:jc w:val="left"/>
                  </w:pPr>
                  <w:r>
                    <w:rPr>
                      <w:sz w:val="16"/>
                    </w:rPr>
                    <w:t>5022</w:t>
                  </w:r>
                </w:p>
              </w:tc>
              <w:tc>
                <w:tcPr>
                  <w:tcW w:w="1224" w:type="dxa"/>
                </w:tcPr>
                <w:p w14:paraId="6DABEEF8" w14:textId="77777777" w:rsidR="00B23F52" w:rsidRDefault="00000000">
                  <w:pPr>
                    <w:framePr w:hSpace="180" w:wrap="around" w:vAnchor="page" w:hAnchor="margin" w:xAlign="center" w:y="3301"/>
                    <w:bidi w:val="0"/>
                    <w:jc w:val="left"/>
                  </w:pPr>
                  <w:r>
                    <w:rPr>
                      <w:sz w:val="16"/>
                    </w:rPr>
                    <w:t>Internal</w:t>
                  </w:r>
                </w:p>
              </w:tc>
              <w:tc>
                <w:tcPr>
                  <w:tcW w:w="2232" w:type="dxa"/>
                </w:tcPr>
                <w:p w14:paraId="77FB8026" w14:textId="77777777" w:rsidR="00B23F52" w:rsidRDefault="00000000">
                  <w:pPr>
                    <w:framePr w:hSpace="180" w:wrap="around" w:vAnchor="page" w:hAnchor="margin" w:xAlign="center" w:y="3301"/>
                    <w:bidi w:val="0"/>
                    <w:jc w:val="left"/>
                  </w:pPr>
                  <w:r>
                    <w:rPr>
                      <w:sz w:val="16"/>
                    </w:rPr>
                    <w:t>Availability Group replication</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w:t>
                  </w:r>
                </w:p>
              </w:tc>
              <w:tc>
                <w:tcPr>
                  <w:tcW w:w="1944" w:type="dxa"/>
                </w:tcPr>
                <w:p w14:paraId="47A409C0" w14:textId="77777777" w:rsidR="00B23F52" w:rsidRDefault="00000000">
                  <w:pPr>
                    <w:framePr w:hSpace="180" w:wrap="around" w:vAnchor="page" w:hAnchor="margin" w:xAlign="center" w:y="3301"/>
                    <w:bidi w:val="0"/>
                    <w:jc w:val="left"/>
                  </w:pPr>
                  <w:r>
                    <w:rPr>
                      <w:sz w:val="16"/>
                    </w:rPr>
                    <w:t>SMTP relay</w:t>
                  </w:r>
                </w:p>
              </w:tc>
              <w:tc>
                <w:tcPr>
                  <w:tcW w:w="1224" w:type="dxa"/>
                </w:tcPr>
                <w:p w14:paraId="7B16E1BD" w14:textId="77777777" w:rsidR="00B23F52" w:rsidRDefault="00000000">
                  <w:pPr>
                    <w:framePr w:hSpace="180" w:wrap="around" w:vAnchor="page" w:hAnchor="margin" w:xAlign="center" w:y="3301"/>
                    <w:bidi w:val="0"/>
                    <w:jc w:val="left"/>
                  </w:pPr>
                  <w:r>
                    <w:rPr>
                      <w:sz w:val="16"/>
                    </w:rPr>
                    <w:t>SMTP / TLS</w:t>
                  </w:r>
                </w:p>
              </w:tc>
              <w:tc>
                <w:tcPr>
                  <w:tcW w:w="648" w:type="dxa"/>
                </w:tcPr>
                <w:p w14:paraId="37DF0B71" w14:textId="77777777" w:rsidR="00B23F52" w:rsidRDefault="00000000">
                  <w:pPr>
                    <w:framePr w:hSpace="180" w:wrap="around" w:vAnchor="page" w:hAnchor="margin" w:xAlign="center" w:y="3301"/>
                    <w:bidi w:val="0"/>
                    <w:jc w:val="left"/>
                  </w:pPr>
                  <w:r>
                    <w:rPr>
                      <w:sz w:val="16"/>
                    </w:rPr>
                    <w:t>587</w:t>
                  </w:r>
                </w:p>
              </w:tc>
              <w:tc>
                <w:tcPr>
                  <w:tcW w:w="1224" w:type="dxa"/>
                </w:tcPr>
                <w:p w14:paraId="02C6CA97" w14:textId="77777777" w:rsidR="00B23F52" w:rsidRDefault="00000000">
                  <w:pPr>
                    <w:framePr w:hSpace="180" w:wrap="around" w:vAnchor="page" w:hAnchor="margin" w:xAlign="center" w:y="3301"/>
                    <w:bidi w:val="0"/>
                    <w:jc w:val="left"/>
                  </w:pPr>
                  <w:r>
                    <w:rPr>
                      <w:sz w:val="16"/>
                    </w:rPr>
                    <w:t>Internal</w:t>
                  </w:r>
                </w:p>
              </w:tc>
              <w:tc>
                <w:tcPr>
                  <w:tcW w:w="2232" w:type="dxa"/>
                </w:tcPr>
                <w:p w14:paraId="1F56C2D9" w14:textId="77777777" w:rsidR="00B23F52" w:rsidRDefault="00000000">
                  <w:pPr>
                    <w:framePr w:hSpace="180" w:wrap="around" w:vAnchor="page" w:hAnchor="margin" w:xAlign="center" w:y="3301"/>
                    <w:bidi w:val="0"/>
                    <w:jc w:val="left"/>
                  </w:pPr>
                  <w:r>
                    <w:rPr>
                      <w:sz w:val="16"/>
                    </w:rPr>
                    <w:t>Transactional e-mail dispatch</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1F9AFD6C" w14:textId="77777777" w:rsidR="00B23F52" w:rsidRDefault="00000000">
                  <w:pPr>
                    <w:framePr w:hSpace="180" w:wrap="around" w:vAnchor="page" w:hAnchor="margin" w:xAlign="center" w:y="3301"/>
                    <w:bidi w:val="0"/>
                    <w:jc w:val="left"/>
                  </w:pPr>
                  <w:r>
                    <w:rPr>
                      <w:sz w:val="16"/>
                    </w:rPr>
                    <w:t>Syslog / SIEM</w:t>
                  </w:r>
                </w:p>
              </w:tc>
              <w:tc>
                <w:tcPr>
                  <w:tcW w:w="1224" w:type="dxa"/>
                </w:tcPr>
                <w:p w14:paraId="17F8D827" w14:textId="77777777" w:rsidR="00B23F52" w:rsidRDefault="00000000">
                  <w:pPr>
                    <w:framePr w:hSpace="180" w:wrap="around" w:vAnchor="page" w:hAnchor="margin" w:xAlign="center" w:y="3301"/>
                    <w:bidi w:val="0"/>
                    <w:jc w:val="left"/>
                  </w:pPr>
                  <w:r>
                    <w:rPr>
                      <w:sz w:val="16"/>
                    </w:rPr>
                    <w:t>Syslog / TLS</w:t>
                  </w:r>
                </w:p>
              </w:tc>
              <w:tc>
                <w:tcPr>
                  <w:tcW w:w="648" w:type="dxa"/>
                </w:tcPr>
                <w:p w14:paraId="40890152" w14:textId="77777777" w:rsidR="00B23F52" w:rsidRDefault="00000000">
                  <w:pPr>
                    <w:framePr w:hSpace="180" w:wrap="around" w:vAnchor="page" w:hAnchor="margin" w:xAlign="center" w:y="3301"/>
                    <w:bidi w:val="0"/>
                    <w:jc w:val="left"/>
                  </w:pPr>
                  <w:r>
                    <w:rPr>
                      <w:sz w:val="16"/>
                    </w:rPr>
                    <w:t>6514</w:t>
                  </w:r>
                </w:p>
              </w:tc>
              <w:tc>
                <w:tcPr>
                  <w:tcW w:w="1224" w:type="dxa"/>
                </w:tcPr>
                <w:p w14:paraId="6304869F" w14:textId="77777777" w:rsidR="00B23F52" w:rsidRDefault="00000000">
                  <w:pPr>
                    <w:framePr w:hSpace="180" w:wrap="around" w:vAnchor="page" w:hAnchor="margin" w:xAlign="center" w:y="3301"/>
                    <w:bidi w:val="0"/>
                    <w:jc w:val="left"/>
                  </w:pPr>
                  <w:r>
                    <w:rPr>
                      <w:sz w:val="16"/>
                    </w:rPr>
                    <w:t>Internal</w:t>
                  </w:r>
                </w:p>
              </w:tc>
              <w:tc>
                <w:tcPr>
                  <w:tcW w:w="2232" w:type="dxa"/>
                </w:tcPr>
                <w:p w14:paraId="3FAD67D0" w14:textId="77777777" w:rsidR="00B23F52" w:rsidRDefault="00000000">
                  <w:pPr>
                    <w:framePr w:hSpace="180" w:wrap="around" w:vAnchor="page" w:hAnchor="margin" w:xAlign="center" w:y="3301"/>
                    <w:bidi w:val="0"/>
                    <w:jc w:val="left"/>
                  </w:pPr>
                  <w:r>
                    <w:rPr>
                      <w:sz w:val="16"/>
                    </w:rPr>
                    <w:t>Centralised structured logging</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Shared file store</w:t>
                  </w:r>
                </w:p>
              </w:tc>
              <w:tc>
                <w:tcPr>
                  <w:tcW w:w="1224" w:type="dxa"/>
                </w:tcPr>
                <w:p w14:paraId="45602E92" w14:textId="77777777" w:rsidR="00B23F52" w:rsidRDefault="00000000">
                  <w:pPr>
                    <w:framePr w:hSpace="180" w:wrap="around" w:vAnchor="page" w:hAnchor="margin" w:xAlign="center" w:y="3301"/>
                    <w:bidi w:val="0"/>
                    <w:jc w:val="left"/>
                  </w:pPr>
                  <w:r>
                    <w:rPr>
                      <w:sz w:val="16"/>
                    </w:rPr>
                    <w:t>SMB</w:t>
                  </w:r>
                </w:p>
              </w:tc>
              <w:tc>
                <w:tcPr>
                  <w:tcW w:w="648" w:type="dxa"/>
                </w:tcPr>
                <w:p w14:paraId="15E77454" w14:textId="77777777" w:rsidR="00B23F52" w:rsidRDefault="00000000">
                  <w:pPr>
                    <w:framePr w:hSpace="180" w:wrap="around" w:vAnchor="page" w:hAnchor="margin" w:xAlign="center" w:y="3301"/>
                    <w:bidi w:val="0"/>
                    <w:jc w:val="left"/>
                  </w:pPr>
                  <w:r>
                    <w:rPr>
                      <w:sz w:val="16"/>
                    </w:rPr>
                    <w:t>445</w:t>
                  </w:r>
                </w:p>
              </w:tc>
              <w:tc>
                <w:tcPr>
                  <w:tcW w:w="1224" w:type="dxa"/>
                </w:tcPr>
                <w:p w14:paraId="6B667375" w14:textId="77777777" w:rsidR="00B23F52" w:rsidRDefault="00000000">
                  <w:pPr>
                    <w:framePr w:hSpace="180" w:wrap="around" w:vAnchor="page" w:hAnchor="margin" w:xAlign="center" w:y="3301"/>
                    <w:bidi w:val="0"/>
                    <w:jc w:val="left"/>
                  </w:pPr>
                  <w:r>
                    <w:rPr>
                      <w:sz w:val="16"/>
                    </w:rPr>
                    <w:t>Internal</w:t>
                  </w:r>
                </w:p>
              </w:tc>
              <w:tc>
                <w:tcPr>
                  <w:tcW w:w="2232" w:type="dxa"/>
                </w:tcPr>
                <w:p w14:paraId="54685181" w14:textId="77777777" w:rsidR="00B23F52" w:rsidRDefault="00000000">
                  <w:pPr>
                    <w:framePr w:hSpace="180" w:wrap="around" w:vAnchor="page" w:hAnchor="margin" w:xAlign="center" w:y="3301"/>
                    <w:bidi w:val="0"/>
                    <w:jc w:val="left"/>
                  </w:pPr>
                  <w:r>
                    <w:rPr>
                      <w:sz w:val="16"/>
                    </w:rPr>
                    <w:t>File store access</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6D0FB599" w14:textId="77777777" w:rsidR="00B23F52" w:rsidRDefault="00000000">
                  <w:pPr>
                    <w:framePr w:hSpace="180" w:wrap="around" w:vAnchor="page" w:hAnchor="margin" w:xAlign="center" w:y="3301"/>
                    <w:bidi w:val="0"/>
                    <w:jc w:val="left"/>
                  </w:pPr>
                  <w:r>
                    <w:rPr>
                      <w:sz w:val="16"/>
                    </w:rPr>
                    <w:t>HTTPS</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Outbound</w:t>
                  </w:r>
                </w:p>
              </w:tc>
              <w:tc>
                <w:tcPr>
                  <w:tcW w:w="2232" w:type="dxa"/>
                </w:tcPr>
                <w:p w14:paraId="5670D8C4" w14:textId="77777777" w:rsidR="00B23F52" w:rsidRDefault="00000000">
                  <w:pPr>
                    <w:framePr w:hSpace="180" w:wrap="around" w:vAnchor="page" w:hAnchor="margin" w:xAlign="center" w:y="3301"/>
                    <w:bidi w:val="0"/>
                    <w:jc w:val="left"/>
                  </w:pPr>
                  <w:r>
                    <w:rPr>
                      <w:sz w:val="16"/>
                    </w:rPr>
                    <w:t>Outbound AI and caption calls</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014DAFDB" w14:textId="77777777" w:rsidR="00B23F52" w:rsidRDefault="00000000">
                  <w:pPr>
                    <w:framePr w:hSpace="180" w:wrap="around" w:vAnchor="page" w:hAnchor="margin" w:xAlign="center" w:y="3301"/>
                    <w:bidi w:val="0"/>
                    <w:jc w:val="left"/>
                  </w:pPr>
                  <w:r>
                    <w:rPr>
                      <w:sz w:val="16"/>
                    </w:rPr>
                    <w:t>AI provider</w:t>
                  </w:r>
                </w:p>
              </w:tc>
              <w:tc>
                <w:tcPr>
                  <w:tcW w:w="1224" w:type="dxa"/>
                </w:tcPr>
                <w:p w14:paraId="1C601D0F" w14:textId="77777777" w:rsidR="00B23F52" w:rsidRDefault="00000000">
                  <w:pPr>
                    <w:framePr w:hSpace="180" w:wrap="around" w:vAnchor="page" w:hAnchor="margin" w:xAlign="center" w:y="3301"/>
                    <w:bidi w:val="0"/>
                    <w:jc w:val="left"/>
                  </w:pPr>
                  <w:r>
                    <w:rPr>
                      <w:sz w:val="16"/>
                    </w:rPr>
                    <w:t>HTTPS</w:t>
                  </w:r>
                </w:p>
              </w:tc>
              <w:tc>
                <w:tcPr>
                  <w:tcW w:w="648" w:type="dxa"/>
                </w:tcPr>
                <w:p w14:paraId="2E477A47" w14:textId="77777777" w:rsidR="00B23F52" w:rsidRDefault="00000000">
                  <w:pPr>
                    <w:framePr w:hSpace="180" w:wrap="around" w:vAnchor="page" w:hAnchor="margin" w:xAlign="center" w:y="3301"/>
                    <w:bidi w:val="0"/>
                    <w:jc w:val="left"/>
                  </w:pPr>
                  <w:r>
                    <w:rPr>
                      <w:sz w:val="16"/>
                    </w:rPr>
                    <w:t>443</w:t>
                  </w:r>
                </w:p>
              </w:tc>
              <w:tc>
                <w:tcPr>
                  <w:tcW w:w="1224" w:type="dxa"/>
                </w:tcPr>
                <w:p w14:paraId="072AD31F" w14:textId="77777777" w:rsidR="00B23F52" w:rsidRDefault="00000000">
                  <w:pPr>
                    <w:framePr w:hSpace="180" w:wrap="around" w:vAnchor="page" w:hAnchor="margin" w:xAlign="center" w:y="3301"/>
                    <w:bidi w:val="0"/>
                    <w:jc w:val="left"/>
                  </w:pPr>
                  <w:r>
                    <w:rPr>
                      <w:sz w:val="16"/>
                    </w:rPr>
                    <w:t>Outbound</w:t>
                  </w:r>
                </w:p>
              </w:tc>
              <w:tc>
                <w:tcPr>
                  <w:tcW w:w="2232" w:type="dxa"/>
                </w:tcPr>
                <w:p w14:paraId="10F1F583" w14:textId="77777777" w:rsidR="00B23F52" w:rsidRDefault="00000000">
                  <w:pPr>
                    <w:framePr w:hSpace="180" w:wrap="around" w:vAnchor="page" w:hAnchor="margin" w:xAlign="center" w:y="3301"/>
                    <w:bidi w:val="0"/>
                    <w:jc w:val="left"/>
                  </w:pPr>
                  <w:r>
                    <w:rPr>
                      <w:sz w:val="16"/>
                    </w:rPr>
                    <w:t>Session summaries, comment and question filtering</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lastRenderedPageBreak/>
              <w:t xml:space="preserve">Compliance: </w:t>
            </w:r>
            <w:r>
              <w:rPr>
                <w:sz w:val="24"/>
              </w:rPr>
              <w:t>aligned to the NCA Secure Application Development Standard, with ECC and OWASP baselines. A documented gap analysis drives the remediation programme.</w:t>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SignalR fans out across nodes through the SQL Server backplane. The baseline is four API nodes at 8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server push (SignalR) rather than client polling, which keeps read load flat under live-session concurrency.</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with the SignalR backplane,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lastRenderedPageBreak/>
              <w:t xml:space="preserve">Mitigation Strategies: </w:t>
            </w:r>
            <w:r>
              <w:rPr>
                <w:sz w:val="24"/>
              </w:rPr>
              <w:t>a stateless API tier for horizontal scale-out; server push (SignalR) for live data instead of polling; indexed, projected and server-paged queries; asynchronous e-mail dispatch; and application-layer caching. Load-test to peak shapes in staging and monitor via dashboards, scaling on usage thresholds.</w:t>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 xml:space="preserve">Potential Impact: </w:t>
            </w:r>
            <w:r>
              <w:rPr>
                <w:sz w:val="24"/>
              </w:rPr>
              <w:t>the AI features (session summaries, comment filtering) and the caption import depend on outbound internet access. If egress is not approved those features do not operate. Provider API changes or outages could break the feature, and misconfigured egress could widen the attack surface.</w:t>
            </w:r>
          </w:p>
          <w:p w14:paraId="5387135F" w14:textId="77777777" w:rsidR="00B23F52" w:rsidRDefault="00000000">
            <w:pPr>
              <w:bidi w:val="0"/>
              <w:spacing w:after="80"/>
              <w:jc w:val="left"/>
            </w:pPr>
            <w:r>
              <w:rPr>
                <w:b/>
                <w:sz w:val="24"/>
              </w:rPr>
              <w:t xml:space="preserve">Mitigation Strategies: </w:t>
            </w:r>
            <w:r>
              <w:rPr>
                <w:sz w:val="24"/>
              </w:rPr>
              <w:t>the AI provider is consumed through an abstraction and selected by configuration, so it can be swapped without a code change.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AI and caption features require the outbound egress listed in the production prerequisites (section 2.7).</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