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1.0</w:t>
            </w:r>
          </w:p>
          <w:p w14:paraId="61CA7C36" w14:textId="77777777" w:rsidR="00F84317" w:rsidRDefault="00D84961">
            <w:r>
              <w:rPr>
                <w:b/>
                <w:sz w:val="22"/>
              </w:rPr>
              <w:t>Date: 19 July 2026 (5 Safar 1448 AH)</w:t>
            </w:r>
          </w:p>
          <w:p w14:paraId="300BFC55" w14:textId="77777777" w:rsidR="00F84317" w:rsidRDefault="00D84961">
            <w:r>
              <w:rPr>
                <w:b/>
                <w:sz w:val="22"/>
              </w:rPr>
              <w:t>Classification: Confidential (to be confirmed by the owner)</w:t>
            </w:r>
          </w:p>
          <w:p w14:paraId="56DC251D" w14:textId="77777777" w:rsidR="00F84317" w:rsidRDefault="00D84961">
            <w:r>
              <w:rPr>
                <w:sz w:val="21"/>
              </w:rPr>
              <w:t>Business Requirements Document for the Saudi International Maritime Forum (SIMF 2026). It defines the objectives and scope of the solution and describes the functional and non-functional business requirements agreed with the owner, so they can be traced into design, build and test.</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77777777" w:rsidR="00F84317" w:rsidRDefault="00D84961">
            <w:pPr>
              <w:spacing w:before="40" w:after="40"/>
            </w:pPr>
            <w:r>
              <w:rPr>
                <w:sz w:val="21"/>
              </w:rPr>
              <w:t>19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three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four notification channels.</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w:t>
      </w:r>
      <w:r>
        <w:t>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future edition without being rebuilt, with all editions' data held in one central location. The requirements in this document are based on the material provided by the owner and a series of interviews with the owner's repr</w:t>
      </w:r>
      <w:r>
        <w:t>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w:t>
      </w:r>
      <w:r>
        <w:t>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w:t>
      </w:r>
      <w:r>
        <w:t>o the same system is valid for the current edition and every future edition. The platform is built on a modern technology stack, embeds AI and emerging technologies (a cognitive assistant and knowledge base, AI-generated session summaries, AI comment moderation, AI live translation and accessibility, and smart attendee and session recommendations), and is engineered to comply with the National Cybersecurity Authority (NCA) standards. On this dynamic base the platform covers the full event lifecycle: registr</w:t>
      </w:r>
      <w:r>
        <w:t>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The AI and accessibility capabilities: the cognitive assistant, AI session summaries, AI comment moderation, live translation and captions, and smart recommendations.</w:t>
      </w:r>
    </w:p>
    <w:p w14:paraId="700932B0" w14:textId="77777777" w:rsidR="00F84317" w:rsidRDefault="00D84961">
      <w:pPr>
        <w:pStyle w:val="ListBullet"/>
        <w:spacing w:after="60"/>
      </w:pPr>
      <w:r>
        <w:rPr>
          <w:sz w:val="23"/>
        </w:rPr>
        <w:t>The backend and the unified API, the Control Panel, the public website and the mobile app.</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Procuring the cognitive-AI provider, the live-broadcast platform and the WhatsApp provider; these are reached through abstractions and the providers are chosen later.</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live translation or captions;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via the website and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Access to every page and endpoint requires a permission; the only anonymous functions are sign-in, sign-up and password reset.</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The live stream is available in any location, with no geographic restriction.</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The system shall provide a password-reset flow by email 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not validate the format of a mobile phone number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and shall show AI translation or live captions with a language choice.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make the live stream available in any location, without geographic restriction.</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The system shall provide accessibility AI: sign-language and speech conversion, and live captions.</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four channels (in-app, email, SMS and WhatsApp) through one notification abstraction.</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t>OP-05</w:t>
            </w:r>
          </w:p>
        </w:tc>
        <w:tc>
          <w:tcPr>
            <w:tcW w:w="8050" w:type="dxa"/>
          </w:tcPr>
          <w:p w14:paraId="5FCFECCA" w14:textId="77777777" w:rsidR="00F84317" w:rsidRDefault="00D84961">
            <w:pPr>
              <w:spacing w:before="40" w:after="40"/>
            </w:pPr>
            <w:r>
              <w:rPr>
                <w:sz w:val="21"/>
              </w:rPr>
              <w:t>The system shall monitor and alert on background services and workers.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SMS and WhatsApp gateways behind the notification abstraction.</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integrate a map service for the interactive venue map.</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 the website, Control Panel and app are its only clients.</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endpoint and screen shall require a permission. Only sign-in, sign-up and password reset are anonymous.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expected event load, sized at roughly one new registered user every 30 seconds at peak, and shall pass a realistic load test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including sign-language and live-caption support.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with MudBlazor,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The system must satisfy the National Cybersecurity Authority standards.</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The cognitive-AI provider, the live-broadcast platform and the WhatsApp provider are deferred and reached through abstractions.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external providers when they are procured (cognitive AI, live broadcast, WhatsApp).</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5238</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2026-07-21T05:26:00Z</dcterms:modified>
  <cp:category/>
</cp:coreProperties>
</file>