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5BCE5FF9" w14:textId="77777777" w:rsidTr="00D0774B">
        <w:trPr>
          <w:trHeight w:val="533"/>
        </w:trPr>
        <w:tc>
          <w:tcPr>
            <w:tcW w:w="5000" w:type="pct"/>
            <w:gridSpan w:val="5"/>
            <w:shd w:val="clear" w:color="auto" w:fill="29504D"/>
            <w:vAlign w:val="center"/>
          </w:tcPr>
          <w:p w14:paraId="35B0D454" w14:textId="263DD80B"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3D236AB3" w14:textId="77777777" w:rsidTr="0038073F">
        <w:trPr>
          <w:trHeight w:val="275"/>
        </w:trPr>
        <w:tc>
          <w:tcPr>
            <w:tcW w:w="1232" w:type="pct"/>
            <w:shd w:val="clear" w:color="auto" w:fill="E7E6E6" w:themeFill="background2"/>
            <w:vAlign w:val="center"/>
          </w:tcPr>
          <w:p w14:paraId="1744BBE9" w14:textId="3512365A"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pPr>
              <w:bidi w:val="0"/>
              <w:jc w:val="left"/>
            </w:pPr>
            <w:r>
              <w:rPr>
                <w:i/>
                <w:color w:val="444444"/>
                <w:sz w:val="24"/>
              </w:rPr>
              <w:t>[To be completed by the MoD requester]</w:t>
            </w:r>
          </w:p>
        </w:tc>
        <w:tc>
          <w:tcPr>
            <w:tcW w:w="972" w:type="pct"/>
            <w:gridSpan w:val="2"/>
            <w:shd w:val="clear" w:color="auto" w:fill="E7E6E6" w:themeFill="background2"/>
            <w:vAlign w:val="center"/>
          </w:tcPr>
          <w:p w14:paraId="1608623A" w14:textId="3515A8C9"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pPr>
              <w:bidi w:val="0"/>
              <w:jc w:val="left"/>
            </w:pPr>
            <w:r>
              <w:rPr>
                <w:i/>
                <w:color w:val="444444"/>
                <w:sz w:val="24"/>
              </w:rPr>
              <w:t>[To be completed by the MoD requester]</w:t>
            </w:r>
          </w:p>
        </w:tc>
      </w:tr>
      <w:tr w:rsidR="009E78F7" w:rsidRPr="0041599B" w14:paraId="793CD3A3" w14:textId="77777777" w:rsidTr="0038073F">
        <w:trPr>
          <w:trHeight w:val="275"/>
        </w:trPr>
        <w:tc>
          <w:tcPr>
            <w:tcW w:w="1232" w:type="pct"/>
            <w:shd w:val="clear" w:color="auto" w:fill="E7E6E6" w:themeFill="background2"/>
            <w:vAlign w:val="center"/>
          </w:tcPr>
          <w:p w14:paraId="12C12B1F" w14:textId="1CE6D004"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pPr>
              <w:bidi w:val="0"/>
              <w:jc w:val="left"/>
            </w:pPr>
            <w:r>
              <w:rPr>
                <w:i/>
                <w:color w:val="444444"/>
                <w:sz w:val="24"/>
              </w:rPr>
              <w:t>[To be completed by the MoD requester]</w:t>
            </w:r>
          </w:p>
        </w:tc>
        <w:tc>
          <w:tcPr>
            <w:tcW w:w="972" w:type="pct"/>
            <w:gridSpan w:val="2"/>
            <w:shd w:val="clear" w:color="auto" w:fill="E7E6E6" w:themeFill="background2"/>
            <w:vAlign w:val="center"/>
          </w:tcPr>
          <w:p w14:paraId="72FD90A4" w14:textId="1BC702BB"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pPr>
              <w:bidi w:val="0"/>
              <w:jc w:val="left"/>
            </w:pPr>
            <w:r>
              <w:rPr>
                <w:i/>
                <w:color w:val="444444"/>
                <w:sz w:val="24"/>
              </w:rPr>
              <w:t>[To be completed by the MoD requester]</w:t>
            </w:r>
          </w:p>
        </w:tc>
      </w:tr>
      <w:tr w:rsidR="009E78F7" w:rsidRPr="0041599B" w14:paraId="38C73D86" w14:textId="77777777" w:rsidTr="0038073F">
        <w:trPr>
          <w:trHeight w:val="275"/>
        </w:trPr>
        <w:tc>
          <w:tcPr>
            <w:tcW w:w="1232" w:type="pct"/>
            <w:shd w:val="clear" w:color="auto" w:fill="E7E6E6" w:themeFill="background2"/>
            <w:vAlign w:val="center"/>
          </w:tcPr>
          <w:p w14:paraId="2D900EF3" w14:textId="54C759B2"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pPr>
              <w:bidi w:val="0"/>
              <w:jc w:val="left"/>
            </w:pPr>
            <w:r>
              <w:rPr>
                <w:i/>
                <w:color w:val="444444"/>
                <w:sz w:val="24"/>
              </w:rPr>
              <w:t>[To be completed by the MoD requester]</w:t>
            </w:r>
          </w:p>
        </w:tc>
        <w:tc>
          <w:tcPr>
            <w:tcW w:w="972" w:type="pct"/>
            <w:gridSpan w:val="2"/>
            <w:shd w:val="clear" w:color="auto" w:fill="E7E6E6" w:themeFill="background2"/>
            <w:vAlign w:val="center"/>
          </w:tcPr>
          <w:p w14:paraId="5BCE219B" w14:textId="2F7AB4D0"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pPr>
              <w:bidi w:val="0"/>
              <w:jc w:val="left"/>
            </w:pPr>
            <w:r>
              <w:rPr>
                <w:i/>
                <w:color w:val="444444"/>
                <w:sz w:val="24"/>
              </w:rPr>
              <w:t>[To be completed by the MoD requester]</w:t>
            </w:r>
          </w:p>
        </w:tc>
      </w:tr>
      <w:tr w:rsidR="007A37ED" w:rsidRPr="0041599B" w14:paraId="6D2949D1" w14:textId="77777777" w:rsidTr="00D0774B">
        <w:trPr>
          <w:trHeight w:val="560"/>
        </w:trPr>
        <w:tc>
          <w:tcPr>
            <w:tcW w:w="5000" w:type="pct"/>
            <w:gridSpan w:val="5"/>
            <w:shd w:val="clear" w:color="auto" w:fill="29504D"/>
            <w:vAlign w:val="center"/>
          </w:tcPr>
          <w:p w14:paraId="06B8733B" w14:textId="44CA535B"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15964C39" w14:textId="77777777" w:rsidTr="0038073F">
        <w:trPr>
          <w:trHeight w:val="275"/>
        </w:trPr>
        <w:tc>
          <w:tcPr>
            <w:tcW w:w="1232" w:type="pct"/>
            <w:shd w:val="clear" w:color="auto" w:fill="F2F2F2" w:themeFill="background1" w:themeFillShade="F2"/>
            <w:vAlign w:val="center"/>
          </w:tcPr>
          <w:p w14:paraId="6401B748" w14:textId="6533D498"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4AD8C6FE" w14:textId="127DBEDD"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pPr>
              <w:bidi w:val="0"/>
              <w:jc w:val="left"/>
            </w:pPr>
            <w:r>
              <w:rPr>
                <w:i/>
                <w:color w:val="444444"/>
                <w:sz w:val="24"/>
              </w:rPr>
              <w:t>[To be completed by the Project Owner]</w:t>
            </w:r>
          </w:p>
        </w:tc>
      </w:tr>
      <w:tr w:rsidR="0038073F" w:rsidRPr="0041599B" w14:paraId="521D6E1A" w14:textId="77777777" w:rsidTr="0038073F">
        <w:trPr>
          <w:trHeight w:val="275"/>
        </w:trPr>
        <w:tc>
          <w:tcPr>
            <w:tcW w:w="1232" w:type="pct"/>
            <w:tcBorders>
              <w:bottom w:val="single" w:sz="4" w:space="0" w:color="auto"/>
            </w:tcBorders>
            <w:shd w:val="clear" w:color="auto" w:fill="F2F2F2" w:themeFill="background1" w:themeFillShade="F2"/>
          </w:tcPr>
          <w:p w14:paraId="65CFC0E6" w14:textId="6F58134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pPr>
              <w:bidi w:val="0"/>
              <w:jc w:val="left"/>
            </w:pPr>
            <w:r>
              <w:rPr>
                <w:i/>
                <w:color w:val="444444"/>
                <w:sz w:val="24"/>
              </w:rPr>
              <w:t>[To be completed by the Project Owner]</w:t>
            </w:r>
          </w:p>
        </w:tc>
      </w:tr>
      <w:tr w:rsidR="0038073F" w:rsidRPr="0041599B" w14:paraId="66FEB028" w14:textId="77777777" w:rsidTr="0038073F">
        <w:trPr>
          <w:trHeight w:val="275"/>
        </w:trPr>
        <w:tc>
          <w:tcPr>
            <w:tcW w:w="1232" w:type="pct"/>
            <w:tcBorders>
              <w:bottom w:val="single" w:sz="4" w:space="0" w:color="auto"/>
            </w:tcBorders>
            <w:shd w:val="clear" w:color="auto" w:fill="F2F2F2" w:themeFill="background1" w:themeFillShade="F2"/>
          </w:tcPr>
          <w:p w14:paraId="0B23BF83" w14:textId="2C993480"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pPr>
              <w:bidi w:val="0"/>
              <w:jc w:val="left"/>
            </w:pPr>
            <w:r>
              <w:rPr>
                <w:i/>
                <w:color w:val="444444"/>
                <w:sz w:val="24"/>
              </w:rPr>
              <w:t>[To be completed by the Project Owner]</w:t>
            </w:r>
          </w:p>
        </w:tc>
      </w:tr>
      <w:tr w:rsidR="00BE3A54" w:rsidRPr="0041599B" w14:paraId="24B690C7" w14:textId="77777777" w:rsidTr="00D0774B">
        <w:trPr>
          <w:trHeight w:val="488"/>
        </w:trPr>
        <w:tc>
          <w:tcPr>
            <w:tcW w:w="5000" w:type="pct"/>
            <w:gridSpan w:val="5"/>
            <w:tcBorders>
              <w:bottom w:val="single" w:sz="4" w:space="0" w:color="auto"/>
            </w:tcBorders>
            <w:shd w:val="clear" w:color="auto" w:fill="29504D"/>
            <w:vAlign w:val="center"/>
          </w:tcPr>
          <w:p w14:paraId="21CBDBA8" w14:textId="283C6C81"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4D5C132B" w14:textId="77777777" w:rsidTr="0038073F">
        <w:trPr>
          <w:trHeight w:val="336"/>
        </w:trPr>
        <w:tc>
          <w:tcPr>
            <w:tcW w:w="3464" w:type="pct"/>
            <w:gridSpan w:val="3"/>
            <w:shd w:val="clear" w:color="auto" w:fill="E7E6E6" w:themeFill="background2"/>
            <w:vAlign w:val="center"/>
          </w:tcPr>
          <w:p w14:paraId="2F404AE9" w14:textId="7DF3C97C"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5782BB66" w14:textId="45DED13E"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6B805AED" w14:textId="77777777" w:rsidTr="005F52DC">
        <w:trPr>
          <w:trHeight w:val="275"/>
        </w:trPr>
        <w:tc>
          <w:tcPr>
            <w:tcW w:w="3464" w:type="pct"/>
            <w:gridSpan w:val="3"/>
            <w:shd w:val="clear" w:color="auto" w:fill="E7E6E6" w:themeFill="background2"/>
          </w:tcPr>
          <w:p w14:paraId="6A6A3089" w14:textId="0C859DB3"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7AC4D084" w14:textId="6DBA8F3C"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3134AD85" w14:textId="77777777" w:rsidTr="005F52DC">
        <w:tc>
          <w:tcPr>
            <w:tcW w:w="3464" w:type="pct"/>
            <w:gridSpan w:val="3"/>
            <w:shd w:val="clear" w:color="auto" w:fill="E7E6E6" w:themeFill="background2"/>
            <w:vAlign w:val="center"/>
          </w:tcPr>
          <w:p w14:paraId="65188EFA" w14:textId="7CFF950B"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4419EA0C" w14:textId="48195233"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6776751" w14:textId="77777777" w:rsidTr="005F52DC">
        <w:tc>
          <w:tcPr>
            <w:tcW w:w="3464" w:type="pct"/>
            <w:gridSpan w:val="3"/>
            <w:shd w:val="clear" w:color="auto" w:fill="E7E6E6" w:themeFill="background2"/>
            <w:vAlign w:val="center"/>
          </w:tcPr>
          <w:p w14:paraId="09D42732" w14:textId="7405CFF6"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2974874D" w14:textId="78DFA1FB"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0BB5121" w14:textId="77777777" w:rsidTr="005F52DC">
        <w:tc>
          <w:tcPr>
            <w:tcW w:w="3464" w:type="pct"/>
            <w:gridSpan w:val="3"/>
            <w:shd w:val="clear" w:color="auto" w:fill="E7E6E6" w:themeFill="background2"/>
            <w:vAlign w:val="center"/>
          </w:tcPr>
          <w:p w14:paraId="5CA0B244" w14:textId="1E081212"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3018C145" w14:textId="1D569B22"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07554E2F" w14:textId="77777777" w:rsidTr="005F52DC">
        <w:tc>
          <w:tcPr>
            <w:tcW w:w="3464" w:type="pct"/>
            <w:gridSpan w:val="3"/>
            <w:shd w:val="clear" w:color="auto" w:fill="E7E6E6" w:themeFill="background2"/>
            <w:vAlign w:val="center"/>
          </w:tcPr>
          <w:p w14:paraId="4FB431C9" w14:textId="586D442E"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4EE6CD0D" w14:textId="37DCF305"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A281EBC" w14:textId="77777777" w:rsidTr="005F52DC">
        <w:tc>
          <w:tcPr>
            <w:tcW w:w="3464" w:type="pct"/>
            <w:gridSpan w:val="3"/>
            <w:shd w:val="clear" w:color="auto" w:fill="E7E6E6" w:themeFill="background2"/>
            <w:vAlign w:val="center"/>
          </w:tcPr>
          <w:p w14:paraId="6EA5081C" w14:textId="43EE6A81"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4C350C5D" w14:textId="394765E4"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59CE2512" w14:textId="77777777" w:rsidTr="005F52DC">
        <w:tc>
          <w:tcPr>
            <w:tcW w:w="3464" w:type="pct"/>
            <w:gridSpan w:val="3"/>
            <w:shd w:val="clear" w:color="auto" w:fill="E7E6E6" w:themeFill="background2"/>
            <w:vAlign w:val="center"/>
          </w:tcPr>
          <w:p w14:paraId="602FC8B1" w14:textId="2DE11C7C"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2433298F" w14:textId="7CC8F171"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CF23811" w14:textId="77777777" w:rsidTr="005F52DC">
        <w:tc>
          <w:tcPr>
            <w:tcW w:w="3464" w:type="pct"/>
            <w:gridSpan w:val="3"/>
            <w:shd w:val="clear" w:color="auto" w:fill="E7E6E6" w:themeFill="background2"/>
            <w:vAlign w:val="center"/>
          </w:tcPr>
          <w:p w14:paraId="29357E9B" w14:textId="4A026993"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0446D8A7" w14:textId="05F536F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65EDFFB" w14:textId="77777777" w:rsidTr="005F52DC">
        <w:tc>
          <w:tcPr>
            <w:tcW w:w="3464" w:type="pct"/>
            <w:gridSpan w:val="3"/>
            <w:shd w:val="clear" w:color="auto" w:fill="E7E6E6" w:themeFill="background2"/>
            <w:vAlign w:val="center"/>
          </w:tcPr>
          <w:p w14:paraId="524AA60A" w14:textId="5107B9DE"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14D0B93C" w14:textId="5F9F2DCF"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786C5158" w14:textId="7428A68D" w:rsidR="00F03FED" w:rsidRPr="004F0070" w:rsidRDefault="00F03FED"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7B8EEE77" w14:textId="77777777" w:rsidTr="002323AE">
        <w:trPr>
          <w:trHeight w:val="488"/>
        </w:trPr>
        <w:tc>
          <w:tcPr>
            <w:tcW w:w="5000" w:type="pct"/>
            <w:gridSpan w:val="2"/>
            <w:tcBorders>
              <w:bottom w:val="single" w:sz="4" w:space="0" w:color="auto"/>
            </w:tcBorders>
            <w:shd w:val="clear" w:color="auto" w:fill="00A05A"/>
            <w:vAlign w:val="center"/>
          </w:tcPr>
          <w:p w14:paraId="5975140C" w14:textId="6FB6DA92"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0D3B7B83" w14:textId="77777777" w:rsidTr="00D12CD4">
        <w:trPr>
          <w:trHeight w:val="488"/>
        </w:trPr>
        <w:tc>
          <w:tcPr>
            <w:tcW w:w="5000" w:type="pct"/>
            <w:gridSpan w:val="2"/>
            <w:tcBorders>
              <w:bottom w:val="single" w:sz="4" w:space="0" w:color="auto"/>
            </w:tcBorders>
            <w:shd w:val="clear" w:color="auto" w:fill="29504D"/>
            <w:vAlign w:val="center"/>
          </w:tcPr>
          <w:p w14:paraId="0BDF3686" w14:textId="12B71D5D"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3F12C42C" w14:textId="77777777" w:rsidTr="002323AE">
        <w:trPr>
          <w:trHeight w:val="336"/>
        </w:trPr>
        <w:tc>
          <w:tcPr>
            <w:tcW w:w="1318" w:type="pct"/>
            <w:shd w:val="clear" w:color="auto" w:fill="E7E6E6" w:themeFill="background2"/>
            <w:vAlign w:val="center"/>
          </w:tcPr>
          <w:p w14:paraId="3DFE1958" w14:textId="484B56CA"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pPr>
              <w:bidi w:val="0"/>
              <w:spacing w:after="80"/>
              <w:jc w:val="left"/>
            </w:pPr>
            <w:r>
              <w:rPr>
                <w:sz w:val="24"/>
              </w:rPr>
              <w:t>NA — there is no separate Business Requirements Document. Requirements are captured in the SIMF Functional Design Specifications (SIMF-FDS-001 … 014) and the Product Backlog (SIMF-BLG-001).</w:t>
            </w:r>
          </w:p>
        </w:tc>
      </w:tr>
      <w:tr w:rsidR="00754B54" w:rsidRPr="0041599B" w14:paraId="32826E2C" w14:textId="77777777" w:rsidTr="002323AE">
        <w:trPr>
          <w:trHeight w:val="275"/>
        </w:trPr>
        <w:tc>
          <w:tcPr>
            <w:tcW w:w="1318" w:type="pct"/>
            <w:shd w:val="clear" w:color="auto" w:fill="E7E6E6" w:themeFill="background2"/>
          </w:tcPr>
          <w:p w14:paraId="4DFC9184" w14:textId="23B11D64"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pPr>
              <w:bidi w:val="0"/>
              <w:spacing w:after="80"/>
              <w:jc w:val="left"/>
            </w:pPr>
            <w:r>
              <w:rPr>
                <w:sz w:val="24"/>
              </w:rPr>
              <w:t>SIMF-FDS-001 … 014 (Functional Design Specifications, one per module) and SIMF-BLG-001 (Product Backlog). A per-page End-to-End test-case catalogue (Gherkin, 166 authored files) provides the executable acceptance criteria.</w:t>
            </w:r>
          </w:p>
          <w:p>
            <w:pPr>
              <w:bidi w:val="0"/>
              <w:spacing w:after="80"/>
              <w:jc w:val="left"/>
            </w:pPr>
            <w:r>
              <w:rPr>
                <w:sz w:val="24"/>
              </w:rPr>
              <w:t>A formally controlled SIMF-SRS-001 is pending owner decisions D1–D6.</w:t>
            </w:r>
          </w:p>
        </w:tc>
      </w:tr>
      <w:tr w:rsidR="00754B54" w:rsidRPr="0041599B" w14:paraId="1ABE6D7C" w14:textId="77777777" w:rsidTr="002323AE">
        <w:tc>
          <w:tcPr>
            <w:tcW w:w="1318" w:type="pct"/>
            <w:shd w:val="clear" w:color="auto" w:fill="E7E6E6" w:themeFill="background2"/>
            <w:vAlign w:val="center"/>
          </w:tcPr>
          <w:p w14:paraId="50C969EC" w14:textId="40F46D6C"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pPr>
              <w:bidi w:val="0"/>
              <w:spacing w:after="80"/>
              <w:jc w:val="left"/>
            </w:pPr>
            <w:r>
              <w:rPr>
                <w:sz w:val="24"/>
              </w:rPr>
              <w:t>Single-tenant event platform for the Saudi International Maritime Forum (RSNF): visitor registration and administrator approval; digital QR badge and gate access control; forum programme, sessions and seat booking; live session streaming, moderated Q&amp;A and comments; exhibition, booths, sponsors and media partners; news, media gallery and past-edition archive; networking, contact sharing and speaker / delegation / business meetings; notifications; ratings and statistics; and a Control Panel for full event administration without a code release.</w:t>
            </w:r>
          </w:p>
        </w:tc>
      </w:tr>
      <w:tr w:rsidR="00754B54" w:rsidRPr="0041599B" w14:paraId="1FA958BA" w14:textId="77777777" w:rsidTr="002323AE">
        <w:tc>
          <w:tcPr>
            <w:tcW w:w="1318" w:type="pct"/>
            <w:shd w:val="clear" w:color="auto" w:fill="E7E6E6" w:themeFill="background2"/>
            <w:vAlign w:val="center"/>
          </w:tcPr>
          <w:p w14:paraId="167AE067" w14:textId="63FA8E8A"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pPr>
              <w:bidi w:val="0"/>
              <w:spacing w:after="80"/>
              <w:jc w:val="left"/>
            </w:pPr>
            <w:r>
              <w:rPr>
                <w:b/>
                <w:sz w:val="24"/>
              </w:rPr>
              <w:t xml:space="preserve">Internal applications: </w:t>
            </w:r>
            <w:r>
              <w:rPr>
                <w:sz w:val="24"/>
              </w:rPr>
              <w:t>SMTP e-mail relay, Syslog / SIEM, a filesystem file store, and SQL Server 2022 (Standard in Development / Test; Enterprise in an AlwaysOn Availability Group for production).</w:t>
            </w:r>
          </w:p>
          <w:p>
            <w:pPr>
              <w:bidi w:val="0"/>
              <w:spacing w:after="80"/>
              <w:jc w:val="left"/>
            </w:pPr>
            <w:r>
              <w:rPr>
                <w:b/>
                <w:sz w:val="24"/>
              </w:rPr>
              <w:t xml:space="preserve">External (outbound only, via the controlled egress point): </w:t>
            </w:r>
            <w:r>
              <w:rPr>
                <w:sz w:val="24"/>
              </w:rPr>
              <w:t>AI provider — Gemini / OpenAI / Anthropic (pluggable behind an abstraction, selected by configuration) for session-summary generation and comment/question filtering; YouTube caption API for server-to-server subtitle import (egress approval pending).</w:t>
            </w:r>
          </w:p>
          <w:p>
            <w:pPr>
              <w:bidi w:val="0"/>
              <w:spacing w:after="80"/>
              <w:jc w:val="left"/>
            </w:pPr>
            <w:r>
              <w:rPr>
                <w:b/>
                <w:sz w:val="24"/>
              </w:rPr>
              <w:t xml:space="preserve">Client-side: </w:t>
            </w:r>
            <w:r>
              <w:rPr>
                <w:sz w:val="24"/>
              </w:rPr>
              <w:t>YouTube live playback — performed by the attendee device; the platform stores only the stream URL.</w:t>
            </w:r>
          </w:p>
          <w:p>
            <w:pPr>
              <w:bidi w:val="0"/>
              <w:spacing w:after="80"/>
              <w:jc w:val="left"/>
            </w:pPr>
            <w:r>
              <w:rPr>
                <w:b/>
                <w:sz w:val="24"/>
              </w:rPr>
              <w:t xml:space="preserve">Not integrated: </w:t>
            </w:r>
            <w:r>
              <w:rPr>
                <w:sz w:val="24"/>
              </w:rPr>
              <w:t>Active Directory / LDAP. SIMF operates its own ASP.NET Core Identity store.</w:t>
            </w:r>
          </w:p>
        </w:tc>
      </w:tr>
      <w:tr w:rsidR="00754B54" w:rsidRPr="0041599B" w14:paraId="7F45B2C2" w14:textId="77777777" w:rsidTr="002323AE">
        <w:tc>
          <w:tcPr>
            <w:tcW w:w="1318" w:type="pct"/>
            <w:shd w:val="clear" w:color="auto" w:fill="E7E6E6" w:themeFill="background2"/>
            <w:vAlign w:val="center"/>
          </w:tcPr>
          <w:p w14:paraId="3EBDA02E" w14:textId="3743B80E"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pPr>
              <w:bidi w:val="0"/>
              <w:spacing w:after="80"/>
              <w:jc w:val="left"/>
            </w:pPr>
            <w:r>
              <w:rPr>
                <w:b/>
                <w:sz w:val="24"/>
              </w:rPr>
              <w:t xml:space="preserve">Authentication: </w:t>
            </w:r>
            <w:r>
              <w:rPr>
                <w:sz w:val="24"/>
              </w:rPr>
              <w:t>e-mail + password; second factor — e-mailed OTP (visitors) or TOTP authenticator (administrators) with single-use recovery codes; optional ES256 biometric device key on mobile.</w:t>
            </w:r>
          </w:p>
          <w:p>
            <w:pPr>
              <w:bidi w:val="0"/>
              <w:spacing w:after="80"/>
              <w:jc w:val="left"/>
            </w:pPr>
            <w:r>
              <w:rPr>
                <w:b/>
                <w:sz w:val="24"/>
              </w:rPr>
              <w:t xml:space="preserve">Authorization: </w:t>
            </w:r>
            <w:r>
              <w:rPr>
                <w:sz w:val="24"/>
              </w:rPr>
              <w:t>role-based access control with per-page / per-action permissions baked into the JWT and enforced on both the API and the Control Panel; Administrator = wildcard.</w:t>
            </w:r>
          </w:p>
          <w:p>
            <w:pPr>
              <w:bidi w:val="0"/>
              <w:spacing w:after="80"/>
              <w:jc w:val="left"/>
            </w:pPr>
            <w:r>
              <w:rPr>
                <w:b/>
                <w:sz w:val="24"/>
              </w:rPr>
              <w:t xml:space="preserve">Encryption: </w:t>
            </w:r>
            <w:r>
              <w:rPr>
                <w:sz w:val="24"/>
              </w:rPr>
              <w:t>TLS 1.2+ in transit; PII (national ID / Iqama / passport, mobile numbers) and identity-document images encrypted at rest with application-level AES-GCM (a 32-byte operator-supplied key via Storage:UserIdDocumentEncryptionKey; IPiiEncryptor). There is no dependency on database-native TDE.</w:t>
            </w:r>
          </w:p>
          <w:p>
            <w:pPr>
              <w:bidi w:val="0"/>
              <w:spacing w:after="80"/>
              <w:jc w:val="left"/>
            </w:pPr>
            <w:r>
              <w:rPr>
                <w:b/>
                <w:sz w:val="24"/>
              </w:rPr>
              <w:t xml:space="preserve">Hardening: </w:t>
            </w:r>
            <w:r>
              <w:rPr>
                <w:sz w:val="24"/>
              </w:rPr>
              <w:t>WAF, multi-dimensional rate limiting, security headers and CSP, explicit CORS allow-list, upload scanning, secrets from environment variables with production boot guards.</w:t>
            </w:r>
          </w:p>
          <w:p>
            <w:pPr>
              <w:bidi w:val="0"/>
              <w:spacing w:after="80"/>
              <w:jc w:val="left"/>
            </w:pPr>
            <w:r>
              <w:rPr>
                <w:b/>
                <w:sz w:val="24"/>
              </w:rPr>
              <w:t xml:space="preserve">Audit: </w:t>
            </w:r>
            <w:r>
              <w:rPr>
                <w:sz w:val="24"/>
              </w:rPr>
              <w:t>two append-only trails — OperationLog (security-relevant business events) and RowAudit (row-level before/after images).</w:t>
            </w:r>
          </w:p>
          <w:p>
            <w:pPr>
              <w:bidi w:val="0"/>
              <w:spacing w:after="80"/>
              <w:jc w:val="left"/>
            </w:pPr>
            <w:r>
              <w:rPr>
                <w:b/>
                <w:sz w:val="24"/>
              </w:rPr>
              <w:t xml:space="preserve">Compliance: </w:t>
            </w:r>
            <w:r>
              <w:rPr>
                <w:sz w:val="24"/>
              </w:rPr>
              <w:t>aligned to the NCA Secure Application Development Standard (ECC / OWASP baselines).</w:t>
            </w:r>
          </w:p>
        </w:tc>
      </w:tr>
      <w:tr w:rsidR="00754B54" w:rsidRPr="0041599B" w14:paraId="66A558E1" w14:textId="77777777" w:rsidTr="002323AE">
        <w:tc>
          <w:tcPr>
            <w:tcW w:w="1318" w:type="pct"/>
            <w:shd w:val="clear" w:color="auto" w:fill="E7E6E6" w:themeFill="background2"/>
            <w:vAlign w:val="center"/>
          </w:tcPr>
          <w:p w14:paraId="2FE7A873" w14:textId="60E8BE60"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Hosting Requirements </w:t>
            </w:r>
          </w:p>
        </w:tc>
        <w:tc>
          <w:tcPr>
            <w:tcW w:w="3682" w:type="pct"/>
          </w:tcPr>
          <w:p>
            <w:pPr>
              <w:bidi w:val="0"/>
              <w:spacing w:after="80"/>
              <w:jc w:val="left"/>
            </w:pPr>
            <w:r>
              <w:rPr>
                <w:sz w:val="24"/>
              </w:rPr>
              <w:t>On-premises, Windows Server 2022, hosted with a local Saudi provider via STC, behind a reverse proxy that terminates TLS (per SIMF-SAD-001 §10 and SIMF-OPS-001 §3). The zoned datacentre layout shown in §2.1 / §2.7 is a proposed target and is [OWNER / INFRA INPUT REQUIRED].</w:t>
            </w:r>
          </w:p>
        </w:tc>
      </w:tr>
      <w:tr w:rsidR="00754B54" w:rsidRPr="0041599B" w14:paraId="7C7FB0DE" w14:textId="77777777" w:rsidTr="002323AE">
        <w:tc>
          <w:tcPr>
            <w:tcW w:w="1318" w:type="pct"/>
            <w:shd w:val="clear" w:color="auto" w:fill="E7E6E6" w:themeFill="background2"/>
            <w:vAlign w:val="center"/>
          </w:tcPr>
          <w:p w14:paraId="704FAE24" w14:textId="7615F06B"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pPr>
              <w:bidi w:val="0"/>
              <w:spacing w:after="80"/>
              <w:jc w:val="left"/>
            </w:pPr>
            <w:r>
              <w:rPr>
                <w:sz w:val="24"/>
              </w:rPr>
              <w:t>Modular monolith with Domain-Driven Design layering (Domain ← Application ← Infrastructure ← Api). The as-built deployment is a single reverse proxy fronting three .NET sites and one SQL Server instance; the zoned (SSA / HSA) target topology in §2.1 is a proposed event-day scale-out (SIMF-SAD-001 §A.3), not yet built.</w:t>
            </w:r>
          </w:p>
        </w:tc>
      </w:tr>
      <w:tr w:rsidR="00754B54" w:rsidRPr="0041599B" w14:paraId="602CED82" w14:textId="77777777" w:rsidTr="002323AE">
        <w:tc>
          <w:tcPr>
            <w:tcW w:w="1318" w:type="pct"/>
            <w:shd w:val="clear" w:color="auto" w:fill="E7E6E6" w:themeFill="background2"/>
            <w:vAlign w:val="center"/>
          </w:tcPr>
          <w:p w14:paraId="49B12E2F" w14:textId="3768E434"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pPr>
              <w:bidi w:val="0"/>
              <w:spacing w:after="80"/>
              <w:jc w:val="left"/>
            </w:pPr>
            <w:r>
              <w:rPr>
                <w:sz w:val="24"/>
              </w:rPr>
              <w:t>Frontend (public website + Control Panel), Backend API, Database.</w:t>
            </w:r>
          </w:p>
          <w:p>
            <w:pPr>
              <w:bidi w:val="0"/>
              <w:spacing w:after="80"/>
              <w:ind w:left="360"/>
              <w:jc w:val="left"/>
            </w:pPr>
            <w:r>
              <w:rPr>
                <w:sz w:val="24"/>
              </w:rPr>
              <w:t>•  Hard event deadline with a post-publish change freeze.</w:t>
            </w:r>
          </w:p>
          <w:p>
            <w:pPr>
              <w:bidi w:val="0"/>
              <w:spacing w:after="80"/>
              <w:ind w:left="360"/>
              <w:jc w:val="left"/>
            </w:pPr>
            <w:r>
              <w:rPr>
                <w:sz w:val="24"/>
              </w:rPr>
              <w:t>•  Mandatory NCA security compliance and source-code handover.</w:t>
            </w:r>
          </w:p>
          <w:p>
            <w:pPr>
              <w:bidi w:val="0"/>
              <w:spacing w:after="80"/>
              <w:ind w:left="360"/>
              <w:jc w:val="left"/>
            </w:pPr>
            <w:r>
              <w:rPr>
                <w:sz w:val="24"/>
              </w:rPr>
              <w:t>•  On-premises hosting; SQL Server 2022 — Standard edition in Development / Test (decision O-3), Enterprise edition in an AlwaysOn Availability Group for the production event topology (owner decision).</w:t>
            </w:r>
          </w:p>
          <w:p>
            <w:pPr>
              <w:bidi w:val="0"/>
              <w:spacing w:after="80"/>
              <w:ind w:left="360"/>
              <w:jc w:val="left"/>
            </w:pPr>
            <w:r>
              <w:rPr>
                <w:sz w:val="24"/>
              </w:rPr>
              <w:t>•  Two physically separate databases with no cross-database foreign keys, transactions or duplicated live data.</w:t>
            </w:r>
          </w:p>
          <w:p>
            <w:pPr>
              <w:bidi w:val="0"/>
              <w:spacing w:after="80"/>
              <w:ind w:left="360"/>
              <w:jc w:val="left"/>
            </w:pPr>
            <w:r>
              <w:rPr>
                <w:sz w:val="24"/>
              </w:rPr>
              <w:t>•  Arabic primary (RTL) and English secondary throughout.</w:t>
            </w:r>
          </w:p>
        </w:tc>
      </w:tr>
      <w:tr w:rsidR="00754B54" w:rsidRPr="0041599B" w14:paraId="02CD9670" w14:textId="77777777" w:rsidTr="002323AE">
        <w:tc>
          <w:tcPr>
            <w:tcW w:w="1318" w:type="pct"/>
            <w:shd w:val="clear" w:color="auto" w:fill="E7E6E6" w:themeFill="background2"/>
            <w:vAlign w:val="center"/>
          </w:tcPr>
          <w:p w14:paraId="75BD951A" w14:textId="65FC479B"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pPr>
              <w:bidi w:val="0"/>
              <w:spacing w:after="80"/>
              <w:jc w:val="left"/>
            </w:pPr>
            <w:r>
              <w:rPr>
                <w:sz w:val="24"/>
              </w:rPr>
              <w:t>.NET 10, FastEndpoints, FluentValidation, EF Core (code-first), Blazor Server + Blazor SSR, MudBlazor, Flutter (Dart) for iOS and Android, SQL Server 2022, IIS, Serilog, MailKit.</w:t>
            </w:r>
          </w:p>
        </w:tc>
      </w:tr>
      <w:tr w:rsidR="00754B54" w:rsidRPr="0041599B" w14:paraId="0FED1DD4" w14:textId="77777777" w:rsidTr="002323AE">
        <w:tc>
          <w:tcPr>
            <w:tcW w:w="1318" w:type="pct"/>
            <w:shd w:val="clear" w:color="auto" w:fill="E7E6E6" w:themeFill="background2"/>
            <w:vAlign w:val="center"/>
          </w:tcPr>
          <w:p w14:paraId="7396452E" w14:textId="778341B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Hardware Specification</w:t>
            </w:r>
          </w:p>
        </w:tc>
        <w:tc>
          <w:tcPr>
            <w:tcW w:w="3682" w:type="pct"/>
          </w:tcPr>
          <w:p>
            <w:pPr>
              <w:bidi w:val="0"/>
              <w:spacing w:after="80"/>
              <w:jc w:val="left"/>
            </w:pPr>
            <w:r>
              <w:rPr>
                <w:sz w:val="24"/>
              </w:rPr>
              <w:t>Per the server requirements sheet (متطلبات الخوادم.xlsx), the authoritative hardware specification for this submission. Base (dev/test): a single application host and one SQL Server host. The event-day production sizing — per-tier node counts and CPU / RAM / storage — is part of the deferred scale-out (SIMF-SAD-001 §A.3) and is confirmed with the host (SIMF-RDR-001 D8).</w:t>
            </w:r>
          </w:p>
        </w:tc>
      </w:tr>
    </w:tbl>
    <w:p w14:paraId="59139092" w14:textId="5E9E0C73"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1141"/>
      </w:tblGrid>
      <w:tr w:rsidR="004F0070" w:rsidRPr="0041599B" w14:paraId="1A85EE57" w14:textId="77777777" w:rsidTr="00D12CD4">
        <w:trPr>
          <w:trHeight w:val="488"/>
        </w:trPr>
        <w:tc>
          <w:tcPr>
            <w:tcW w:w="5000" w:type="pct"/>
            <w:tcBorders>
              <w:bottom w:val="single" w:sz="4" w:space="0" w:color="auto"/>
            </w:tcBorders>
            <w:shd w:val="clear" w:color="auto" w:fill="29504D"/>
            <w:vAlign w:val="center"/>
          </w:tcPr>
          <w:p w14:paraId="31F18B9E" w14:textId="60F327D4"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lastRenderedPageBreak/>
              <w:t>Purpose</w:t>
            </w:r>
          </w:p>
        </w:tc>
      </w:tr>
      <w:tr w:rsidR="004F0070" w:rsidRPr="0041599B" w14:paraId="73DA121B" w14:textId="77777777" w:rsidTr="004F0070">
        <w:trPr>
          <w:trHeight w:val="336"/>
        </w:trPr>
        <w:tc>
          <w:tcPr>
            <w:tcW w:w="5000" w:type="pct"/>
            <w:shd w:val="clear" w:color="auto" w:fill="E7E6E6" w:themeFill="background2"/>
            <w:vAlign w:val="center"/>
          </w:tcPr>
          <w:p>
            <w:pPr>
              <w:bidi w:val="0"/>
              <w:spacing w:after="80"/>
              <w:jc w:val="left"/>
            </w:pPr>
            <w:r>
              <w:rPr>
                <w:sz w:val="24"/>
              </w:rPr>
              <w:t>This document describes the high-level design for the SIMF (Saudi International Maritime Forum) platform, delivered for the Royal Saudi Naval Forces (RSNF) under a Ministry of Defense programme.</w:t>
            </w:r>
          </w:p>
        </w:tc>
      </w:tr>
      <w:tr w:rsidR="00011535" w:rsidRPr="0041599B" w14:paraId="0B8EB8F8" w14:textId="77777777" w:rsidTr="00011535">
        <w:trPr>
          <w:trHeight w:val="336"/>
        </w:trPr>
        <w:tc>
          <w:tcPr>
            <w:tcW w:w="5000" w:type="pct"/>
            <w:shd w:val="clear" w:color="auto" w:fill="29504D"/>
            <w:vAlign w:val="center"/>
          </w:tcPr>
          <w:p w14:paraId="1508BEDC" w14:textId="46996929"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1CB7EAEB" w14:textId="77777777" w:rsidTr="004F0070">
        <w:trPr>
          <w:trHeight w:val="336"/>
        </w:trPr>
        <w:tc>
          <w:tcPr>
            <w:tcW w:w="5000" w:type="pct"/>
            <w:shd w:val="clear" w:color="auto" w:fill="E7E6E6" w:themeFill="background2"/>
            <w:vAlign w:val="center"/>
          </w:tcPr>
          <w:p w14:paraId="7D5ABAA9" w14:textId="2D4A8C13"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1A930ED1" w14:textId="77777777" w:rsidTr="009F4953">
        <w:trPr>
          <w:trHeight w:val="336"/>
        </w:trPr>
        <w:tc>
          <w:tcPr>
            <w:tcW w:w="5000" w:type="pct"/>
            <w:shd w:val="clear" w:color="auto" w:fill="FFFFFF" w:themeFill="background1"/>
            <w:vAlign w:val="center"/>
          </w:tcPr>
          <w:p>
            <w:pPr>
              <w:bidi w:val="0"/>
              <w:spacing w:after="80"/>
              <w:jc w:val="left"/>
            </w:pPr>
            <w:r>
              <w:rPr>
                <w:sz w:val="24"/>
              </w:rPr>
              <w:t>SIMF is a single-tenant event platform for the Saudi International Maritime Forum. It serves three audiences through three front-end applications that share one backend API and two databases. It is designed to:</w:t>
            </w:r>
          </w:p>
          <w:p>
            <w:pPr>
              <w:bidi w:val="0"/>
              <w:spacing w:after="80"/>
              <w:ind w:left="360"/>
              <w:jc w:val="left"/>
            </w:pPr>
            <w:r>
              <w:rPr>
                <w:sz w:val="24"/>
              </w:rPr>
              <w:t>•  Register visitors online, verify their e-mail and identity, and route them through an administrator approval workflow.</w:t>
            </w:r>
          </w:p>
          <w:p>
            <w:pPr>
              <w:bidi w:val="0"/>
              <w:spacing w:after="80"/>
              <w:ind w:left="360"/>
              <w:jc w:val="left"/>
            </w:pPr>
            <w:r>
              <w:rPr>
                <w:sz w:val="24"/>
              </w:rPr>
              <w:t>•  Issue each approved attendee a digital QR badge and control physical entry through gate scanning.</w:t>
            </w:r>
          </w:p>
          <w:p>
            <w:pPr>
              <w:bidi w:val="0"/>
              <w:spacing w:after="80"/>
              <w:ind w:left="360"/>
              <w:jc w:val="left"/>
            </w:pPr>
            <w:r>
              <w:rPr>
                <w:sz w:val="24"/>
              </w:rPr>
              <w:t>•  Publish the forum programme and let attendees browse sessions, reserve seats and receive reminders.</w:t>
            </w:r>
          </w:p>
          <w:p>
            <w:pPr>
              <w:bidi w:val="0"/>
              <w:spacing w:after="80"/>
              <w:ind w:left="360"/>
              <w:jc w:val="left"/>
            </w:pPr>
            <w:r>
              <w:rPr>
                <w:sz w:val="24"/>
              </w:rPr>
              <w:t>•  Stream live sessions (with a sign-language feed) and let attendees submit moderated questions and comments.</w:t>
            </w:r>
          </w:p>
          <w:p>
            <w:pPr>
              <w:bidi w:val="0"/>
              <w:spacing w:after="80"/>
              <w:ind w:left="360"/>
              <w:jc w:val="left"/>
            </w:pPr>
            <w:r>
              <w:rPr>
                <w:sz w:val="24"/>
              </w:rPr>
              <w:t>•  Present the exhibition, booths, sponsors, media partners, news, media gallery and the past-edition archive.</w:t>
            </w:r>
          </w:p>
          <w:p>
            <w:pPr>
              <w:bidi w:val="0"/>
              <w:spacing w:after="80"/>
              <w:ind w:left="360"/>
              <w:jc w:val="left"/>
            </w:pPr>
            <w:r>
              <w:rPr>
                <w:sz w:val="24"/>
              </w:rPr>
              <w:t>•  Enable networking, contact sharing, and speaker / delegation / business meeting requests.</w:t>
            </w:r>
          </w:p>
          <w:p>
            <w:pPr>
              <w:bidi w:val="0"/>
              <w:spacing w:after="80"/>
              <w:ind w:left="360"/>
              <w:jc w:val="left"/>
            </w:pPr>
            <w:r>
              <w:rPr>
                <w:sz w:val="24"/>
              </w:rPr>
              <w:t>•  Give organisers a Control Panel to administer every aspect of the event without a code release.</w:t>
            </w:r>
          </w:p>
          <w:p>
            <w:pPr>
              <w:bidi w:val="0"/>
              <w:spacing w:after="80"/>
              <w:ind w:left="360"/>
              <w:jc w:val="left"/>
            </w:pPr>
            <w:r>
              <w:rPr>
                <w:sz w:val="24"/>
              </w:rPr>
              <w:t>•  Collect ratings and feedback and present event statistics.</w:t>
            </w:r>
          </w:p>
          <w:p>
            <w:pPr>
              <w:bidi w:val="0"/>
              <w:spacing w:after="80" w:before="120"/>
              <w:jc w:val="left"/>
            </w:pPr>
            <w:r>
              <w:rPr>
                <w:b/>
                <w:sz w:val="24"/>
              </w:rPr>
              <w:t>High-level assumptions and constraints</w:t>
            </w:r>
          </w:p>
          <w:p>
            <w:pPr>
              <w:bidi w:val="0"/>
              <w:spacing w:after="80"/>
              <w:ind w:left="360"/>
              <w:jc w:val="left"/>
            </w:pPr>
            <w:r>
              <w:rPr>
                <w:sz w:val="24"/>
              </w:rPr>
              <w:t>•  The forum runs on fixed dates; the platform must be feature-complete and frozen before it opens, and an outage during the event cannot be rescheduled.</w:t>
            </w:r>
          </w:p>
          <w:p>
            <w:pPr>
              <w:bidi w:val="0"/>
              <w:spacing w:after="80"/>
              <w:ind w:left="360"/>
              <w:jc w:val="left"/>
            </w:pPr>
            <w:r>
              <w:rPr>
                <w:sz w:val="24"/>
              </w:rPr>
              <w:t>•  Hosting is on-premises behind a reverse proxy; there is no public-cloud dependency.</w:t>
            </w:r>
          </w:p>
          <w:p>
            <w:pPr>
              <w:bidi w:val="0"/>
              <w:spacing w:after="80"/>
              <w:ind w:left="360"/>
              <w:jc w:val="left"/>
            </w:pPr>
            <w:r>
              <w:rPr>
                <w:sz w:val="24"/>
              </w:rPr>
              <w:t>•  The system must comply with the NCA Secure Application Development Standard.</w:t>
            </w:r>
          </w:p>
          <w:p>
            <w:pPr>
              <w:bidi w:val="0"/>
              <w:spacing w:after="80"/>
              <w:ind w:left="360"/>
              <w:jc w:val="left"/>
            </w:pPr>
            <w:r>
              <w:rPr>
                <w:sz w:val="24"/>
              </w:rPr>
              <w:t>•  Arabic is the primary language (right-to-left); English is secondary.</w:t>
            </w:r>
          </w:p>
          <w:p>
            <w:pPr>
              <w:bidi w:val="0"/>
              <w:spacing w:after="80"/>
              <w:ind w:left="360"/>
              <w:jc w:val="left"/>
            </w:pPr>
            <w:r>
              <w:rPr>
                <w:sz w:val="24"/>
              </w:rPr>
              <w:t>•  Identity data and business data are held in two physically separate SQL Server databases with no cross-database foreign keys.</w:t>
            </w:r>
          </w:p>
          <w:p>
            <w:pPr>
              <w:bidi w:val="0"/>
              <w:spacing w:after="80"/>
              <w:ind w:left="360"/>
              <w:jc w:val="left"/>
            </w:pPr>
            <w:r>
              <w:rPr>
                <w:sz w:val="24"/>
              </w:rPr>
              <w:t>•  The source code is contractually handed over to the customer.</w:t>
            </w:r>
          </w:p>
        </w:tc>
      </w:tr>
      <w:tr w:rsidR="00A11C84" w:rsidRPr="0041599B" w14:paraId="0AA1CC18" w14:textId="77777777" w:rsidTr="00265616">
        <w:trPr>
          <w:trHeight w:val="336"/>
        </w:trPr>
        <w:tc>
          <w:tcPr>
            <w:tcW w:w="5000" w:type="pct"/>
            <w:shd w:val="clear" w:color="auto" w:fill="29504D"/>
            <w:vAlign w:val="center"/>
          </w:tcPr>
          <w:p w14:paraId="047EAC39" w14:textId="2FC5D5DA"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1.3 </w:t>
            </w:r>
            <w:r w:rsidR="00A11C84">
              <w:rPr>
                <w:rFonts w:asciiTheme="minorHAnsi" w:hAnsiTheme="minorHAnsi" w:cstheme="minorHAnsi"/>
                <w:b/>
                <w:bCs/>
                <w:color w:val="FFFFFF" w:themeColor="background1"/>
                <w:sz w:val="24"/>
                <w:szCs w:val="24"/>
              </w:rPr>
              <w:t>System Context</w:t>
            </w:r>
          </w:p>
        </w:tc>
      </w:tr>
      <w:tr w:rsidR="00A11C84" w:rsidRPr="0041599B" w14:paraId="5D124AA5" w14:textId="77777777" w:rsidTr="004F0070">
        <w:trPr>
          <w:trHeight w:val="336"/>
        </w:trPr>
        <w:tc>
          <w:tcPr>
            <w:tcW w:w="5000" w:type="pct"/>
            <w:shd w:val="clear" w:color="auto" w:fill="E7E6E6" w:themeFill="background2"/>
            <w:vAlign w:val="center"/>
          </w:tcPr>
          <w:p w14:paraId="7C1F6FD5" w14:textId="0EDF0536"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System Context for the solution, with Users, External Entities, External and Internal Systems the solution has to interact with.</w:t>
            </w:r>
          </w:p>
        </w:tc>
      </w:tr>
      <w:tr w:rsidR="00265616" w:rsidRPr="0041599B" w14:paraId="22D0C2EF" w14:textId="77777777" w:rsidTr="004F0070">
        <w:trPr>
          <w:trHeight w:val="3758"/>
        </w:trPr>
        <w:tc>
          <w:tcPr>
            <w:tcW w:w="5000" w:type="pct"/>
            <w:shd w:val="clear" w:color="auto" w:fill="FFFFFF" w:themeFill="background1"/>
          </w:tcPr>
          <w:p>
            <w:pPr>
              <w:bidi w:val="0"/>
              <w:spacing w:after="80" w:before="120"/>
              <w:jc w:val="left"/>
            </w:pPr>
            <w:r>
              <w:rPr>
                <w:b/>
                <w:sz w:val="24"/>
              </w:rPr>
              <w:t>Users</w:t>
            </w:r>
          </w:p>
          <w:p>
            <w:pPr>
              <w:bidi w:val="0"/>
              <w:spacing w:after="80"/>
              <w:ind w:left="360"/>
              <w:jc w:val="left"/>
            </w:pPr>
            <w:r>
              <w:rPr>
                <w:sz w:val="24"/>
              </w:rPr>
              <w:t>•  Attendees / visitors / VIP delegates — use the mobile app (Android + iOS) and the public website to register, receive a digital badge, browse the programme, reserve seats, watch live sessions, ask questions, network and rate the event.</w:t>
            </w:r>
          </w:p>
          <w:p>
            <w:pPr>
              <w:bidi w:val="0"/>
              <w:spacing w:after="80"/>
              <w:ind w:left="360"/>
              <w:jc w:val="left"/>
            </w:pPr>
            <w:r>
              <w:rPr>
                <w:sz w:val="24"/>
              </w:rPr>
              <w:t>•  Anonymous public — use the website to read public content (home, programme, visit information) and to begin registration.</w:t>
            </w:r>
          </w:p>
          <w:p>
            <w:pPr>
              <w:bidi w:val="0"/>
              <w:spacing w:after="80"/>
              <w:ind w:left="360"/>
              <w:jc w:val="left"/>
            </w:pPr>
            <w:r>
              <w:rPr>
                <w:sz w:val="24"/>
              </w:rPr>
              <w:t>•  Administrators / organisers / scientific committee / public relations — use the Control Panel, reached on a separate hostname (the administrator is the "Backend user" in the SITE reference topology of §2.1).</w:t>
            </w:r>
          </w:p>
          <w:p>
            <w:pPr>
              <w:bidi w:val="0"/>
              <w:spacing w:after="80"/>
              <w:ind w:left="360"/>
              <w:jc w:val="left"/>
            </w:pPr>
            <w:r>
              <w:rPr>
                <w:sz w:val="24"/>
              </w:rPr>
              <w:t>•  Gate operators and session moderators — use the mobile app staff / moderator screens and the Control Panel.</w:t>
            </w:r>
          </w:p>
          <w:p>
            <w:pPr>
              <w:bidi w:val="0"/>
              <w:spacing w:after="80" w:before="120"/>
              <w:jc w:val="left"/>
            </w:pPr>
            <w:r>
              <w:rPr>
                <w:b/>
                <w:sz w:val="24"/>
              </w:rPr>
              <w:t>External entities (outbound only, through the controlled egress point)</w:t>
            </w:r>
          </w:p>
          <w:p>
            <w:pPr>
              <w:bidi w:val="0"/>
              <w:spacing w:after="80"/>
              <w:ind w:left="360"/>
              <w:jc w:val="left"/>
            </w:pPr>
            <w:r>
              <w:rPr>
                <w:sz w:val="24"/>
              </w:rPr>
              <w:t>•  AI provider — Gemini / OpenAI / Anthropic, pluggable behind an abstraction and selected by configuration; used for session-summary generation and comment / question filtering.</w:t>
            </w:r>
          </w:p>
          <w:p>
            <w:pPr>
              <w:bidi w:val="0"/>
              <w:spacing w:after="80"/>
              <w:ind w:left="360"/>
              <w:jc w:val="left"/>
            </w:pPr>
            <w:r>
              <w:rPr>
                <w:sz w:val="24"/>
              </w:rPr>
              <w:t>•  YouTube caption API — server-to-server subtitle import that feeds the AI summary drafter (egress approval pending; the paste / upload path works without it).</w:t>
            </w:r>
          </w:p>
          <w:p>
            <w:pPr>
              <w:bidi w:val="0"/>
              <w:spacing w:after="80"/>
              <w:ind w:left="360"/>
              <w:jc w:val="left"/>
            </w:pPr>
            <w:r>
              <w:rPr>
                <w:sz w:val="24"/>
              </w:rPr>
              <w:t>•  YouTube live playback — performed by the attendee device directly; this traffic does not traverse the SIMF backend.</w:t>
            </w:r>
          </w:p>
          <w:p>
            <w:pPr>
              <w:bidi w:val="0"/>
              <w:spacing w:after="80"/>
              <w:jc w:val="left"/>
            </w:pPr>
            <w:r>
              <w:rPr>
                <w:i/>
                <w:color w:val="444444"/>
                <w:sz w:val="22"/>
              </w:rPr>
              <w:t>No external entity initiates an inbound connection to SIMF.</w:t>
            </w:r>
          </w:p>
          <w:p>
            <w:pPr>
              <w:bidi w:val="0"/>
              <w:spacing w:after="80" w:before="120"/>
              <w:jc w:val="left"/>
            </w:pPr>
            <w:r>
              <w:rPr>
                <w:b/>
                <w:sz w:val="24"/>
              </w:rPr>
              <w:t>Internal systems</w:t>
            </w:r>
          </w:p>
          <w:p>
            <w:pPr>
              <w:bidi w:val="0"/>
              <w:spacing w:after="80"/>
              <w:ind w:left="360"/>
              <w:jc w:val="left"/>
            </w:pPr>
            <w:r>
              <w:rPr>
                <w:sz w:val="24"/>
              </w:rPr>
              <w:t>•  SMTP relay — transactional e-mail (verification codes, OTP, approval notices, alerts), queued and dispatched asynchronously.</w:t>
            </w:r>
          </w:p>
          <w:p>
            <w:pPr>
              <w:bidi w:val="0"/>
              <w:spacing w:after="80"/>
              <w:ind w:left="360"/>
              <w:jc w:val="left"/>
            </w:pPr>
            <w:r>
              <w:rPr>
                <w:sz w:val="24"/>
              </w:rPr>
              <w:t>•  Syslog / SIEM — centralised structured logging.</w:t>
            </w:r>
          </w:p>
          <w:p>
            <w:pPr>
              <w:bidi w:val="0"/>
              <w:spacing w:after="80"/>
              <w:ind w:left="360"/>
              <w:jc w:val="left"/>
            </w:pPr>
            <w:r>
              <w:rPr>
                <w:sz w:val="24"/>
              </w:rPr>
              <w:t>•  File store — a filesystem store holding avatars, encrypted identity documents, VIP photos, session recordings, speaker presentations and media assets. Local to the API host in the single-node deployment; in the multi-node target it is a shared, clustered store (SMB) in the HSA zone, so any API node reads back what another wrote.</w:t>
            </w:r>
          </w:p>
          <w:p>
            <w:pPr>
              <w:bidi w:val="0"/>
              <w:spacing w:after="80"/>
              <w:ind w:left="360"/>
              <w:jc w:val="left"/>
            </w:pPr>
            <w:r>
              <w:rPr>
                <w:sz w:val="24"/>
              </w:rPr>
              <w:t>•  SQL Server 2022 — hosts the SIMF_Identity and SIMF_App databases. Standard edition, single node, in Development / Test (O-3); Enterprise edition in an AlwaysOn Availability Group for the production event topology (owner decision — see §2.1).</w:t>
            </w:r>
          </w:p>
          <w:p>
            <w:pPr>
              <w:bidi w:val="0"/>
              <w:spacing w:after="80"/>
              <w:jc w:val="left"/>
            </w:pPr>
            <w:r>
              <w:rPr>
                <w:i/>
                <w:color w:val="444444"/>
                <w:sz w:val="22"/>
              </w:rPr>
              <w:t>SIMF does not integrate with Active Directory / LDAP; it operates its own ASP.NET Core Identity store.</w:t>
            </w:r>
          </w:p>
        </w:tc>
      </w:tr>
      <w:tr w:rsidR="00265616" w:rsidRPr="0041599B" w14:paraId="0B921045" w14:textId="77777777" w:rsidTr="00D12CD4">
        <w:trPr>
          <w:trHeight w:val="488"/>
        </w:trPr>
        <w:tc>
          <w:tcPr>
            <w:tcW w:w="5000" w:type="pct"/>
            <w:tcBorders>
              <w:bottom w:val="single" w:sz="4" w:space="0" w:color="auto"/>
            </w:tcBorders>
            <w:shd w:val="clear" w:color="auto" w:fill="29504D"/>
            <w:vAlign w:val="center"/>
          </w:tcPr>
          <w:p w14:paraId="20CA4A53" w14:textId="0E4BAFE6"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3CD091C2" w14:textId="77777777" w:rsidTr="00D12CD4">
        <w:trPr>
          <w:trHeight w:val="336"/>
        </w:trPr>
        <w:tc>
          <w:tcPr>
            <w:tcW w:w="5000" w:type="pct"/>
            <w:shd w:val="clear" w:color="auto" w:fill="E7E6E6" w:themeFill="background2"/>
            <w:vAlign w:val="center"/>
          </w:tcPr>
          <w:p w14:paraId="7D86F0CB" w14:textId="2C8CA6AA"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Overall Architecture of the Solution with the main conceptual building blocks, systems, sub systems, connections, data stores, users and external systems. With description of each relevant item.</w:t>
            </w:r>
          </w:p>
        </w:tc>
      </w:tr>
      <w:tr w:rsidR="00265616" w:rsidRPr="0041599B" w14:paraId="0003DDAC" w14:textId="77777777" w:rsidTr="00D12CD4">
        <w:trPr>
          <w:trHeight w:val="3758"/>
        </w:trPr>
        <w:tc>
          <w:tcPr>
            <w:tcW w:w="5000" w:type="pct"/>
            <w:shd w:val="clear" w:color="auto" w:fill="FFFFFF" w:themeFill="background1"/>
          </w:tcPr>
          <w:p>
            <w:pPr>
              <w:bidi w:val="0"/>
              <w:spacing w:after="80"/>
              <w:jc w:val="left"/>
            </w:pPr>
            <w:r>
              <w:rPr>
                <w:sz w:val="24"/>
              </w:rPr>
              <w:t>SIMF is a modular monolith: one backend API serves three client applications (the mobile app, the public website and the Control Panel) over two physically separate databases (SIMF_Identity and SIMF_App).</w:t>
            </w:r>
          </w:p>
          <w:p>
            <w:pPr>
              <w:bidi w:val="0"/>
              <w:spacing w:after="80" w:before="120"/>
              <w:jc w:val="left"/>
            </w:pPr>
            <w:r>
              <w:rPr>
                <w:b/>
                <w:sz w:val="24"/>
              </w:rPr>
              <w:t>Current (as-built) deployment</w:t>
            </w:r>
          </w:p>
          <w:p>
            <w:pPr>
              <w:bidi w:val="0"/>
              <w:spacing w:after="80"/>
              <w:jc w:val="left"/>
            </w:pPr>
            <w:r>
              <w:rPr>
                <w:sz w:val="24"/>
              </w:rPr>
              <w:t>As deployed today (SIMF-SAD-001 §10.1, SIMF-OPS-001 §3): the system runs on-premises on Windows Server 2022, hosted with a local Saudi provider via STC, behind a single reverse proxy that terminates TLS. The reverse proxy fronts three .NET sites — the Website host, the Control Panel host, and the API (+ SignalR) host — and the API host talks to one SQL Server 2022 (Standard edition) hosting the two databases. The mobile app reaches the same API through the reverse proxy. There is no load balancer, WAF or DMZ in the current deployment.</w:t>
            </w:r>
          </w:p>
          <w:p>
            <w:pPr>
              <w:bidi w:val="0"/>
              <w:spacing w:after="80" w:before="120"/>
              <w:jc w:val="left"/>
            </w:pPr>
            <w:r>
              <w:rPr>
                <w:b/>
                <w:sz w:val="24"/>
              </w:rPr>
              <w:t>Proposed target-state (event-day scale-out)</w:t>
            </w:r>
          </w:p>
          <w:p>
            <w:pPr>
              <w:bidi w:val="0"/>
              <w:spacing w:after="80"/>
              <w:jc w:val="left"/>
            </w:pPr>
            <w:r>
              <w:rPr>
                <w:i/>
                <w:color w:val="444444"/>
                <w:sz w:val="22"/>
              </w:rPr>
              <w:t>Figure 1 — SIMF proposed target-state network architecture, mapped onto the MoD "SITE Private Cloud" zone model (Internet / SITE SSA Zone / SITE HSA Zone). This is a PROPOSED event-day topology (SIMF-SAD-001 §A.3, an explicitly deferred decision), not the current deployment. The zone layout, security appliances and host names are illustrative and are [OWNER / INFRA INPUT REQUIRED] — SIMF has no approved network-design document yet.</w:t>
            </w:r>
          </w:p>
          <w:p>
            <w:pPr>
              <w:bidi w:val="0"/>
              <w:spacing w:after="80"/>
              <w:jc w:val="center"/>
            </w:pPr>
            <w:r>
              <w:drawing>
                <wp:inline xmlns:a="http://schemas.openxmlformats.org/drawingml/2006/main" xmlns:pic="http://schemas.openxmlformats.org/drawingml/2006/picture">
                  <wp:extent cx="5669280" cy="3326363"/>
                  <wp:docPr id="1" name="Picture 1"/>
                  <wp:cNvGraphicFramePr>
                    <a:graphicFrameLocks noChangeAspect="1"/>
                  </wp:cNvGraphicFramePr>
                  <a:graphic>
                    <a:graphicData uri="http://schemas.openxmlformats.org/drawingml/2006/picture">
                      <pic:pic>
                        <pic:nvPicPr>
                          <pic:cNvPr id="0" name="SIMF-HLD-Network-Architecture.png"/>
                          <pic:cNvPicPr/>
                        </pic:nvPicPr>
                        <pic:blipFill>
                          <a:blip r:embed="rId15"/>
                          <a:stretch>
                            <a:fillRect/>
                          </a:stretch>
                        </pic:blipFill>
                        <pic:spPr>
                          <a:xfrm>
                            <a:off x="0" y="0"/>
                            <a:ext cx="5669280" cy="3326363"/>
                          </a:xfrm>
                          <a:prstGeom prst="rect"/>
                        </pic:spPr>
                      </pic:pic>
                    </a:graphicData>
                  </a:graphic>
                </wp:inline>
              </w:drawing>
            </w:r>
          </w:p>
          <w:p>
            <w:pPr>
              <w:bidi w:val="0"/>
              <w:spacing w:after="80"/>
              <w:jc w:val="left"/>
            </w:pPr>
            <w:r>
              <w:rPr>
                <w:sz w:val="24"/>
              </w:rPr>
              <w:t>For the event-day surge the built-scale-ready system (stateless API, no in-process session state, externalised configuration) is scaled out as a deployment change. The proposed zoned layout maps the components onto datacentre zones as follows.</w:t>
            </w:r>
          </w:p>
          <w:p>
            <w:pPr>
              <w:bidi w:val="0"/>
              <w:spacing w:after="80"/>
              <w:jc w:val="left"/>
            </w:pPr>
            <w:r>
              <w:rPr>
                <w:sz w:val="24"/>
              </w:rPr>
              <w:t>The layout follows the MoD "SITE Private Cloud" reference: an Internet zone, a SITE SSA Zone (Secure Service Area — the application servers behind the WAF / load balancer), and a SITE HSA Zone (High Security Area — the data servers only: the database and the shared encrypted file store), with a firewall at every zone boundary.</w:t>
            </w:r>
          </w:p>
          <w:p>
            <w:pPr>
              <w:bidi w:val="0"/>
              <w:spacing w:after="80"/>
              <w:jc w:val="left"/>
            </w:pPr>
            <w:r>
              <w:rPr>
                <w:b/>
                <w:sz w:val="24"/>
              </w:rPr>
              <w:t xml:space="preserve">Internet — </w:t>
            </w:r>
            <w:r>
              <w:rPr>
                <w:sz w:val="24"/>
              </w:rPr>
              <w:t>the attendee (Applicant) uses the mobile app (iOS / Android) and the public website (illustratively api.simf.example / simf.example) over HTTPS / TLS 1.3; the administrator (Backend user) reaches the Control Panel (cp.simf.example) over HTTPS. The external services SIMF calls outbound live here too — the AI provider (Gemini / OpenAI / Anthropic) and the YouTube caption API. SIMF uses its own e-mail OTP, so it does not integrate SMS or NAFATH.</w:t>
            </w:r>
          </w:p>
          <w:p>
            <w:pPr>
              <w:bidi w:val="0"/>
              <w:spacing w:after="80"/>
              <w:jc w:val="left"/>
            </w:pPr>
            <w:r>
              <w:rPr>
                <w:b/>
                <w:sz w:val="24"/>
              </w:rPr>
              <w:t xml:space="preserve">SITE SSA Zone (application servers) — </w:t>
            </w:r>
            <w:r>
              <w:rPr>
                <w:sz w:val="24"/>
              </w:rPr>
              <w:t>the edge firewall passes traffic to the WAF + Load Balancer (an HA pair) which terminates TLS 1.3, applies the OWASP web-application-firewall rules and health-checks the nodes. Behind it run all of SIMF’s application servers, each tier horizontally scaled: the API tier — SIMF.Api ×4 (stateless, N+1; .NET 10 / FastEndpoints on IIS + Kestrel) carrying both the REST calls and the SignalR WebSockets; the website tier — SIMF.Web ×2 (Blazor SSR, N+1); the admin tier — SIMF.ControlPanel ×2 (Blazor Server, N+1, sticky circuits); and a background-worker node (×1–2) that drains notification / session-reminder sends asynchronously (§A.2). The zone also holds SIMF’s internal services (SMTP relay, Syslog / SIEM) and the single controlled egress point for outbound calls. Read-mostly data is cached per node in memory (§A.1); across the API fleet SignalR fans out through the SQL Server backplane (owner decision — no Redis). The WAF is an NCA remediation target (see §2.9), not yet a deployed appliance.</w:t>
            </w:r>
          </w:p>
          <w:p>
            <w:pPr>
              <w:bidi w:val="0"/>
              <w:spacing w:after="80"/>
              <w:jc w:val="left"/>
            </w:pPr>
            <w:r>
              <w:rPr>
                <w:b/>
                <w:sz w:val="24"/>
              </w:rPr>
              <w:t xml:space="preserve">SITE HSA Zone (data — high security) — </w:t>
            </w:r>
            <w:r>
              <w:rPr>
                <w:sz w:val="24"/>
              </w:rPr>
              <w:t>behind the inner firewall sit the data servers only. The database is SQL Server 2022 Enterprise in an AlwaysOn Availability Group (a Windows Server Failover Cluster): a read-write primary plus one-to-two readable secondary replicas, reached through a single AG listener that routes writes to the primary and read-intent connections to a secondary — so read load scales out on the secondaries. Both separate databases (SIMF_Identity and SIMF_App, no cross-database foreign key) ride the group with synchronous commit and automatic failover, and the SignalR SQL backplane lives on the primary. The zone also holds the shared encrypted file store (StoredFile bytes, including the PII identity documents, AES-256 envelope-encrypted at rest) and the scheduled database / file backups. Only the SSA application servers reach this zone — the database over TCP 1433, the file store over SMB 445. Placing all persistent PII alone in the innermost zone keeps it behind the most protected boundary. (Development / Test use a single SQL Server Standard node — O-3; Enterprise + AG is the production event topology only.)</w:t>
            </w:r>
          </w:p>
          <w:p>
            <w:pPr>
              <w:bidi w:val="0"/>
              <w:spacing w:after="80"/>
              <w:jc w:val="left"/>
            </w:pPr>
            <w:r>
              <w:rPr>
                <w:b/>
                <w:sz w:val="24"/>
              </w:rPr>
              <w:t xml:space="preserve">Transport — </w:t>
            </w:r>
            <w:r>
              <w:rPr>
                <w:sz w:val="24"/>
              </w:rPr>
              <w:t>every connection is HTTPS / TLS 1.2+ (TLS 1.3 at the edge). In the proposed target TLS terminates at the edge Load Balancer and is re-encrypted to the backend; in the current deployment TLS terminates at the reverse proxy.</w:t>
            </w:r>
          </w:p>
          <w:p>
            <w:pPr>
              <w:bidi w:val="0"/>
              <w:spacing w:after="80" w:before="120"/>
              <w:jc w:val="left"/>
            </w:pPr>
            <w:r>
              <w:rPr>
                <w:b/>
                <w:sz w:val="24"/>
              </w:rPr>
              <w:t>Deployment sizing and capacity (proposed — [OWNER / INFRA INPUT REQUIRED])</w:t>
            </w:r>
          </w:p>
          <w:p>
            <w:pPr>
              <w:bidi w:val="0"/>
              <w:spacing w:after="80"/>
              <w:jc w:val="left"/>
            </w:pPr>
            <w:r>
              <w:rPr>
                <w:sz w:val="24"/>
              </w:rPr>
              <w:t>SIMF is a time-boxed event platform, so the design point is the event-day peak, not an average load. Per SIMF-PTS-001 the capacity target is C = registered × peak-factor: for ≈ 50,000 registered attendees at a 0.6 peak-factor that is ≈ 30,000 concurrent active attendees, sized with ≈ 40,000 headroom for the doors-open / agenda-rush / sign-in-storm spike. The p95 SLOs (authentication ≤ 400 ms, gate scan ≤ 250 ms, hot read ≤ 300 ms) must hold with CPU below 75 %. Live-session video is played directly from YouTube by the attendee device, so that bandwidth never touches SIMF servers — the tens-of-thousands concurrency SIMF itself carries is SignalR (live Q&amp;A, moderation and notifications) plus REST, not video. The proposed per-tier sizing follows.</w:t>
            </w:r>
          </w:p>
          <w:tbl>
            <w:tblPr>
              <w:tblStyle w:val="TableGrid"/>
              <w:tblW w:type="auto" w:w="0"/>
              <w:tblLook w:firstColumn="1" w:firstRow="1" w:lastColumn="0" w:lastRow="0" w:noHBand="0" w:noVBand="1" w:val="04A0"/>
            </w:tblPr>
            <w:tblGrid>
              <w:gridCol w:w="288"/>
              <w:gridCol w:w="288"/>
              <w:gridCol w:w="288"/>
              <w:gridCol w:w="288"/>
              <w:gridCol w:w="288"/>
            </w:tblGrid>
            <w:tr>
              <w:tc>
                <w:tcPr>
                  <w:tcW w:type="dxa" w:w="2160"/>
                </w:tcPr>
                <w:p>
                  <w:pPr>
                    <w:bidi w:val="0"/>
                    <w:spacing w:after="0"/>
                    <w:jc w:val="left"/>
                  </w:pPr>
                  <w:r/>
                  <w:r>
                    <w:rPr>
                      <w:b/>
                      <w:sz w:val="16"/>
                    </w:rPr>
                    <w:t>Tier / role</w:t>
                  </w:r>
                </w:p>
              </w:tc>
              <w:tc>
                <w:tcPr>
                  <w:tcW w:type="dxa" w:w="1008"/>
                </w:tcPr>
                <w:p>
                  <w:pPr>
                    <w:bidi w:val="0"/>
                    <w:spacing w:after="0"/>
                    <w:jc w:val="left"/>
                  </w:pPr>
                  <w:r/>
                  <w:r>
                    <w:rPr>
                      <w:b/>
                      <w:sz w:val="16"/>
                    </w:rPr>
                    <w:t>Zone</w:t>
                  </w:r>
                </w:p>
              </w:tc>
              <w:tc>
                <w:tcPr>
                  <w:tcW w:type="dxa" w:w="1368"/>
                </w:tcPr>
                <w:p>
                  <w:pPr>
                    <w:bidi w:val="0"/>
                    <w:spacing w:after="0"/>
                    <w:jc w:val="left"/>
                  </w:pPr>
                  <w:r/>
                  <w:r>
                    <w:rPr>
                      <w:b/>
                      <w:sz w:val="16"/>
                    </w:rPr>
                    <w:t>Instances</w:t>
                  </w:r>
                </w:p>
              </w:tc>
              <w:tc>
                <w:tcPr>
                  <w:tcW w:type="dxa" w:w="1944"/>
                </w:tcPr>
                <w:p>
                  <w:pPr>
                    <w:bidi w:val="0"/>
                    <w:spacing w:after="0"/>
                    <w:jc w:val="left"/>
                  </w:pPr>
                  <w:r/>
                  <w:r>
                    <w:rPr>
                      <w:b/>
                      <w:sz w:val="16"/>
                    </w:rPr>
                    <w:t>Spec (per node)</w:t>
                  </w:r>
                </w:p>
              </w:tc>
              <w:tc>
                <w:tcPr>
                  <w:tcW w:type="dxa" w:w="2664"/>
                </w:tcPr>
                <w:p>
                  <w:pPr>
                    <w:bidi w:val="0"/>
                    <w:spacing w:after="0"/>
                    <w:jc w:val="left"/>
                  </w:pPr>
                  <w:r/>
                  <w:r>
                    <w:rPr>
                      <w:b/>
                      <w:sz w:val="16"/>
                    </w:rPr>
                    <w:t>Purpose &amp; sizing basis</w:t>
                  </w:r>
                </w:p>
              </w:tc>
            </w:tr>
            <w:tr>
              <w:tc>
                <w:tcPr>
                  <w:tcW w:type="dxa" w:w="2160"/>
                </w:tcPr>
                <w:p>
                  <w:pPr>
                    <w:bidi w:val="0"/>
                    <w:spacing w:after="0"/>
                    <w:jc w:val="left"/>
                  </w:pPr>
                  <w:r/>
                  <w:r>
                    <w:rPr>
                      <w:b w:val="0"/>
                      <w:sz w:val="16"/>
                    </w:rPr>
                    <w:t>Edge — WAF + Load Balancer (HA pair)</w:t>
                  </w:r>
                </w:p>
              </w:tc>
              <w:tc>
                <w:tcPr>
                  <w:tcW w:type="dxa" w:w="1008"/>
                </w:tcPr>
                <w:p>
                  <w:pPr>
                    <w:bidi w:val="0"/>
                    <w:spacing w:after="0"/>
                    <w:jc w:val="left"/>
                  </w:pPr>
                  <w:r/>
                  <w:r>
                    <w:rPr>
                      <w:b w:val="0"/>
                      <w:sz w:val="16"/>
                    </w:rPr>
                    <w:t>SSA edge</w:t>
                  </w:r>
                </w:p>
              </w:tc>
              <w:tc>
                <w:tcPr>
                  <w:tcW w:type="dxa" w:w="1368"/>
                </w:tcPr>
                <w:p>
                  <w:pPr>
                    <w:bidi w:val="0"/>
                    <w:spacing w:after="0"/>
                    <w:jc w:val="left"/>
                  </w:pPr>
                  <w:r/>
                  <w:r>
                    <w:rPr>
                      <w:b w:val="0"/>
                      <w:sz w:val="16"/>
                    </w:rPr>
                    <w:t>2 (active/standby)</w:t>
                  </w:r>
                </w:p>
              </w:tc>
              <w:tc>
                <w:tcPr>
                  <w:tcW w:type="dxa" w:w="1944"/>
                </w:tcPr>
                <w:p>
                  <w:pPr>
                    <w:bidi w:val="0"/>
                    <w:spacing w:after="0"/>
                    <w:jc w:val="left"/>
                  </w:pPr>
                  <w:r/>
                  <w:r>
                    <w:rPr>
                      <w:b w:val="0"/>
                      <w:sz w:val="16"/>
                    </w:rPr>
                    <w:t>appliance / VM pair (vendor [OWNER / INFRA INPUT REQUIRED])</w:t>
                  </w:r>
                </w:p>
              </w:tc>
              <w:tc>
                <w:tcPr>
                  <w:tcW w:type="dxa" w:w="2664"/>
                </w:tcPr>
                <w:p>
                  <w:pPr>
                    <w:bidi w:val="0"/>
                    <w:spacing w:after="0"/>
                    <w:jc w:val="left"/>
                  </w:pPr>
                  <w:r/>
                  <w:r>
                    <w:rPr>
                      <w:b w:val="0"/>
                      <w:sz w:val="16"/>
                    </w:rPr>
                    <w:t>TLS 1.3 termination, OWASP WAF, L7 load balancing, WebSocket-aware, /health probes; tuned for tens of thousands of long-lived connections (SAD-001 §A.3).</w:t>
                  </w:r>
                </w:p>
              </w:tc>
            </w:tr>
            <w:tr>
              <w:tc>
                <w:tcPr>
                  <w:tcW w:type="dxa" w:w="2160"/>
                </w:tcPr>
                <w:p>
                  <w:pPr>
                    <w:bidi w:val="0"/>
                    <w:spacing w:after="0"/>
                    <w:jc w:val="left"/>
                  </w:pPr>
                  <w:r/>
                  <w:r>
                    <w:rPr>
                      <w:b w:val="0"/>
                      <w:sz w:val="16"/>
                    </w:rPr>
                    <w:t>API tier — SIMF.Api</w:t>
                  </w:r>
                </w:p>
              </w:tc>
              <w:tc>
                <w:tcPr>
                  <w:tcW w:type="dxa" w:w="1008"/>
                </w:tcPr>
                <w:p>
                  <w:pPr>
                    <w:bidi w:val="0"/>
                    <w:spacing w:after="0"/>
                    <w:jc w:val="left"/>
                  </w:pPr>
                  <w:r/>
                  <w:r>
                    <w:rPr>
                      <w:b w:val="0"/>
                      <w:sz w:val="16"/>
                    </w:rPr>
                    <w:t>SSA</w:t>
                  </w:r>
                </w:p>
              </w:tc>
              <w:tc>
                <w:tcPr>
                  <w:tcW w:type="dxa" w:w="1368"/>
                </w:tcPr>
                <w:p>
                  <w:pPr>
                    <w:bidi w:val="0"/>
                    <w:spacing w:after="0"/>
                    <w:jc w:val="left"/>
                  </w:pPr>
                  <w:r/>
                  <w:r>
                    <w:rPr>
                      <w:b w:val="0"/>
                      <w:sz w:val="16"/>
                    </w:rPr>
                    <w:t>4 (N+1)</w:t>
                  </w:r>
                </w:p>
              </w:tc>
              <w:tc>
                <w:tcPr>
                  <w:tcW w:type="dxa" w:w="1944"/>
                </w:tcPr>
                <w:p>
                  <w:pPr>
                    <w:bidi w:val="0"/>
                    <w:spacing w:after="0"/>
                    <w:jc w:val="left"/>
                  </w:pPr>
                  <w:r/>
                  <w:r>
                    <w:rPr>
                      <w:b w:val="0"/>
                      <w:sz w:val="16"/>
                    </w:rPr>
                    <w:t>8 vCPU / 32 GB, Windows Server 2022</w:t>
                  </w:r>
                </w:p>
              </w:tc>
              <w:tc>
                <w:tcPr>
                  <w:tcW w:type="dxa" w:w="2664"/>
                </w:tcPr>
                <w:p>
                  <w:pPr>
                    <w:bidi w:val="0"/>
                    <w:spacing w:after="0"/>
                    <w:jc w:val="left"/>
                  </w:pPr>
                  <w:r/>
                  <w:r>
                    <w:rPr>
                      <w:b w:val="0"/>
                      <w:sz w:val="16"/>
                    </w:rPr>
                    <w:t>Stateless REST + SignalR. ≈ 10,000 WebSocket connections/node → ≈ 40k ceiling; PBKDF2 auth is CPU-bound; per-node in-memory cache (§A.1).</w:t>
                  </w:r>
                </w:p>
              </w:tc>
            </w:tr>
            <w:tr>
              <w:tc>
                <w:tcPr>
                  <w:tcW w:type="dxa" w:w="2160"/>
                </w:tcPr>
                <w:p>
                  <w:pPr>
                    <w:bidi w:val="0"/>
                    <w:spacing w:after="0"/>
                    <w:jc w:val="left"/>
                  </w:pPr>
                  <w:r/>
                  <w:r>
                    <w:rPr>
                      <w:b w:val="0"/>
                      <w:sz w:val="16"/>
                    </w:rPr>
                    <w:t>Website tier — SIMF.Web</w:t>
                  </w:r>
                </w:p>
              </w:tc>
              <w:tc>
                <w:tcPr>
                  <w:tcW w:type="dxa" w:w="1008"/>
                </w:tcPr>
                <w:p>
                  <w:pPr>
                    <w:bidi w:val="0"/>
                    <w:spacing w:after="0"/>
                    <w:jc w:val="left"/>
                  </w:pPr>
                  <w:r/>
                  <w:r>
                    <w:rPr>
                      <w:b w:val="0"/>
                      <w:sz w:val="16"/>
                    </w:rPr>
                    <w:t>SSA</w:t>
                  </w:r>
                </w:p>
              </w:tc>
              <w:tc>
                <w:tcPr>
                  <w:tcW w:type="dxa" w:w="1368"/>
                </w:tcPr>
                <w:p>
                  <w:pPr>
                    <w:bidi w:val="0"/>
                    <w:spacing w:after="0"/>
                    <w:jc w:val="left"/>
                  </w:pPr>
                  <w:r/>
                  <w:r>
                    <w:rPr>
                      <w:b w:val="0"/>
                      <w:sz w:val="16"/>
                    </w:rPr>
                    <w:t>2 (N+1)</w:t>
                  </w:r>
                </w:p>
              </w:tc>
              <w:tc>
                <w:tcPr>
                  <w:tcW w:type="dxa" w:w="1944"/>
                </w:tcPr>
                <w:p>
                  <w:pPr>
                    <w:bidi w:val="0"/>
                    <w:spacing w:after="0"/>
                    <w:jc w:val="left"/>
                  </w:pPr>
                  <w:r/>
                  <w:r>
                    <w:rPr>
                      <w:b w:val="0"/>
                      <w:sz w:val="16"/>
                    </w:rPr>
                    <w:t>4 vCPU / 16 GB</w:t>
                  </w:r>
                </w:p>
              </w:tc>
              <w:tc>
                <w:tcPr>
                  <w:tcW w:type="dxa" w:w="2664"/>
                </w:tcPr>
                <w:p>
                  <w:pPr>
                    <w:bidi w:val="0"/>
                    <w:spacing w:after="0"/>
                    <w:jc w:val="left"/>
                  </w:pPr>
                  <w:r/>
                  <w:r>
                    <w:rPr>
                      <w:b w:val="0"/>
                      <w:sz w:val="16"/>
                    </w:rPr>
                    <w:t>Blazor SSR, public and read-heavy; served from cache; session affinity at the LB.</w:t>
                  </w:r>
                </w:p>
              </w:tc>
            </w:tr>
            <w:tr>
              <w:tc>
                <w:tcPr>
                  <w:tcW w:type="dxa" w:w="2160"/>
                </w:tcPr>
                <w:p>
                  <w:pPr>
                    <w:bidi w:val="0"/>
                    <w:spacing w:after="0"/>
                    <w:jc w:val="left"/>
                  </w:pPr>
                  <w:r/>
                  <w:r>
                    <w:rPr>
                      <w:b w:val="0"/>
                      <w:sz w:val="16"/>
                    </w:rPr>
                    <w:t>Admin tier — SIMF.ControlPanel</w:t>
                  </w:r>
                </w:p>
              </w:tc>
              <w:tc>
                <w:tcPr>
                  <w:tcW w:type="dxa" w:w="1008"/>
                </w:tcPr>
                <w:p>
                  <w:pPr>
                    <w:bidi w:val="0"/>
                    <w:spacing w:after="0"/>
                    <w:jc w:val="left"/>
                  </w:pPr>
                  <w:r/>
                  <w:r>
                    <w:rPr>
                      <w:b w:val="0"/>
                      <w:sz w:val="16"/>
                    </w:rPr>
                    <w:t>SSA</w:t>
                  </w:r>
                </w:p>
              </w:tc>
              <w:tc>
                <w:tcPr>
                  <w:tcW w:type="dxa" w:w="1368"/>
                </w:tcPr>
                <w:p>
                  <w:pPr>
                    <w:bidi w:val="0"/>
                    <w:spacing w:after="0"/>
                    <w:jc w:val="left"/>
                  </w:pPr>
                  <w:r/>
                  <w:r>
                    <w:rPr>
                      <w:b w:val="0"/>
                      <w:sz w:val="16"/>
                    </w:rPr>
                    <w:t>2 (N+1)</w:t>
                  </w:r>
                </w:p>
              </w:tc>
              <w:tc>
                <w:tcPr>
                  <w:tcW w:type="dxa" w:w="1944"/>
                </w:tcPr>
                <w:p>
                  <w:pPr>
                    <w:bidi w:val="0"/>
                    <w:spacing w:after="0"/>
                    <w:jc w:val="left"/>
                  </w:pPr>
                  <w:r/>
                  <w:r>
                    <w:rPr>
                      <w:b w:val="0"/>
                      <w:sz w:val="16"/>
                    </w:rPr>
                    <w:t>4 vCPU / 16 GB</w:t>
                  </w:r>
                </w:p>
              </w:tc>
              <w:tc>
                <w:tcPr>
                  <w:tcW w:type="dxa" w:w="2664"/>
                </w:tcPr>
                <w:p>
                  <w:pPr>
                    <w:bidi w:val="0"/>
                    <w:spacing w:after="0"/>
                    <w:jc w:val="left"/>
                  </w:pPr>
                  <w:r/>
                  <w:r>
                    <w:rPr>
                      <w:b w:val="0"/>
                      <w:sz w:val="16"/>
                    </w:rPr>
                    <w:t>Blazor Server, operator-scale; sticky SignalR circuits; HA for availability, not for load.</w:t>
                  </w:r>
                </w:p>
              </w:tc>
            </w:tr>
            <w:tr>
              <w:tc>
                <w:tcPr>
                  <w:tcW w:type="dxa" w:w="2160"/>
                </w:tcPr>
                <w:p>
                  <w:pPr>
                    <w:bidi w:val="0"/>
                    <w:spacing w:after="0"/>
                    <w:jc w:val="left"/>
                  </w:pPr>
                  <w:r/>
                  <w:r>
                    <w:rPr>
                      <w:b w:val="0"/>
                      <w:sz w:val="16"/>
                    </w:rPr>
                    <w:t>Background worker</w:t>
                  </w:r>
                </w:p>
              </w:tc>
              <w:tc>
                <w:tcPr>
                  <w:tcW w:type="dxa" w:w="1008"/>
                </w:tcPr>
                <w:p>
                  <w:pPr>
                    <w:bidi w:val="0"/>
                    <w:spacing w:after="0"/>
                    <w:jc w:val="left"/>
                  </w:pPr>
                  <w:r/>
                  <w:r>
                    <w:rPr>
                      <w:b w:val="0"/>
                      <w:sz w:val="16"/>
                    </w:rPr>
                    <w:t>SSA</w:t>
                  </w:r>
                </w:p>
              </w:tc>
              <w:tc>
                <w:tcPr>
                  <w:tcW w:type="dxa" w:w="1368"/>
                </w:tcPr>
                <w:p>
                  <w:pPr>
                    <w:bidi w:val="0"/>
                    <w:spacing w:after="0"/>
                    <w:jc w:val="left"/>
                  </w:pPr>
                  <w:r/>
                  <w:r>
                    <w:rPr>
                      <w:b w:val="0"/>
                      <w:sz w:val="16"/>
                    </w:rPr>
                    <w:t>1–2 (N+1)</w:t>
                  </w:r>
                </w:p>
              </w:tc>
              <w:tc>
                <w:tcPr>
                  <w:tcW w:type="dxa" w:w="1944"/>
                </w:tcPr>
                <w:p>
                  <w:pPr>
                    <w:bidi w:val="0"/>
                    <w:spacing w:after="0"/>
                    <w:jc w:val="left"/>
                  </w:pPr>
                  <w:r/>
                  <w:r>
                    <w:rPr>
                      <w:b w:val="0"/>
                      <w:sz w:val="16"/>
                    </w:rPr>
                    <w:t>2 vCPU / 8 GB</w:t>
                  </w:r>
                </w:p>
              </w:tc>
              <w:tc>
                <w:tcPr>
                  <w:tcW w:type="dxa" w:w="2664"/>
                </w:tcPr>
                <w:p>
                  <w:pPr>
                    <w:bidi w:val="0"/>
                    <w:spacing w:after="0"/>
                    <w:jc w:val="left"/>
                  </w:pPr>
                  <w:r/>
                  <w:r>
                    <w:rPr>
                      <w:b w:val="0"/>
                      <w:sz w:val="16"/>
                    </w:rPr>
                    <w:t>Async notification / session-reminder drain (§A.2); a slow gateway never blocks a request.</w:t>
                  </w:r>
                </w:p>
              </w:tc>
            </w:tr>
            <w:tr>
              <w:tc>
                <w:tcPr>
                  <w:tcW w:type="dxa" w:w="2160"/>
                </w:tcPr>
                <w:p>
                  <w:pPr>
                    <w:bidi w:val="0"/>
                    <w:spacing w:after="0"/>
                    <w:jc w:val="left"/>
                  </w:pPr>
                  <w:r/>
                  <w:r>
                    <w:rPr>
                      <w:b w:val="0"/>
                      <w:sz w:val="16"/>
                    </w:rPr>
                    <w:t>Database — SQL Server 2022 Enterprise</w:t>
                  </w:r>
                </w:p>
              </w:tc>
              <w:tc>
                <w:tcPr>
                  <w:tcW w:type="dxa" w:w="1008"/>
                </w:tcPr>
                <w:p>
                  <w:pPr>
                    <w:bidi w:val="0"/>
                    <w:spacing w:after="0"/>
                    <w:jc w:val="left"/>
                  </w:pPr>
                  <w:r/>
                  <w:r>
                    <w:rPr>
                      <w:b w:val="0"/>
                      <w:sz w:val="16"/>
                    </w:rPr>
                    <w:t>HSA</w:t>
                  </w:r>
                </w:p>
              </w:tc>
              <w:tc>
                <w:tcPr>
                  <w:tcW w:type="dxa" w:w="1368"/>
                </w:tcPr>
                <w:p>
                  <w:pPr>
                    <w:bidi w:val="0"/>
                    <w:spacing w:after="0"/>
                    <w:jc w:val="left"/>
                  </w:pPr>
                  <w:r/>
                  <w:r>
                    <w:rPr>
                      <w:b w:val="0"/>
                      <w:sz w:val="16"/>
                    </w:rPr>
                    <w:t>2–3 (AlwaysOn AG)</w:t>
                  </w:r>
                </w:p>
              </w:tc>
              <w:tc>
                <w:tcPr>
                  <w:tcW w:type="dxa" w:w="1944"/>
                </w:tcPr>
                <w:p>
                  <w:pPr>
                    <w:bidi w:val="0"/>
                    <w:spacing w:after="0"/>
                    <w:jc w:val="left"/>
                  </w:pPr>
                  <w:r/>
                  <w:r>
                    <w:rPr>
                      <w:b w:val="0"/>
                      <w:sz w:val="16"/>
                    </w:rPr>
                    <w:t>16 vCPU / 128 GB, NVMe (data/log/tempdb split)</w:t>
                  </w:r>
                </w:p>
              </w:tc>
              <w:tc>
                <w:tcPr>
                  <w:tcW w:type="dxa" w:w="2664"/>
                </w:tcPr>
                <w:p>
                  <w:pPr>
                    <w:bidi w:val="0"/>
                    <w:spacing w:after="0"/>
                    <w:jc w:val="left"/>
                  </w:pPr>
                  <w:r/>
                  <w:r>
                    <w:rPr>
                      <w:b w:val="0"/>
                      <w:sz w:val="16"/>
                    </w:rPr>
                    <w:t>AlwaysOn AG: primary (read-write) + readable secondary ×1–2 (read-scale); synchronous commit + automatic failover; SignalR SQL backplane; WSFC + file-share witness.</w:t>
                  </w:r>
                </w:p>
              </w:tc>
            </w:tr>
            <w:tr>
              <w:tc>
                <w:tcPr>
                  <w:tcW w:type="dxa" w:w="2160"/>
                </w:tcPr>
                <w:p>
                  <w:pPr>
                    <w:bidi w:val="0"/>
                    <w:spacing w:after="0"/>
                    <w:jc w:val="left"/>
                  </w:pPr>
                  <w:r/>
                  <w:r>
                    <w:rPr>
                      <w:b w:val="0"/>
                      <w:sz w:val="16"/>
                    </w:rPr>
                    <w:t>Shared encrypted file store</w:t>
                  </w:r>
                </w:p>
              </w:tc>
              <w:tc>
                <w:tcPr>
                  <w:tcW w:type="dxa" w:w="1008"/>
                </w:tcPr>
                <w:p>
                  <w:pPr>
                    <w:bidi w:val="0"/>
                    <w:spacing w:after="0"/>
                    <w:jc w:val="left"/>
                  </w:pPr>
                  <w:r/>
                  <w:r>
                    <w:rPr>
                      <w:b w:val="0"/>
                      <w:sz w:val="16"/>
                    </w:rPr>
                    <w:t>HSA</w:t>
                  </w:r>
                </w:p>
              </w:tc>
              <w:tc>
                <w:tcPr>
                  <w:tcW w:type="dxa" w:w="1368"/>
                </w:tcPr>
                <w:p>
                  <w:pPr>
                    <w:bidi w:val="0"/>
                    <w:spacing w:after="0"/>
                    <w:jc w:val="left"/>
                  </w:pPr>
                  <w:r/>
                  <w:r>
                    <w:rPr>
                      <w:b w:val="0"/>
                      <w:sz w:val="16"/>
                    </w:rPr>
                    <w:t>clustered / SMB share</w:t>
                  </w:r>
                </w:p>
              </w:tc>
              <w:tc>
                <w:tcPr>
                  <w:tcW w:type="dxa" w:w="1944"/>
                </w:tcPr>
                <w:p>
                  <w:pPr>
                    <w:bidi w:val="0"/>
                    <w:spacing w:after="0"/>
                    <w:jc w:val="left"/>
                  </w:pPr>
                  <w:r/>
                  <w:r>
                    <w:rPr>
                      <w:b w:val="0"/>
                      <w:sz w:val="16"/>
                    </w:rPr>
                    <w:t>shared storage</w:t>
                  </w:r>
                </w:p>
              </w:tc>
              <w:tc>
                <w:tcPr>
                  <w:tcW w:type="dxa" w:w="2664"/>
                </w:tcPr>
                <w:p>
                  <w:pPr>
                    <w:bidi w:val="0"/>
                    <w:spacing w:after="0"/>
                    <w:jc w:val="left"/>
                  </w:pPr>
                  <w:r/>
                  <w:r>
                    <w:rPr>
                      <w:b w:val="0"/>
                      <w:sz w:val="16"/>
                    </w:rPr>
                    <w:t>StoredFile bytes incl. PII identity documents; AES-256 envelope encryption at rest (per-file DEK, KEK from environment).</w:t>
                  </w:r>
                </w:p>
              </w:tc>
            </w:tr>
          </w:tbl>
          <w:p/>
          <w:p>
            <w:pPr>
              <w:bidi w:val="0"/>
              <w:spacing w:after="80"/>
              <w:ind w:left="360"/>
              <w:jc w:val="left"/>
            </w:pPr>
            <w:r>
              <w:rPr>
                <w:sz w:val="24"/>
              </w:rPr>
              <w:t>•  The workload is read-heavy and cacheable, so read load is absorbed by the Enterprise readable-secondary replicas and the per-node in-memory cache (§A.1); the primary carries the writes and the cache misses.</w:t>
            </w:r>
          </w:p>
          <w:p>
            <w:pPr>
              <w:bidi w:val="0"/>
              <w:spacing w:after="80"/>
              <w:ind w:left="360"/>
              <w:jc w:val="left"/>
            </w:pPr>
            <w:r>
              <w:rPr>
                <w:sz w:val="24"/>
              </w:rPr>
              <w:t>•  SignalR fans out across the API fleet through the SQL Server backplane (owner decision; no Redis), so a message published on one node reaches WebSocket clients connected to another.</w:t>
            </w:r>
          </w:p>
          <w:p>
            <w:pPr>
              <w:bidi w:val="0"/>
              <w:spacing w:after="80"/>
              <w:ind w:left="360"/>
              <w:jc w:val="left"/>
            </w:pPr>
            <w:r>
              <w:rPr>
                <w:sz w:val="24"/>
              </w:rPr>
              <w:t>•  The application tier is horizontally elastic: SIMF.Api is stateless, so headroom is added by adding nodes; SIMF.Web and SIMF.ControlPanel scale with load-balancer session affinity.</w:t>
            </w:r>
          </w:p>
          <w:p>
            <w:pPr>
              <w:bidi w:val="0"/>
              <w:spacing w:after="80"/>
              <w:ind w:left="360"/>
              <w:jc w:val="left"/>
            </w:pPr>
            <w:r>
              <w:rPr>
                <w:sz w:val="24"/>
              </w:rPr>
              <w:t>•  Overload degrades gracefully — the multi-dimensional rate limits and the per-dependency circuit breakers (§A.2) return 429 / 503 with the ApiResult envelope rather than 5xx crashes (the SIMF-PTS-001 pass / fail gate).</w:t>
            </w:r>
          </w:p>
          <w:p>
            <w:pPr>
              <w:bidi w:val="0"/>
              <w:spacing w:after="80"/>
              <w:jc w:val="left"/>
            </w:pPr>
            <w:r>
              <w:rPr>
                <w:i/>
                <w:color w:val="444444"/>
                <w:sz w:val="22"/>
              </w:rPr>
              <w:t>The server counts and specifications above are a proposed capacity plan; final sizing is confirmed during staging load testing (SIMF-PTS-001) and recorded in the Deployment Prerequisites document. [OWNER / INFRA INPUT REQUIRED]. The production topology escalates SQL Server to Enterprise edition (AlwaysOn AG with readable secondaries) — an owner decision that lifts the O-3 Standard-edition posture for the production event topology only; Development and Test remain SQL Server Standard, single node.</w:t>
            </w:r>
          </w:p>
          <w:p>
            <w:pPr>
              <w:bidi w:val="0"/>
              <w:spacing w:after="80" w:before="120"/>
              <w:jc w:val="left"/>
            </w:pPr>
            <w:r>
              <w:rPr>
                <w:b/>
                <w:sz w:val="24"/>
              </w:rPr>
              <w:t>Key architectural principles</w:t>
            </w:r>
          </w:p>
          <w:p>
            <w:pPr>
              <w:bidi w:val="0"/>
              <w:spacing w:after="80"/>
              <w:ind w:left="360"/>
              <w:jc w:val="left"/>
            </w:pPr>
            <w:r>
              <w:rPr>
                <w:sz w:val="24"/>
              </w:rPr>
              <w:t>•  One API, one response envelope and one permission model shared by every client.</w:t>
            </w:r>
          </w:p>
          <w:p>
            <w:pPr>
              <w:bidi w:val="0"/>
              <w:spacing w:after="80"/>
              <w:ind w:left="360"/>
              <w:jc w:val="left"/>
            </w:pPr>
            <w:r>
              <w:rPr>
                <w:sz w:val="24"/>
              </w:rPr>
              <w:t>•  Two physically separate databases for identity and business data, with no cross-database foreign keys (see §2.8).</w:t>
            </w:r>
          </w:p>
          <w:p>
            <w:pPr>
              <w:bidi w:val="0"/>
              <w:spacing w:after="80"/>
              <w:ind w:left="360"/>
              <w:jc w:val="left"/>
            </w:pPr>
            <w:r>
              <w:rPr>
                <w:sz w:val="24"/>
              </w:rPr>
              <w:t>•  A stateless API tier, so the event-day deployment scales out horizontally without redesign.</w:t>
            </w:r>
          </w:p>
          <w:p>
            <w:pPr>
              <w:bidi w:val="0"/>
              <w:spacing w:after="80"/>
              <w:ind w:left="360"/>
              <w:jc w:val="left"/>
            </w:pPr>
            <w:r>
              <w:rPr>
                <w:sz w:val="24"/>
              </w:rPr>
              <w:t>•  Configuration over code — content, categories, roles, permissions and many behaviours are editable from the Control Panel without a release.</w:t>
            </w:r>
          </w:p>
          <w:p>
            <w:pPr>
              <w:bidi w:val="0"/>
              <w:spacing w:after="80"/>
              <w:jc w:val="left"/>
            </w:pPr>
            <w:r>
              <w:rPr>
                <w:i/>
                <w:color w:val="444444"/>
                <w:sz w:val="22"/>
              </w:rPr>
              <w:t>N.B. The zoned diagram is the PROPOSED target for approval. The current as-built deployment (single reverse proxy, no load balancer / WAF, single SQL instance) and the outstanding items are in §2.7.</w:t>
            </w:r>
          </w:p>
        </w:tc>
      </w:tr>
      <w:tr w:rsidR="00265616" w:rsidRPr="002323AE" w14:paraId="09A1C743" w14:textId="77777777" w:rsidTr="00D12CD4">
        <w:trPr>
          <w:trHeight w:val="488"/>
        </w:trPr>
        <w:tc>
          <w:tcPr>
            <w:tcW w:w="5000" w:type="pct"/>
            <w:tcBorders>
              <w:bottom w:val="single" w:sz="4" w:space="0" w:color="auto"/>
            </w:tcBorders>
            <w:shd w:val="clear" w:color="auto" w:fill="29504D"/>
            <w:vAlign w:val="center"/>
          </w:tcPr>
          <w:p w14:paraId="1B61951A" w14:textId="794CA80F"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4C1C63B5" w14:textId="77777777" w:rsidTr="00FA332B">
        <w:trPr>
          <w:trHeight w:val="336"/>
        </w:trPr>
        <w:tc>
          <w:tcPr>
            <w:tcW w:w="5000" w:type="pct"/>
            <w:shd w:val="clear" w:color="auto" w:fill="E7E6E6"/>
            <w:vAlign w:val="center"/>
          </w:tcPr>
          <w:p w14:paraId="1E660D63" w14:textId="752A60C2"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5102882B" w14:textId="77777777" w:rsidTr="00FA332B">
        <w:trPr>
          <w:trHeight w:val="336"/>
        </w:trPr>
        <w:tc>
          <w:tcPr>
            <w:tcW w:w="5000" w:type="pct"/>
            <w:shd w:val="clear" w:color="auto" w:fill="FFFFFF" w:themeFill="background1"/>
            <w:vAlign w:val="center"/>
          </w:tcPr>
          <w:p>
            <w:pPr>
              <w:bidi w:val="0"/>
              <w:spacing w:after="80" w:before="120"/>
              <w:jc w:val="left"/>
            </w:pPr>
            <w:r>
              <w:rPr>
                <w:b/>
                <w:sz w:val="24"/>
              </w:rPr>
              <w:t>Client applications</w:t>
            </w:r>
          </w:p>
          <w:p>
            <w:pPr>
              <w:bidi w:val="0"/>
              <w:spacing w:after="80"/>
              <w:ind w:left="360"/>
              <w:jc w:val="left"/>
            </w:pPr>
            <w:r>
              <w:rPr>
                <w:sz w:val="24"/>
              </w:rPr>
              <w:t>•  Mobile application (Flutter, iOS + Android) — the attendee-facing application.</w:t>
            </w:r>
          </w:p>
          <w:p>
            <w:pPr>
              <w:bidi w:val="0"/>
              <w:spacing w:after="80"/>
              <w:ind w:left="360"/>
              <w:jc w:val="left"/>
            </w:pPr>
            <w:r>
              <w:rPr>
                <w:sz w:val="24"/>
              </w:rPr>
              <w:t>•  Control Panel (Blazor Server + MudBlazor) — the administration application.</w:t>
            </w:r>
          </w:p>
          <w:p>
            <w:pPr>
              <w:bidi w:val="0"/>
              <w:spacing w:after="80"/>
              <w:ind w:left="360"/>
              <w:jc w:val="left"/>
            </w:pPr>
            <w:r>
              <w:rPr>
                <w:sz w:val="24"/>
              </w:rPr>
              <w:t>•  Public Website (Blazor SSR + interactive islands) — public content and visitor self-service.</w:t>
            </w:r>
          </w:p>
          <w:p>
            <w:pPr>
              <w:bidi w:val="0"/>
              <w:spacing w:after="80" w:before="120"/>
              <w:jc w:val="left"/>
            </w:pPr>
            <w:r>
              <w:rPr>
                <w:b/>
                <w:sz w:val="24"/>
              </w:rPr>
              <w:t>Backend API modules (bounded contexts)</w:t>
            </w:r>
          </w:p>
          <w:p>
            <w:pPr>
              <w:bidi w:val="0"/>
              <w:spacing w:after="80"/>
              <w:ind w:left="360"/>
              <w:jc w:val="left"/>
            </w:pPr>
            <w:r>
              <w:rPr>
                <w:sz w:val="24"/>
              </w:rPr>
              <w:t>•  Authentication and registration; Account and profile.</w:t>
            </w:r>
          </w:p>
          <w:p>
            <w:pPr>
              <w:bidi w:val="0"/>
              <w:spacing w:after="80"/>
              <w:ind w:left="360"/>
              <w:jc w:val="left"/>
            </w:pPr>
            <w:r>
              <w:rPr>
                <w:sz w:val="24"/>
              </w:rPr>
              <w:t>•  Programme — sessions, themes, speakers, presentations, summaries, recordings.</w:t>
            </w:r>
          </w:p>
          <w:p>
            <w:pPr>
              <w:bidi w:val="0"/>
              <w:spacing w:after="80"/>
              <w:ind w:left="360"/>
              <w:jc w:val="left"/>
            </w:pPr>
            <w:r>
              <w:rPr>
                <w:sz w:val="24"/>
              </w:rPr>
              <w:t>•  Bookings and seat reservations; Gates and scanning.</w:t>
            </w:r>
          </w:p>
          <w:p>
            <w:pPr>
              <w:bidi w:val="0"/>
              <w:spacing w:after="80"/>
              <w:ind w:left="360"/>
              <w:jc w:val="left"/>
            </w:pPr>
            <w:r>
              <w:rPr>
                <w:sz w:val="24"/>
              </w:rPr>
              <w:t>•  Exhibition, exhibitors and booths; Sponsors.</w:t>
            </w:r>
          </w:p>
          <w:p>
            <w:pPr>
              <w:bidi w:val="0"/>
              <w:spacing w:after="80"/>
              <w:ind w:left="360"/>
              <w:jc w:val="left"/>
            </w:pPr>
            <w:r>
              <w:rPr>
                <w:sz w:val="24"/>
              </w:rPr>
              <w:t>•  News and media; Archive; Notifications.</w:t>
            </w:r>
          </w:p>
          <w:p>
            <w:pPr>
              <w:bidi w:val="0"/>
              <w:spacing w:after="80"/>
              <w:ind w:left="360"/>
              <w:jc w:val="left"/>
            </w:pPr>
            <w:r>
              <w:rPr>
                <w:sz w:val="24"/>
              </w:rPr>
              <w:t>•  Networking and connections; Meetings (speaker, delegation, business).</w:t>
            </w:r>
          </w:p>
          <w:p>
            <w:pPr>
              <w:bidi w:val="0"/>
              <w:spacing w:after="80"/>
              <w:ind w:left="360"/>
              <w:jc w:val="left"/>
            </w:pPr>
            <w:r>
              <w:rPr>
                <w:sz w:val="24"/>
              </w:rPr>
              <w:t>•  Statistics; System configuration; Organisation profile; Reference data.</w:t>
            </w:r>
          </w:p>
          <w:p>
            <w:pPr>
              <w:bidi w:val="0"/>
              <w:spacing w:after="80"/>
              <w:ind w:left="360"/>
              <w:jc w:val="left"/>
            </w:pPr>
            <w:r>
              <w:rPr>
                <w:sz w:val="24"/>
              </w:rPr>
              <w:t>•  AI (summaries, filtering); Auditing and logs.</w:t>
            </w:r>
          </w:p>
          <w:p>
            <w:pPr>
              <w:bidi w:val="0"/>
              <w:spacing w:after="80" w:before="120"/>
              <w:jc w:val="left"/>
            </w:pPr>
            <w:r>
              <w:rPr>
                <w:b/>
                <w:sz w:val="24"/>
              </w:rPr>
              <w:t>Backend layers</w:t>
            </w:r>
          </w:p>
          <w:p>
            <w:pPr>
              <w:bidi w:val="0"/>
              <w:spacing w:after="80"/>
              <w:ind w:left="360"/>
              <w:jc w:val="left"/>
            </w:pPr>
            <w:r>
              <w:rPr>
                <w:sz w:val="24"/>
              </w:rPr>
              <w:t>•  SIMF.Api — the HTTP boundary: endpoints, middleware, authentication, authorisation policies and background workers.</w:t>
            </w:r>
          </w:p>
          <w:p>
            <w:pPr>
              <w:bidi w:val="0"/>
              <w:spacing w:after="80"/>
              <w:ind w:left="360"/>
              <w:jc w:val="left"/>
            </w:pPr>
            <w:r>
              <w:rPr>
                <w:sz w:val="24"/>
              </w:rPr>
              <w:t>•  SIMF.Application — use-case orchestration and service abstractions.</w:t>
            </w:r>
          </w:p>
          <w:p>
            <w:pPr>
              <w:bidi w:val="0"/>
              <w:spacing w:after="80"/>
              <w:ind w:left="360"/>
              <w:jc w:val="left"/>
            </w:pPr>
            <w:r>
              <w:rPr>
                <w:sz w:val="24"/>
              </w:rPr>
              <w:t>•  SIMF.Infrastructure — persistence (two DbContexts), storage, e-mail, identity/JWT and audit interceptors.</w:t>
            </w:r>
          </w:p>
          <w:p>
            <w:pPr>
              <w:bidi w:val="0"/>
              <w:spacing w:after="80"/>
              <w:ind w:left="360"/>
              <w:jc w:val="left"/>
            </w:pPr>
            <w:r>
              <w:rPr>
                <w:sz w:val="24"/>
              </w:rPr>
              <w:t>•  SIMF.Domain — entities, aggregates, enums and domain rules; no framework dependencies.</w:t>
            </w:r>
          </w:p>
          <w:p>
            <w:pPr>
              <w:bidi w:val="0"/>
              <w:spacing w:after="80"/>
              <w:ind w:left="360"/>
              <w:jc w:val="left"/>
            </w:pPr>
            <w:r>
              <w:rPr>
                <w:sz w:val="24"/>
              </w:rPr>
              <w:t>•  SIMF.RealTime — reserved for SignalR server push (not yet wired in; see §2.9).</w:t>
            </w:r>
          </w:p>
          <w:p>
            <w:pPr>
              <w:bidi w:val="0"/>
              <w:spacing w:after="80" w:before="120"/>
              <w:jc w:val="left"/>
            </w:pPr>
            <w:r>
              <w:rPr>
                <w:b/>
                <w:sz w:val="24"/>
              </w:rPr>
              <w:t>Shared libraries</w:t>
            </w:r>
          </w:p>
          <w:p>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pPr>
              <w:bidi w:val="0"/>
              <w:spacing w:after="80" w:before="120"/>
              <w:jc w:val="left"/>
            </w:pPr>
            <w:r>
              <w:rPr>
                <w:b/>
                <w:sz w:val="24"/>
              </w:rPr>
              <w:t>Background workers and storage services</w:t>
            </w:r>
          </w:p>
          <w:p>
            <w:pPr>
              <w:bidi w:val="0"/>
              <w:spacing w:after="80"/>
              <w:ind w:left="360"/>
              <w:jc w:val="left"/>
            </w:pPr>
            <w:r>
              <w:rPr>
                <w:sz w:val="24"/>
              </w:rPr>
              <w:t>•  Workers: dormant-account sweep, registration-gate auto-close, session reminders, e-mail dispatch.</w:t>
            </w:r>
          </w:p>
          <w:p>
            <w:pPr>
              <w:bidi w:val="0"/>
              <w:spacing w:after="80"/>
              <w:ind w:left="360"/>
              <w:jc w:val="left"/>
            </w:pPr>
            <w:r>
              <w:rPr>
                <w:sz w:val="24"/>
              </w:rPr>
              <w:t>•  Storage services: avatars, encrypted identity documents, VIP photos, session recordings, speaker presentations, media assets.</w:t>
            </w:r>
          </w:p>
          <w:p>
            <w:pPr>
              <w:bidi w:val="0"/>
              <w:spacing w:after="80" w:before="120"/>
              <w:jc w:val="left"/>
            </w:pPr>
            <w:r>
              <w:rPr>
                <w:b/>
                <w:sz w:val="24"/>
              </w:rPr>
              <w:t>Module interaction</w:t>
            </w:r>
          </w:p>
          <w:p>
            <w:pPr>
              <w:bidi w:val="0"/>
              <w:spacing w:after="80"/>
              <w:jc w:val="left"/>
            </w:pPr>
            <w:r>
              <w:rPr>
                <w:sz w:val="24"/>
              </w:rPr>
              <w:t>All three clients call the same API. The API exposes two route-prefixed surfaces from one process — /api/v1/app/* for the mobile app and the public website, and /api/v1/admin/* for the Control Panel — sharing one response envelope, one error model and one permission system. A separate OpenAPI document is generated per surface so each client team reads only its own contract.</w:t>
            </w:r>
          </w:p>
        </w:tc>
      </w:tr>
      <w:tr w:rsidR="00FA332B" w:rsidRPr="00846EC5" w14:paraId="36F930C2" w14:textId="77777777" w:rsidTr="00FA332B">
        <w:trPr>
          <w:trHeight w:val="336"/>
        </w:trPr>
        <w:tc>
          <w:tcPr>
            <w:tcW w:w="5000" w:type="pct"/>
            <w:shd w:val="clear" w:color="auto" w:fill="29504D"/>
            <w:vAlign w:val="center"/>
          </w:tcPr>
          <w:p w14:paraId="3F122A9A" w14:textId="4E59F37E"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254CD745" w14:textId="77777777" w:rsidTr="00FA332B">
        <w:trPr>
          <w:trHeight w:val="336"/>
        </w:trPr>
        <w:tc>
          <w:tcPr>
            <w:tcW w:w="5000" w:type="pct"/>
            <w:shd w:val="clear" w:color="auto" w:fill="E7E6E6"/>
            <w:vAlign w:val="center"/>
          </w:tcPr>
          <w:p w14:paraId="10D06203" w14:textId="3C9EB392"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4FC92097" w14:textId="77777777" w:rsidTr="00FA332B">
        <w:trPr>
          <w:trHeight w:val="336"/>
        </w:trPr>
        <w:tc>
          <w:tcPr>
            <w:tcW w:w="5000" w:type="pct"/>
            <w:shd w:val="clear" w:color="auto" w:fill="FFFFFF" w:themeFill="background1"/>
            <w:vAlign w:val="center"/>
          </w:tcPr>
          <w:p>
            <w:pPr>
              <w:bidi w:val="0"/>
              <w:spacing w:after="80"/>
              <w:jc w:val="left"/>
            </w:pPr>
            <w:r>
              <w:rPr>
                <w:b/>
                <w:sz w:val="24"/>
              </w:rPr>
              <w:t xml:space="preserve">Visitor registration and approval: </w:t>
            </w:r>
            <w:r>
              <w:rPr>
                <w:sz w:val="24"/>
              </w:rPr>
              <w:t>the visitor signs up on the website or mobile app → verifies their e-mail with a one-time code → completes their profile → an administrator reviews and approves or rejects in the Control Panel → on approval the visitor receives a digital QR badge and a notification.</w:t>
            </w:r>
          </w:p>
          <w:p>
            <w:pPr>
              <w:bidi w:val="0"/>
              <w:spacing w:after="80"/>
              <w:jc w:val="left"/>
            </w:pPr>
            <w:r>
              <w:rPr>
                <w:b/>
                <w:sz w:val="24"/>
              </w:rPr>
              <w:t xml:space="preserve">Sign-in with second factor: </w:t>
            </w:r>
            <w:r>
              <w:rPr>
                <w:sz w:val="24"/>
              </w:rPr>
              <w:t>e-mail + password → the API issues an e-mailed OTP (visitors) or validates a TOTP code (administrators) → a short-lived access token and a rotating refresh token are issued. Mobile users may enrol a biometric ES256 device key after an OTP step-up.</w:t>
            </w:r>
          </w:p>
          <w:p>
            <w:pPr>
              <w:bidi w:val="0"/>
              <w:spacing w:after="80"/>
              <w:jc w:val="left"/>
            </w:pPr>
            <w:r>
              <w:rPr>
                <w:b/>
                <w:sz w:val="24"/>
              </w:rPr>
              <w:t xml:space="preserve">Seat reservation and approval: </w:t>
            </w:r>
            <w:r>
              <w:rPr>
                <w:sz w:val="24"/>
              </w:rPr>
              <w:t>the attendee opens a session and reserves a seat → the reservation is created as Pending where approval is required → an administrator approves or rejects it → the attendee is notified.</w:t>
            </w:r>
          </w:p>
          <w:p>
            <w:pPr>
              <w:bidi w:val="0"/>
              <w:spacing w:after="80"/>
              <w:jc w:val="left"/>
            </w:pPr>
            <w:r>
              <w:rPr>
                <w:b/>
                <w:sz w:val="24"/>
              </w:rPr>
              <w:t xml:space="preserve">Gate scan: </w:t>
            </w:r>
            <w:r>
              <w:rPr>
                <w:sz w:val="24"/>
              </w:rPr>
              <w:t>a gate operator scans the attendee QR badge → the API validates the badge, the attendee approval state and the gate’s allowed profile types → the scan is recorded idempotently and an entry / exit outcome is returned.</w:t>
            </w:r>
          </w:p>
          <w:p>
            <w:pPr>
              <w:bidi w:val="0"/>
              <w:spacing w:after="80"/>
              <w:jc w:val="left"/>
            </w:pPr>
            <w:r>
              <w:rPr>
                <w:b/>
                <w:sz w:val="24"/>
              </w:rPr>
              <w:t xml:space="preserve">Live session and Q&amp;A: </w:t>
            </w:r>
            <w:r>
              <w:rPr>
                <w:sz w:val="24"/>
              </w:rPr>
              <w:t>the attendee opens a live session and plays the configured stream (YouTube, with an HLS / MP4 fallback) → submits questions and comments → a moderator approves, rejects or forwards them.</w:t>
            </w:r>
          </w:p>
          <w:p>
            <w:pPr>
              <w:bidi w:val="0"/>
              <w:spacing w:after="80"/>
              <w:jc w:val="left"/>
            </w:pPr>
            <w:r>
              <w:rPr>
                <w:b/>
                <w:sz w:val="24"/>
              </w:rPr>
              <w:t xml:space="preserve">AI session summary: </w:t>
            </w:r>
            <w:r>
              <w:rPr>
                <w:sz w:val="24"/>
              </w:rPr>
              <w:t>an administrator imports or pastes the session transcript → the API calls the configured AI provider outbound through the controlled egress point → the drafted summary is reviewed and published → attendees read it in the app.</w:t>
            </w:r>
          </w:p>
          <w:p>
            <w:pPr>
              <w:bidi w:val="0"/>
              <w:spacing w:after="80"/>
              <w:jc w:val="left"/>
            </w:pPr>
            <w:r>
              <w:rPr>
                <w:i/>
                <w:color w:val="444444"/>
                <w:sz w:val="22"/>
              </w:rPr>
              <w:t>Detailed sequence diagrams for sign-in, permission-gated admin actions, seat reservation and gate scanning are in the companion Low-Level Design (SIMF-LLD-001 §12).</w:t>
            </w:r>
          </w:p>
        </w:tc>
      </w:tr>
      <w:tr w:rsidR="00FA332B" w:rsidRPr="00846EC5" w14:paraId="5477D58D" w14:textId="77777777" w:rsidTr="00FA332B">
        <w:trPr>
          <w:trHeight w:val="336"/>
        </w:trPr>
        <w:tc>
          <w:tcPr>
            <w:tcW w:w="5000" w:type="pct"/>
            <w:shd w:val="clear" w:color="auto" w:fill="29504D"/>
            <w:vAlign w:val="center"/>
          </w:tcPr>
          <w:p w14:paraId="27932ED1" w14:textId="6ACF736E"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38091796" w14:textId="77777777" w:rsidTr="00FA332B">
        <w:trPr>
          <w:trHeight w:val="336"/>
        </w:trPr>
        <w:tc>
          <w:tcPr>
            <w:tcW w:w="5000" w:type="pct"/>
            <w:shd w:val="clear" w:color="auto" w:fill="E7E6E6"/>
            <w:vAlign w:val="center"/>
          </w:tcPr>
          <w:p w14:paraId="144862F5" w14:textId="388389F6"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14205A92" w14:textId="77777777" w:rsidTr="00FA332B">
        <w:trPr>
          <w:trHeight w:val="336"/>
        </w:trPr>
        <w:tc>
          <w:tcPr>
            <w:tcW w:w="5000" w:type="pct"/>
            <w:shd w:val="clear" w:color="auto" w:fill="FFFFFF" w:themeFill="background1"/>
            <w:vAlign w:val="center"/>
          </w:tcPr>
          <w:p>
            <w:pPr>
              <w:bidi w:val="0"/>
              <w:spacing w:after="80" w:before="120"/>
              <w:jc w:val="left"/>
            </w:pPr>
            <w:r>
              <w:rPr>
                <w:b/>
                <w:sz w:val="24"/>
              </w:rPr>
              <w:t>Internal interfaces</w:t>
            </w:r>
          </w:p>
          <w:p>
            <w:pPr>
              <w:bidi w:val="0"/>
              <w:spacing w:after="80"/>
              <w:jc w:val="left"/>
            </w:pPr>
            <w:r>
              <w:rPr>
                <w:b/>
                <w:sz w:val="24"/>
              </w:rPr>
              <w:t xml:space="preserve">Client ↔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pPr>
              <w:bidi w:val="0"/>
              <w:spacing w:after="80"/>
              <w:jc w:val="left"/>
            </w:pPr>
            <w:r>
              <w:rPr>
                <w:b/>
                <w:sz w:val="24"/>
              </w:rPr>
              <w:t xml:space="preserve">API ↔ SQL Server: </w:t>
            </w:r>
            <w:r>
              <w:rPr>
                <w:sz w:val="24"/>
              </w:rPr>
              <w:t>TCP 1433 to SIMF_Identity and SIMF_App via EF Core. A unit of work touches one database at a time; there are no cross-database transactions or foreign keys.</w:t>
            </w:r>
          </w:p>
          <w:p>
            <w:pPr>
              <w:bidi w:val="0"/>
              <w:spacing w:after="80"/>
              <w:jc w:val="left"/>
            </w:pPr>
            <w:r>
              <w:rPr>
                <w:b/>
                <w:sz w:val="24"/>
              </w:rPr>
              <w:t xml:space="preserve">API ↔ SMTP relay: </w:t>
            </w:r>
            <w:r>
              <w:rPr>
                <w:sz w:val="24"/>
              </w:rPr>
              <w:t>TCP 587, queued and dispatched asynchronously by a background service (MailKit).</w:t>
            </w:r>
          </w:p>
          <w:p>
            <w:pPr>
              <w:bidi w:val="0"/>
              <w:spacing w:after="80"/>
              <w:jc w:val="left"/>
            </w:pPr>
            <w:r>
              <w:rPr>
                <w:b/>
                <w:sz w:val="24"/>
              </w:rPr>
              <w:t xml:space="preserve">API ↔ Syslog / SIEM: </w:t>
            </w:r>
            <w:r>
              <w:rPr>
                <w:sz w:val="24"/>
              </w:rPr>
              <w:t>structured Serilog events with a correlation ID.</w:t>
            </w:r>
          </w:p>
          <w:p>
            <w:pPr>
              <w:bidi w:val="0"/>
              <w:spacing w:after="80"/>
              <w:jc w:val="left"/>
            </w:pPr>
            <w:r>
              <w:rPr>
                <w:b/>
                <w:sz w:val="24"/>
              </w:rPr>
              <w:t xml:space="preserve">API ↔ file store: </w:t>
            </w:r>
            <w:r>
              <w:rPr>
                <w:sz w:val="24"/>
              </w:rPr>
              <w:t>a filesystem store (SMB 445 if a shared store is used when the API is multi-node); database rows hold relative paths, not blobs.</w:t>
            </w:r>
          </w:p>
          <w:p>
            <w:pPr>
              <w:bidi w:val="0"/>
              <w:spacing w:after="80"/>
              <w:jc w:val="left"/>
            </w:pPr>
            <w:r>
              <w:rPr>
                <w:b/>
                <w:sz w:val="24"/>
              </w:rPr>
              <w:t xml:space="preserve">Control Panel / Website ↔ API: </w:t>
            </w:r>
            <w:r>
              <w:rPr>
                <w:sz w:val="24"/>
              </w:rPr>
              <w:t>server-to-server over HTTPS using the shared typed client. Browser sessions hold encrypted authentication cookies and never raw bearer tokens.</w:t>
            </w:r>
          </w:p>
          <w:p>
            <w:pPr>
              <w:bidi w:val="0"/>
              <w:spacing w:after="80" w:before="120"/>
              <w:jc w:val="left"/>
            </w:pPr>
            <w:r>
              <w:rPr>
                <w:b/>
                <w:sz w:val="24"/>
              </w:rPr>
              <w:t>External interfaces (outbound only, via the controlled egress point, HTTPS 443)</w:t>
            </w:r>
          </w:p>
          <w:p>
            <w:pPr>
              <w:bidi w:val="0"/>
              <w:spacing w:after="80"/>
              <w:jc w:val="left"/>
            </w:pPr>
            <w:r>
              <w:rPr>
                <w:b/>
                <w:sz w:val="24"/>
              </w:rPr>
              <w:t xml:space="preserve">AI provider (Gemini / OpenAI / Anthropic): </w:t>
            </w:r>
            <w:r>
              <w:rPr>
                <w:sz w:val="24"/>
              </w:rPr>
              <w:t>consumed through a provider abstraction; the provider is a configuration choice, not a code change. Every invocation is logged and rate-limited per administrator.</w:t>
            </w:r>
          </w:p>
          <w:p>
            <w:pPr>
              <w:bidi w:val="0"/>
              <w:spacing w:after="80"/>
              <w:jc w:val="left"/>
            </w:pPr>
            <w:r>
              <w:rPr>
                <w:b/>
                <w:sz w:val="24"/>
              </w:rPr>
              <w:t xml:space="preserve">YouTube caption API: </w:t>
            </w:r>
            <w:r>
              <w:rPr>
                <w:sz w:val="24"/>
              </w:rPr>
              <w:t>server-to-server subtitle import from youtubei.googleapis.com and www.youtube.com. The returned caption host is re-validated before the second request and a no-redirect HTTP client is used (SSRF hardening). Egress approval is pending; the feature degrades gracefully to paste / upload.</w:t>
            </w:r>
          </w:p>
          <w:p>
            <w:pPr>
              <w:bidi w:val="0"/>
              <w:spacing w:after="80" w:before="120"/>
              <w:jc w:val="left"/>
            </w:pPr>
            <w:r>
              <w:rPr>
                <w:b/>
                <w:sz w:val="24"/>
              </w:rPr>
              <w:t>Client-side external interface</w:t>
            </w:r>
          </w:p>
          <w:p>
            <w:pPr>
              <w:bidi w:val="0"/>
              <w:spacing w:after="80"/>
              <w:jc w:val="left"/>
            </w:pPr>
            <w:r>
              <w:rPr>
                <w:b/>
                <w:sz w:val="24"/>
              </w:rPr>
              <w:t xml:space="preserve">YouTube live playback: </w:t>
            </w:r>
            <w:r>
              <w:rPr>
                <w:sz w:val="24"/>
              </w:rPr>
              <w:t>the attendee device plays the configured stream URL directly. The platform stores only the URL, and this traffic does not traverse the SIMF backend.</w:t>
            </w:r>
          </w:p>
          <w:p>
            <w:pPr>
              <w:bidi w:val="0"/>
              <w:spacing w:after="80"/>
              <w:jc w:val="left"/>
            </w:pPr>
            <w:r>
              <w:rPr>
                <w:i/>
                <w:color w:val="444444"/>
                <w:sz w:val="22"/>
              </w:rPr>
              <w:t>No inbound interface is exposed to any external entity.</w:t>
            </w:r>
          </w:p>
        </w:tc>
      </w:tr>
      <w:tr w:rsidR="00784C3E" w:rsidRPr="00846EC5" w14:paraId="2199FA21" w14:textId="77777777" w:rsidTr="00784C3E">
        <w:trPr>
          <w:trHeight w:val="336"/>
        </w:trPr>
        <w:tc>
          <w:tcPr>
            <w:tcW w:w="5000" w:type="pct"/>
            <w:shd w:val="clear" w:color="auto" w:fill="29504D"/>
            <w:vAlign w:val="center"/>
          </w:tcPr>
          <w:p w14:paraId="2EAC432E" w14:textId="47950FC8"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26402D9A" w14:textId="77777777" w:rsidTr="00784C3E">
        <w:trPr>
          <w:trHeight w:val="336"/>
        </w:trPr>
        <w:tc>
          <w:tcPr>
            <w:tcW w:w="5000" w:type="pct"/>
            <w:shd w:val="clear" w:color="auto" w:fill="E7E6E6"/>
            <w:vAlign w:val="center"/>
          </w:tcPr>
          <w:p w14:paraId="0D136EA6"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2B1D833B" w14:textId="3D889F5C"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43F7B8C2" w14:textId="77777777" w:rsidTr="00FA332B">
        <w:trPr>
          <w:trHeight w:val="336"/>
        </w:trPr>
        <w:tc>
          <w:tcPr>
            <w:tcW w:w="5000" w:type="pct"/>
            <w:shd w:val="clear" w:color="auto" w:fill="FFFFFF" w:themeFill="background1"/>
            <w:vAlign w:val="center"/>
          </w:tcPr>
          <w:p>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 there is no silent fallback. Network faults in the typed client are mapped to failed envelopes rather than exceptions. The API refuses to boot in production when a required secret is missing.</w:t>
            </w:r>
          </w:p>
          <w:p>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pPr>
              <w:bidi w:val="0"/>
              <w:spacing w:after="80" w:before="120"/>
              <w:jc w:val="left"/>
            </w:pPr>
            <w:r>
              <w:rPr>
                <w:b/>
                <w:sz w:val="24"/>
              </w:rPr>
              <w:t>Events logged</w:t>
            </w:r>
          </w:p>
          <w:p>
            <w:pPr>
              <w:bidi w:val="0"/>
              <w:spacing w:after="80"/>
              <w:ind w:left="360"/>
              <w:jc w:val="left"/>
            </w:pPr>
            <w:r>
              <w:rPr>
                <w:sz w:val="24"/>
              </w:rPr>
              <w:t>•  Access and authentication events (sign-in, OTP / TOTP, refresh, sign-out).</w:t>
            </w:r>
          </w:p>
          <w:p>
            <w:pPr>
              <w:bidi w:val="0"/>
              <w:spacing w:after="80"/>
              <w:ind w:left="360"/>
              <w:jc w:val="left"/>
            </w:pPr>
            <w:r>
              <w:rPr>
                <w:sz w:val="24"/>
              </w:rPr>
              <w:t>•  Authorisation denials and rate-limit rejections.</w:t>
            </w:r>
          </w:p>
          <w:p>
            <w:pPr>
              <w:bidi w:val="0"/>
              <w:spacing w:after="80"/>
              <w:ind w:left="360"/>
              <w:jc w:val="left"/>
            </w:pPr>
            <w:r>
              <w:rPr>
                <w:sz w:val="24"/>
              </w:rPr>
              <w:t>•  Security-relevant business events — approvals, configuration changes, gate scans — recorded in the OperationLog trail with actor, subject, source IP, user agent, outcome, error code and correlation ID.</w:t>
            </w:r>
          </w:p>
          <w:p>
            <w:pPr>
              <w:bidi w:val="0"/>
              <w:spacing w:after="80"/>
              <w:ind w:left="360"/>
              <w:jc w:val="left"/>
            </w:pPr>
            <w:r>
              <w:rPr>
                <w:sz w:val="24"/>
              </w:rPr>
              <w:t>•  Row-level data changes — recorded in the RowAudit trail with operation, before / after images, affected columns, actor snapshot and correlation ID.</w:t>
            </w:r>
          </w:p>
          <w:p>
            <w:pPr>
              <w:bidi w:val="0"/>
              <w:spacing w:after="80"/>
              <w:ind w:left="360"/>
              <w:jc w:val="left"/>
            </w:pPr>
            <w:r>
              <w:rPr>
                <w:sz w:val="24"/>
              </w:rPr>
              <w:t>•  System errors and unhandled exceptions.</w:t>
            </w:r>
          </w:p>
          <w:p>
            <w:pPr>
              <w:bidi w:val="0"/>
              <w:spacing w:after="80"/>
              <w:jc w:val="left"/>
            </w:pPr>
            <w:r>
              <w:rPr>
                <w:i/>
                <w:color w:val="444444"/>
                <w:sz w:val="22"/>
              </w:rPr>
              <w:t>Both audit trails are append-only at the application level, so the record cannot be rewritten by the application.</w:t>
            </w:r>
          </w:p>
        </w:tc>
      </w:tr>
      <w:tr w:rsidR="00784C3E" w:rsidRPr="00846EC5" w14:paraId="70868BD2" w14:textId="77777777" w:rsidTr="002F02DD">
        <w:trPr>
          <w:trHeight w:val="336"/>
        </w:trPr>
        <w:tc>
          <w:tcPr>
            <w:tcW w:w="5000" w:type="pct"/>
            <w:shd w:val="clear" w:color="auto" w:fill="29504D"/>
            <w:vAlign w:val="center"/>
          </w:tcPr>
          <w:p w14:paraId="47A3C342" w14:textId="3F16124F"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774B0F3D" w14:textId="77777777" w:rsidTr="002F02DD">
        <w:trPr>
          <w:trHeight w:val="336"/>
        </w:trPr>
        <w:tc>
          <w:tcPr>
            <w:tcW w:w="5000" w:type="pct"/>
            <w:shd w:val="clear" w:color="auto" w:fill="E7E6E6"/>
            <w:vAlign w:val="center"/>
          </w:tcPr>
          <w:p w14:paraId="74AEF71D" w14:textId="255C0DF6"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7FDEA3C5" w14:textId="77777777" w:rsidTr="00FA332B">
        <w:trPr>
          <w:trHeight w:val="336"/>
        </w:trPr>
        <w:tc>
          <w:tcPr>
            <w:tcW w:w="5000" w:type="pct"/>
            <w:shd w:val="clear" w:color="auto" w:fill="FFFFFF" w:themeFill="background1"/>
            <w:vAlign w:val="center"/>
          </w:tcPr>
          <w:p>
            <w:pPr>
              <w:bidi w:val="0"/>
              <w:spacing w:after="80"/>
              <w:jc w:val="left"/>
            </w:pPr>
            <w:r>
              <w:rPr>
                <w:b/>
                <w:sz w:val="24"/>
              </w:rPr>
              <w:t xml:space="preserve">UI Overview: </w:t>
            </w:r>
            <w:r>
              <w:rPr>
                <w:sz w:val="24"/>
              </w:rPr>
              <w:t>three front-ends share one design system and are fully bilingual (Arabic primary / RTL, English secondary / LTR).</w:t>
            </w:r>
          </w:p>
          <w:p>
            <w:pPr>
              <w:bidi w:val="0"/>
              <w:spacing w:after="80"/>
              <w:ind w:left="360"/>
              <w:jc w:val="left"/>
            </w:pPr>
            <w:r>
              <w:rPr>
                <w:sz w:val="24"/>
              </w:rPr>
              <w:t>•  Mobile application (Flutter, iOS + Android) — a persistent five-tab shell (Home, Sessions, Badge, Map, Profile) over roughly 34 feature areas: onboarding and splash; sign-in / sign-up / OTP / biometric; profile and registration; programme and session detail; seat picker; digital badge and QR; venue map; live broadcast; AI summary; news; media gallery; archive; booths; sponsors; media partners; comments and questions; networking; contacts (vCard share / scan); my meetings; gate scan (staff); session moderation (moderator); notifications; accessibility; feedback and rating.</w:t>
            </w:r>
          </w:p>
          <w:p>
            <w:pPr>
              <w:bidi w:val="0"/>
              <w:spacing w:after="80"/>
              <w:ind w:left="360"/>
              <w:jc w:val="left"/>
            </w:pPr>
            <w:r>
              <w:rPr>
                <w:sz w:val="24"/>
              </w:rPr>
              <w:t>•  Control Panel (Blazor Server + MudBlazor) — roughly 12 navigation groups: Overview, People, Access Control, Programme, Scientific Committee, Exhibition, Engagement, Knowledge, Content, Public Relations, Gates and Reference Data. Every list page uses one standard data-grid component (filter, select-all, row checkbox, quiet per-row icon actions) with a shared CRUD framework, so all administration pages behave identically.</w:t>
            </w:r>
          </w:p>
          <w:p>
            <w:pPr>
              <w:bidi w:val="0"/>
              <w:spacing w:after="80"/>
              <w:ind w:left="360"/>
              <w:jc w:val="left"/>
            </w:pPr>
            <w:r>
              <w:rPr>
                <w:sz w:val="24"/>
              </w:rPr>
              <w:t>•  Public Website (Blazor SSR) — statically rendered public content (home, programme, visit information) for speed, with interactive islands for the authentication and account flows.</w:t>
            </w:r>
          </w:p>
          <w:p>
            <w:pPr>
              <w:bidi w:val="0"/>
              <w:spacing w:after="80"/>
              <w:jc w:val="left"/>
            </w:pPr>
            <w:r>
              <w:rPr>
                <w:b/>
                <w:sz w:val="24"/>
              </w:rPr>
              <w:t xml:space="preserve">Wireframes / Mockups: </w:t>
            </w:r>
            <w:r>
              <w:rPr>
                <w:sz w:val="24"/>
              </w:rPr>
              <w:t>the approved design is maintained in Figma; the per-page node map and page index are held in the SIMF documentation set (docs/pages/PAGE-INDEX.md and FIGMA-NODE-MAP.md). Screen-by-screen detail is in SIMF-Screen-Guide-and-User-Journey and in the companion Low-Level Design (SIMF-LLD-001 §8–§10).</w:t>
            </w:r>
          </w:p>
          <w:p>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6EA52F1F" w14:textId="77777777" w:rsidTr="00FA332B">
        <w:trPr>
          <w:trHeight w:val="336"/>
        </w:trPr>
        <w:tc>
          <w:tcPr>
            <w:tcW w:w="5000" w:type="pct"/>
            <w:shd w:val="clear" w:color="auto" w:fill="29504D"/>
            <w:vAlign w:val="center"/>
          </w:tcPr>
          <w:p w14:paraId="4A13A4C6" w14:textId="733398DE"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3E5176EE" w14:textId="77777777" w:rsidTr="00D12CD4">
        <w:trPr>
          <w:trHeight w:val="336"/>
        </w:trPr>
        <w:tc>
          <w:tcPr>
            <w:tcW w:w="5000" w:type="pct"/>
            <w:shd w:val="clear" w:color="auto" w:fill="E7E6E6" w:themeFill="background2"/>
            <w:vAlign w:val="center"/>
          </w:tcPr>
          <w:p w14:paraId="101AAE30"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692EAA8B" w14:textId="6A9910F2"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20049274" w14:textId="77777777" w:rsidTr="00D12CD4">
        <w:trPr>
          <w:trHeight w:val="3758"/>
        </w:trPr>
        <w:tc>
          <w:tcPr>
            <w:tcW w:w="5000" w:type="pct"/>
            <w:shd w:val="clear" w:color="auto" w:fill="FFFFFF" w:themeFill="background1"/>
          </w:tcPr>
          <w:p>
            <w:pPr>
              <w:bidi w:val="0"/>
              <w:spacing w:after="80"/>
              <w:jc w:val="left"/>
            </w:pPr>
            <w:r>
              <w:rPr>
                <w:sz w:val="24"/>
              </w:rPr>
              <w:t>SIMF uses four environments — Development → Test → Staging → Production — promoted in order with test-gated promotion (no skipping). The distribution of components onto hosts / zones follows.</w:t>
            </w:r>
          </w:p>
          <w:p>
            <w:pPr>
              <w:bidi w:val="0"/>
              <w:spacing w:after="80"/>
              <w:jc w:val="left"/>
            </w:pPr>
            <w:r>
              <w:rPr>
                <w:b/>
                <w:sz w:val="24"/>
              </w:rPr>
              <w:t xml:space="preserve">Development / Test: </w:t>
            </w:r>
            <w:r>
              <w:rPr>
                <w:sz w:val="24"/>
              </w:rPr>
              <w:t>the as-built single-server topology (SIMF-SAD-001 §10.1) — a single reverse proxy fronting the three .NET sites and one SQL Server 2022 Standard instance; no high availability; no load balancer, WAF or DMZ; node-local file storage; OpenAPI enabled. This is the correct topology for these environments.</w:t>
            </w:r>
          </w:p>
          <w:p>
            <w:pPr>
              <w:bidi w:val="0"/>
              <w:spacing w:after="80"/>
              <w:jc w:val="left"/>
            </w:pPr>
            <w:r>
              <w:rPr>
                <w:b/>
                <w:sz w:val="24"/>
              </w:rPr>
              <w:t xml:space="preserve">Staging: </w:t>
            </w:r>
            <w:r>
              <w:rPr>
                <w:sz w:val="24"/>
              </w:rPr>
              <w:t>mirrors the production topology as a live rehearsal, ready two weeks before publication. Whether staging exercises the full scale-out (below) or the single-server topology is an [OWNER / INFRA INPUT REQUIRED] decision.</w:t>
            </w:r>
          </w:p>
          <w:p>
            <w:pPr>
              <w:bidi w:val="0"/>
              <w:spacing w:after="80"/>
              <w:jc w:val="left"/>
            </w:pPr>
            <w:r>
              <w:rPr>
                <w:b/>
                <w:sz w:val="24"/>
              </w:rPr>
              <w:t xml:space="preserve">Production (proposed event-day scale-out — SIMF-SAD-001 §A.3, with owner sizing): </w:t>
            </w:r>
            <w:r>
              <w:rPr>
                <w:sz w:val="24"/>
              </w:rPr>
              <w:t>the built-scale-ready system is scaled out as a deployment change — a WAF + Load Balancer (HA pair); a load-balanced multi-instance stateless API tier (SIMF.Api ×4, N+1); the website and admin tiers scaled with session affinity (SIMF.Web ×2, SIMF.ControlPanel ×2); a background-worker node; the SignalR backplane provided by SQL Server across nodes (owner decision — no Redis); SQL Server 2022 Enterprise in an AlwaysOn Availability Group (primary + one-to-two readable secondaries) for high availability and read scale-out; the edge tuned for tens of thousands of long-lived WebSocket connections; and a shared clustered file store. High availability is not used in Development or Test. Per-tier server specifications are the sizing table in §2.1.</w:t>
            </w:r>
          </w:p>
          <w:p>
            <w:pPr>
              <w:bidi w:val="0"/>
              <w:spacing w:after="80" w:before="120"/>
              <w:jc w:val="left"/>
            </w:pPr>
            <w:r>
              <w:rPr>
                <w:b/>
                <w:sz w:val="24"/>
              </w:rPr>
              <w:t>Proposed zone allocation ([OWNER / INFRA INPUT REQUIRED] — no approved network design yet)</w:t>
            </w:r>
          </w:p>
          <w:p>
            <w:pPr>
              <w:bidi w:val="0"/>
              <w:spacing w:after="80"/>
              <w:ind w:left="360"/>
              <w:jc w:val="left"/>
            </w:pPr>
            <w:r>
              <w:rPr>
                <w:sz w:val="24"/>
              </w:rPr>
              <w:t>•  Internet — attendee / public users, the administrator, and the outbound external services (AI provider, YouTube caption API); no SIMF server is deployed here.</w:t>
            </w:r>
          </w:p>
          <w:p>
            <w:pPr>
              <w:bidi w:val="0"/>
              <w:spacing w:after="80"/>
              <w:ind w:left="360"/>
              <w:jc w:val="left"/>
            </w:pPr>
            <w:r>
              <w:rPr>
                <w:sz w:val="24"/>
              </w:rPr>
              <w:t>•  SITE SSA Zone (application servers) — the WAF + Load Balancer (HA pair); the API tier SIMF.Api ×4; the website tier SIMF.Web ×2; the admin tier SIMF.ControlPanel ×2; the background worker; and the internal services (SMTP relay, Syslog / SIEM). SignalR fans out across the API fleet via the SQL Server backplane.</w:t>
            </w:r>
          </w:p>
          <w:p>
            <w:pPr>
              <w:bidi w:val="0"/>
              <w:spacing w:after="80"/>
              <w:ind w:left="360"/>
              <w:jc w:val="left"/>
            </w:pPr>
            <w:r>
              <w:rPr>
                <w:sz w:val="24"/>
              </w:rPr>
              <w:t>•  SITE HSA Zone (data — high security) — the data servers only: SQL Server 2022 Enterprise in an AlwaysOn Availability Group (SIMF_Identity, SIMF_App) with a read-write primary and one-to-two readable secondaries; the shared encrypted file store; and the scheduled backups. Reachable only from the SSA application servers — the database over TCP 1433, the file store over SMB 445.</w:t>
            </w:r>
          </w:p>
          <w:p>
            <w:pPr>
              <w:bidi w:val="0"/>
              <w:spacing w:after="80"/>
              <w:ind w:left="360"/>
              <w:jc w:val="left"/>
            </w:pPr>
            <w:r>
              <w:rPr>
                <w:sz w:val="24"/>
              </w:rPr>
              <w:t>•  Firewalls — one at the Internet ↔ SSA boundary and one at the SSA ↔ HSA boundary.</w:t>
            </w:r>
          </w:p>
          <w:p>
            <w:pPr>
              <w:bidi w:val="0"/>
              <w:spacing w:after="80"/>
              <w:jc w:val="left"/>
            </w:pPr>
            <w:r>
              <w:rPr>
                <w:i/>
                <w:color w:val="444444"/>
                <w:sz w:val="22"/>
              </w:rPr>
              <w:t>Zone names, subnet segmentation, VLAN identifiers and IP address ranges are not defined in any SIMF controlled document; they require an approved network-design document from the hosting infrastructure team. [OWNER / INFRA INPUT REQUIRED]</w:t>
            </w:r>
          </w:p>
          <w:p>
            <w:pPr>
              <w:bidi w:val="0"/>
              <w:spacing w:after="80" w:before="120"/>
              <w:jc w:val="left"/>
            </w:pPr>
            <w:r>
              <w:rPr>
                <w:b/>
                <w:sz w:val="24"/>
              </w:rPr>
              <w:t>As-built deltas (current deployment vs the proposed target)</w:t>
            </w:r>
          </w:p>
          <w:p>
            <w:pPr>
              <w:bidi w:val="0"/>
              <w:spacing w:after="80"/>
              <w:jc w:val="left"/>
            </w:pPr>
            <w:r>
              <w:rPr>
                <w:sz w:val="24"/>
              </w:rPr>
              <w:t>The following differences between the target state above and the current deployment are stated explicitly. They are tracked and must be closed before the production publish.</w:t>
            </w:r>
          </w:p>
          <w:p>
            <w:pPr>
              <w:bidi w:val="0"/>
              <w:spacing w:after="80"/>
              <w:ind w:left="360"/>
              <w:jc w:val="left"/>
            </w:pPr>
            <w:r>
              <w:rPr>
                <w:sz w:val="24"/>
              </w:rPr>
              <w:t>•  The current deployment is a single-server topology behind a reverse proxy. There is no load balancer, WAF, API gateway or Internet Proxy in place, and no high availability at any tier.</w:t>
            </w:r>
          </w:p>
          <w:p>
            <w:pPr>
              <w:bidi w:val="0"/>
              <w:spacing w:after="80"/>
              <w:ind w:left="360"/>
              <w:jc w:val="left"/>
            </w:pPr>
            <w:r>
              <w:rPr>
                <w:sz w:val="24"/>
              </w:rPr>
              <w:t>•  The TLS certificate is self-signed and the mobile client currently ships a development trust-all bypass. A CA-signed certificate must be issued and the bypass removed before production handover.</w:t>
            </w:r>
          </w:p>
          <w:p>
            <w:pPr>
              <w:bidi w:val="0"/>
              <w:spacing w:after="80"/>
              <w:ind w:left="360"/>
              <w:jc w:val="left"/>
            </w:pPr>
            <w:r>
              <w:rPr>
                <w:sz w:val="24"/>
              </w:rPr>
              <w:t>•  Outbound egress to the YouTube caption hosts is currently blocked; egress to the AI provider must be opened through the controlled egress point for the AI features to operate.</w:t>
            </w:r>
          </w:p>
          <w:p>
            <w:pPr>
              <w:bidi w:val="0"/>
              <w:spacing w:after="80"/>
              <w:ind w:left="360"/>
              <w:jc w:val="left"/>
            </w:pPr>
            <w:r>
              <w:rPr>
                <w:sz w:val="24"/>
              </w:rPr>
              <w:t>•  SIMF.ControlPanel and SIMF.Web are Blazor server-interactive applications that hold a stateful SignalR circuit per user. If either is scaled behind a load balancer it requires session affinity (sticky sessions). Only SIMF.Api is stateless and safe for round-robin distribution.</w:t>
            </w:r>
          </w:p>
          <w:p>
            <w:pPr>
              <w:bidi w:val="0"/>
              <w:spacing w:after="80"/>
              <w:ind w:left="360"/>
              <w:jc w:val="left"/>
            </w:pPr>
            <w:r>
              <w:rPr>
                <w:sz w:val="24"/>
              </w:rPr>
              <w:t>•  File storage is currently local to the application host. Scaling the API beyond one node would require a shared file store; with node-local storage a file uploaded through one node cannot be read back through another.</w:t>
            </w:r>
          </w:p>
          <w:p>
            <w:pPr>
              <w:bidi w:val="0"/>
              <w:spacing w:after="80"/>
              <w:ind w:left="360"/>
              <w:jc w:val="left"/>
            </w:pPr>
            <w:r>
              <w:rPr>
                <w:sz w:val="24"/>
              </w:rPr>
              <w:t>•  The SignalR server-push layer (SIMF.RealTime) is not yet wired into the API host; clients currently obtain notifications and live data by REST reads.</w:t>
            </w:r>
          </w:p>
        </w:tc>
      </w:tr>
      <w:tr w:rsidR="00784C3E" w:rsidRPr="002323AE" w14:paraId="7806899D" w14:textId="77777777" w:rsidTr="00D12CD4">
        <w:trPr>
          <w:trHeight w:val="488"/>
        </w:trPr>
        <w:tc>
          <w:tcPr>
            <w:tcW w:w="5000" w:type="pct"/>
            <w:tcBorders>
              <w:bottom w:val="single" w:sz="4" w:space="0" w:color="auto"/>
            </w:tcBorders>
            <w:shd w:val="clear" w:color="auto" w:fill="29504D"/>
            <w:vAlign w:val="center"/>
          </w:tcPr>
          <w:p w14:paraId="0A6C4E5A" w14:textId="1739AFF4"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2B7D6865" w14:textId="77777777" w:rsidTr="00D12CD4">
        <w:trPr>
          <w:trHeight w:val="336"/>
        </w:trPr>
        <w:tc>
          <w:tcPr>
            <w:tcW w:w="5000" w:type="pct"/>
            <w:shd w:val="clear" w:color="auto" w:fill="E7E6E6" w:themeFill="background2"/>
            <w:vAlign w:val="center"/>
          </w:tcPr>
          <w:p w14:paraId="2B7BB379"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2DDA51B5" w14:textId="43A0F815"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3979233E" w14:textId="77777777" w:rsidTr="00444983">
        <w:trPr>
          <w:trHeight w:val="336"/>
        </w:trPr>
        <w:tc>
          <w:tcPr>
            <w:tcW w:w="5000" w:type="pct"/>
            <w:shd w:val="clear" w:color="auto" w:fill="FFFFFF" w:themeFill="background1"/>
            <w:vAlign w:val="center"/>
          </w:tcPr>
          <w:p>
            <w:pPr>
              <w:bidi w:val="0"/>
              <w:spacing w:after="80"/>
              <w:jc w:val="left"/>
            </w:pPr>
            <w:r>
              <w:rPr>
                <w:b/>
                <w:sz w:val="24"/>
              </w:rPr>
              <w:t xml:space="preserve">Database Architecture: </w:t>
            </w:r>
            <w:r>
              <w:rPr>
                <w:sz w:val="24"/>
              </w:rPr>
              <w:t>SIMF uses two physically separate SQL Server 2022 databases. The separation is permanent and is itself a security control — it isolates and freezes the identity surface.</w:t>
            </w:r>
          </w:p>
          <w:p>
            <w:pPr>
              <w:bidi w:val="0"/>
              <w:spacing w:after="80"/>
              <w:ind w:left="360"/>
              <w:jc w:val="left"/>
            </w:pPr>
            <w:r>
              <w:rPr>
                <w:sz w:val="24"/>
              </w:rPr>
              <w:t>•  SIMF_Identity — users, roles, permissions, role-permissions, refresh tokens, account and OTP codes, second-factor tokens, TOTP recovery codes, biometric device keys, password history, and per-user notifications.</w:t>
            </w:r>
          </w:p>
          <w:p>
            <w:pPr>
              <w:bidi w:val="0"/>
              <w:spacing w:after="80"/>
              <w:ind w:left="360"/>
              <w:jc w:val="left"/>
            </w:pPr>
            <w:r>
              <w:rPr>
                <w:sz w:val="24"/>
              </w:rPr>
              <w:t>•  SIMF_App — all business data: profiles, programme and sessions, halls and seat reservations, gates and scans, exhibition and booths, sponsors, news, media, archive, networking, meetings, feedback and ratings, venue map, system settings, organisation profile, and the audit tables.</w:t>
            </w:r>
          </w:p>
          <w:p>
            <w:pPr>
              <w:bidi w:val="0"/>
              <w:spacing w:after="80" w:before="120"/>
              <w:jc w:val="left"/>
            </w:pPr>
            <w:r>
              <w:rPr>
                <w:b/>
                <w:sz w:val="24"/>
              </w:rPr>
              <w:t>Separation rules (permanent invariants)</w:t>
            </w:r>
          </w:p>
          <w:p>
            <w:pPr>
              <w:bidi w:val="0"/>
              <w:spacing w:after="80"/>
              <w:ind w:left="360"/>
              <w:jc w:val="left"/>
            </w:pPr>
            <w:r>
              <w:rPr>
                <w:sz w:val="24"/>
              </w:rPr>
              <w:t>•  No cross-database foreign keys. A reference from a business entity to a user is a bare GUID (a logical foreign key) resolved on read with a second query — never a database constraint and never a cross-database join.</w:t>
            </w:r>
          </w:p>
          <w:p>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pPr>
              <w:bidi w:val="0"/>
              <w:spacing w:after="80"/>
              <w:ind w:left="360"/>
              <w:jc w:val="left"/>
            </w:pPr>
            <w:r>
              <w:rPr>
                <w:sz w:val="24"/>
              </w:rPr>
              <w:t>•  No cross-database transaction. A unit of work touches one database at a time.</w:t>
            </w:r>
          </w:p>
          <w:p>
            <w:pPr>
              <w:bidi w:val="0"/>
              <w:spacing w:after="80"/>
              <w:jc w:val="left"/>
            </w:pPr>
            <w:r>
              <w:rPr>
                <w:i/>
                <w:color w:val="444444"/>
                <w:sz w:val="22"/>
              </w:rPr>
              <w:t>The two connection strings may address the same instance or separate physical servers, which is what lets the single-server development topology and any future scaled-out production topology share one design.</w:t>
            </w:r>
          </w:p>
          <w:p>
            <w:pPr>
              <w:bidi w:val="0"/>
              <w:spacing w:after="80"/>
              <w:jc w:val="left"/>
            </w:pPr>
            <w:r>
              <w:rPr>
                <w:b/>
                <w:sz w:val="24"/>
              </w:rPr>
              <w:t xml:space="preserve">Data Flow: </w:t>
            </w:r>
            <w:r>
              <w:rPr>
                <w:sz w:val="24"/>
              </w:rPr>
              <w:t>attendees and administrators reach SIMF over HTTPS. In the current deployment traffic terminates TLS at the reverse proxy; in the proposed target it terminates at the edge Load Balancer. Public web requests are served by SIMF.Web; mobile and API requests are forwarded by the reverse proxy to SIMF.Api. SIMF.Api authenticates and authorises the caller, executes the use case, and reads or writes the appropriate database over TCP 1433. Files are read from and written to the configured file store. E-mail is queued and dispatched to the SMTP relay over TCP 587. Outbound AI and caption calls leave through the controlled egress point over HTTPS 443. Responses return to the caller over the same path. Every request carries a correlation ID written to the logs and both audit trails.</w:t>
            </w:r>
          </w:p>
          <w:p>
            <w:pPr>
              <w:bidi w:val="0"/>
              <w:spacing w:after="80" w:before="120"/>
              <w:jc w:val="left"/>
            </w:pPr>
            <w:r>
              <w:rPr>
                <w:b/>
                <w:sz w:val="24"/>
              </w:rPr>
              <w:t>Data Storage</w:t>
            </w:r>
          </w:p>
          <w:p>
            <w:pPr>
              <w:bidi w:val="0"/>
              <w:spacing w:after="80"/>
              <w:ind w:left="360"/>
              <w:jc w:val="left"/>
            </w:pPr>
            <w:r>
              <w:rPr>
                <w:sz w:val="24"/>
              </w:rPr>
              <w:t>•  Database: relational — Microsoft SQL Server 2022. One Standard-edition instance hosts both databases in Development / Test (decision O-3); the production event topology runs SQL Server 2022 Enterprise in an AlwaysOn Availability Group — a read-write primary plus one-to-two readable secondaries reached through an AG listener, giving both automatic failover and read scale-out (owner decision; SIMF-SAD-001 §A.3).</w:t>
            </w:r>
          </w:p>
          <w:p>
            <w:pPr>
              <w:bidi w:val="0"/>
              <w:spacing w:after="80"/>
              <w:ind w:left="360"/>
              <w:jc w:val="left"/>
            </w:pPr>
            <w:r>
              <w:rPr>
                <w:sz w:val="24"/>
              </w:rPr>
              <w:t>•  File storage: a filesystem store for avatars, encrypted identity documents, VIP photos, session recordings, speaker presentations and media assets — local to the host in the single-node deployment, a shared clustered store (SMB) in the multi-node target. Database rows hold relative paths, not blobs.</w:t>
            </w:r>
          </w:p>
          <w:p>
            <w:pPr>
              <w:bidi w:val="0"/>
              <w:spacing w:after="80" w:before="120"/>
              <w:jc w:val="left"/>
            </w:pPr>
            <w:r>
              <w:rPr>
                <w:b/>
                <w:sz w:val="24"/>
              </w:rPr>
              <w:t>Data Integrity and Validation</w:t>
            </w:r>
          </w:p>
          <w:p>
            <w:pPr>
              <w:bidi w:val="0"/>
              <w:spacing w:after="80"/>
              <w:ind w:left="360"/>
              <w:jc w:val="left"/>
            </w:pPr>
            <w:r>
              <w:rPr>
                <w:sz w:val="24"/>
              </w:rPr>
              <w:t>•  Database constraints: primary keys, foreign keys (within a single database), unique and filtered-unique indexes — for example one active reservation per seat per session — prevent duplication and enforce relational consistency.</w:t>
            </w:r>
          </w:p>
          <w:p>
            <w:pPr>
              <w:bidi w:val="0"/>
              <w:spacing w:after="80"/>
              <w:ind w:left="360"/>
              <w:jc w:val="left"/>
            </w:pPr>
            <w:r>
              <w:rPr>
                <w:sz w:val="24"/>
              </w:rPr>
              <w:t>•  Transaction management: each unit of work is atomic within one database, preventing partial updates.</w:t>
            </w:r>
          </w:p>
          <w:p>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 there is no raw SQL string concatenation.</w:t>
            </w:r>
          </w:p>
          <w:p>
            <w:pPr>
              <w:bidi w:val="0"/>
              <w:spacing w:after="80"/>
              <w:ind w:left="360"/>
              <w:jc w:val="left"/>
            </w:pPr>
            <w:r>
              <w:rPr>
                <w:sz w:val="24"/>
              </w:rPr>
              <w:t>•  Audit trails: every insert, update and delete is captured in RowAudit with before / after images, an actor snapshot and a correlation ID; security-relevant business events are captured in OperationLog. Both are append-only.</w:t>
            </w:r>
          </w:p>
          <w:p>
            <w:pPr>
              <w:bidi w:val="0"/>
              <w:spacing w:after="80"/>
              <w:ind w:left="360"/>
              <w:jc w:val="left"/>
            </w:pPr>
            <w:r>
              <w:rPr>
                <w:sz w:val="24"/>
              </w:rPr>
              <w:t>•  Encryption: PII (national ID / Iqama / passport and mobile numbers) and identity-document images are encrypted at rest; all traffic is encrypted in transit.</w:t>
            </w:r>
          </w:p>
          <w:p>
            <w:pPr>
              <w:bidi w:val="0"/>
              <w:spacing w:after="80"/>
              <w:ind w:left="360"/>
              <w:jc w:val="left"/>
            </w:pPr>
            <w:r>
              <w:rPr>
                <w:sz w:val="24"/>
              </w:rPr>
              <w:t>•  Soft delete: business entities are deactivated rather than physically removed, preserving referential history.</w:t>
            </w:r>
          </w:p>
          <w:p>
            <w:pPr>
              <w:bidi w:val="0"/>
              <w:spacing w:after="80"/>
              <w:jc w:val="left"/>
            </w:pPr>
            <w:r>
              <w:rPr>
                <w:b/>
                <w:sz w:val="24"/>
              </w:rPr>
              <w:t xml:space="preserve">Expected concurrent sessions and throughput: </w:t>
            </w:r>
            <w:r>
              <w:rPr>
                <w:sz w:val="24"/>
              </w:rPr>
              <w:t>the platform is sized for the three forum days, when registration surge, live-session concurrency, gate-scan bursts and notification fan-out coincide. The capacity target is ≈ 30,000 concurrent active attendees at peak (≈ 50,000 registered × 0.6 peak-factor, SIMF-PTS-001) with ≈ 40,000 headroom; the per-tier sizing that carries it is the table in §2.1.</w:t>
            </w:r>
          </w:p>
          <w:p>
            <w:pPr>
              <w:bidi w:val="0"/>
              <w:spacing w:after="80"/>
              <w:jc w:val="left"/>
            </w:pPr>
            <w:r>
              <w:rPr>
                <w:i/>
                <w:color w:val="444444"/>
                <w:sz w:val="22"/>
              </w:rPr>
              <w:t>The exact concurrent-session and throughput figures are confirmed during staging load testing (SIMF-PTS-001) and recorded in the Deployment Prerequisites document. See also §2.9 Sizing and Performance View.</w:t>
            </w:r>
          </w:p>
        </w:tc>
      </w:tr>
      <w:tr w:rsidR="00784C3E" w:rsidRPr="00846EC5" w14:paraId="50BB375F" w14:textId="77777777" w:rsidTr="00444983">
        <w:trPr>
          <w:trHeight w:val="336"/>
        </w:trPr>
        <w:tc>
          <w:tcPr>
            <w:tcW w:w="5000" w:type="pct"/>
            <w:shd w:val="clear" w:color="auto" w:fill="FFFFFF" w:themeFill="background1"/>
            <w:vAlign w:val="center"/>
          </w:tcPr>
          <w:p>
            <w:pPr>
              <w:bidi w:val="0"/>
              <w:spacing w:after="80" w:before="120"/>
              <w:jc w:val="left"/>
            </w:pPr>
            <w:r>
              <w:rPr>
                <w:b/>
                <w:sz w:val="24"/>
              </w:rPr>
              <w:t>Communication Requirements Matrix</w:t>
            </w:r>
          </w:p>
          <w:p>
            <w:pPr>
              <w:bidi w:val="0"/>
              <w:spacing w:after="80"/>
              <w:jc w:val="left"/>
            </w:pPr>
            <w:r>
              <w:rPr>
                <w:i/>
                <w:color w:val="444444"/>
                <w:sz w:val="22"/>
              </w:rPr>
              <w:t>Ports and protocols are as built. Zone labels and host names are illustrative (the proposed target of §2.1); concrete IP ranges and VLANs are [OWNER / INFRA INPUT REQUIRED].</w:t>
            </w:r>
          </w:p>
          <w:tbl>
            <w:tblPr>
              <w:tblStyle w:val="TableGrid"/>
              <w:tblW w:type="auto" w:w="0"/>
              <w:tblLook w:firstColumn="1" w:firstRow="1" w:lastColumn="0" w:lastRow="0" w:noHBand="0" w:noVBand="1" w:val="04A0"/>
            </w:tblPr>
            <w:tblGrid>
              <w:gridCol w:w="240"/>
              <w:gridCol w:w="240"/>
              <w:gridCol w:w="240"/>
              <w:gridCol w:w="240"/>
              <w:gridCol w:w="240"/>
              <w:gridCol w:w="240"/>
            </w:tblGrid>
            <w:tr>
              <w:tc>
                <w:tcPr>
                  <w:tcW w:type="dxa" w:w="1656"/>
                </w:tcPr>
                <w:p>
                  <w:pPr>
                    <w:bidi w:val="0"/>
                    <w:spacing w:after="0"/>
                    <w:jc w:val="left"/>
                  </w:pPr>
                  <w:r/>
                  <w:r>
                    <w:rPr>
                      <w:b/>
                      <w:sz w:val="16"/>
                    </w:rPr>
                    <w:t>Source</w:t>
                  </w:r>
                </w:p>
              </w:tc>
              <w:tc>
                <w:tcPr>
                  <w:tcW w:type="dxa" w:w="1944"/>
                </w:tcPr>
                <w:p>
                  <w:pPr>
                    <w:bidi w:val="0"/>
                    <w:spacing w:after="0"/>
                    <w:jc w:val="left"/>
                  </w:pPr>
                  <w:r/>
                  <w:r>
                    <w:rPr>
                      <w:b/>
                      <w:sz w:val="16"/>
                    </w:rPr>
                    <w:t>Destination</w:t>
                  </w:r>
                </w:p>
              </w:tc>
              <w:tc>
                <w:tcPr>
                  <w:tcW w:type="dxa" w:w="1224"/>
                </w:tcPr>
                <w:p>
                  <w:pPr>
                    <w:bidi w:val="0"/>
                    <w:spacing w:after="0"/>
                    <w:jc w:val="left"/>
                  </w:pPr>
                  <w:r/>
                  <w:r>
                    <w:rPr>
                      <w:b/>
                      <w:sz w:val="16"/>
                    </w:rPr>
                    <w:t>Protocol</w:t>
                  </w:r>
                </w:p>
              </w:tc>
              <w:tc>
                <w:tcPr>
                  <w:tcW w:type="dxa" w:w="648"/>
                </w:tcPr>
                <w:p>
                  <w:pPr>
                    <w:bidi w:val="0"/>
                    <w:spacing w:after="0"/>
                    <w:jc w:val="left"/>
                  </w:pPr>
                  <w:r/>
                  <w:r>
                    <w:rPr>
                      <w:b/>
                      <w:sz w:val="16"/>
                    </w:rPr>
                    <w:t>Port</w:t>
                  </w:r>
                </w:p>
              </w:tc>
              <w:tc>
                <w:tcPr>
                  <w:tcW w:type="dxa" w:w="1224"/>
                </w:tcPr>
                <w:p>
                  <w:pPr>
                    <w:bidi w:val="0"/>
                    <w:spacing w:after="0"/>
                    <w:jc w:val="left"/>
                  </w:pPr>
                  <w:r/>
                  <w:r>
                    <w:rPr>
                      <w:b/>
                      <w:sz w:val="16"/>
                    </w:rPr>
                    <w:t>Direction</w:t>
                  </w:r>
                </w:p>
              </w:tc>
              <w:tc>
                <w:tcPr>
                  <w:tcW w:type="dxa" w:w="2232"/>
                </w:tcPr>
                <w:p>
                  <w:pPr>
                    <w:bidi w:val="0"/>
                    <w:spacing w:after="0"/>
                    <w:jc w:val="left"/>
                  </w:pPr>
                  <w:r/>
                  <w:r>
                    <w:rPr>
                      <w:b/>
                      <w:sz w:val="16"/>
                    </w:rPr>
                    <w:t>Purpose</w:t>
                  </w:r>
                </w:p>
              </w:tc>
            </w:tr>
            <w:tr>
              <w:tc>
                <w:tcPr>
                  <w:tcW w:type="dxa" w:w="1656"/>
                </w:tcPr>
                <w:p>
                  <w:pPr>
                    <w:bidi w:val="0"/>
                    <w:spacing w:after="0"/>
                    <w:jc w:val="left"/>
                  </w:pPr>
                  <w:r/>
                  <w:r>
                    <w:rPr>
                      <w:b w:val="0"/>
                      <w:sz w:val="16"/>
                    </w:rPr>
                    <w:t>Mobile app (Internet)</w:t>
                  </w:r>
                </w:p>
              </w:tc>
              <w:tc>
                <w:tcPr>
                  <w:tcW w:type="dxa" w:w="1944"/>
                </w:tcPr>
                <w:p>
                  <w:pPr>
                    <w:bidi w:val="0"/>
                    <w:spacing w:after="0"/>
                    <w:jc w:val="left"/>
                  </w:pPr>
                  <w:r/>
                  <w:r>
                    <w:rPr>
                      <w:b w:val="0"/>
                      <w:sz w:val="16"/>
                    </w:rPr>
                    <w:t>Reverse proxy / edge LB</w:t>
                  </w:r>
                </w:p>
              </w:tc>
              <w:tc>
                <w:tcPr>
                  <w:tcW w:type="dxa" w:w="1224"/>
                </w:tcPr>
                <w:p>
                  <w:pPr>
                    <w:bidi w:val="0"/>
                    <w:spacing w:after="0"/>
                    <w:jc w:val="left"/>
                  </w:pPr>
                  <w:r/>
                  <w:r>
                    <w:rPr>
                      <w:b w:val="0"/>
                      <w:sz w:val="16"/>
                    </w:rPr>
                    <w:t>HTTPS / TLS 1.2+</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Inbound</w:t>
                  </w:r>
                </w:p>
              </w:tc>
              <w:tc>
                <w:tcPr>
                  <w:tcW w:type="dxa" w:w="2232"/>
                </w:tcPr>
                <w:p>
                  <w:pPr>
                    <w:bidi w:val="0"/>
                    <w:spacing w:after="0"/>
                    <w:jc w:val="left"/>
                  </w:pPr>
                  <w:r/>
                  <w:r>
                    <w:rPr>
                      <w:b w:val="0"/>
                      <w:sz w:val="16"/>
                    </w:rPr>
                    <w:t>App API traffic (e.g. api.simf.example)</w:t>
                  </w:r>
                </w:p>
              </w:tc>
            </w:tr>
            <w:tr>
              <w:tc>
                <w:tcPr>
                  <w:tcW w:type="dxa" w:w="1656"/>
                </w:tcPr>
                <w:p>
                  <w:pPr>
                    <w:bidi w:val="0"/>
                    <w:spacing w:after="0"/>
                    <w:jc w:val="left"/>
                  </w:pPr>
                  <w:r/>
                  <w:r>
                    <w:rPr>
                      <w:b w:val="0"/>
                      <w:sz w:val="16"/>
                    </w:rPr>
                    <w:t>Public user browser (Internet)</w:t>
                  </w:r>
                </w:p>
              </w:tc>
              <w:tc>
                <w:tcPr>
                  <w:tcW w:type="dxa" w:w="1944"/>
                </w:tcPr>
                <w:p>
                  <w:pPr>
                    <w:bidi w:val="0"/>
                    <w:spacing w:after="0"/>
                    <w:jc w:val="left"/>
                  </w:pPr>
                  <w:r/>
                  <w:r>
                    <w:rPr>
                      <w:b w:val="0"/>
                      <w:sz w:val="16"/>
                    </w:rPr>
                    <w:t>Reverse proxy / edge LB</w:t>
                  </w:r>
                </w:p>
              </w:tc>
              <w:tc>
                <w:tcPr>
                  <w:tcW w:type="dxa" w:w="1224"/>
                </w:tcPr>
                <w:p>
                  <w:pPr>
                    <w:bidi w:val="0"/>
                    <w:spacing w:after="0"/>
                    <w:jc w:val="left"/>
                  </w:pPr>
                  <w:r/>
                  <w:r>
                    <w:rPr>
                      <w:b w:val="0"/>
                      <w:sz w:val="16"/>
                    </w:rPr>
                    <w:t>HTTPS / TLS 1.2+</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Inbound</w:t>
                  </w:r>
                </w:p>
              </w:tc>
              <w:tc>
                <w:tcPr>
                  <w:tcW w:type="dxa" w:w="2232"/>
                </w:tcPr>
                <w:p>
                  <w:pPr>
                    <w:bidi w:val="0"/>
                    <w:spacing w:after="0"/>
                    <w:jc w:val="left"/>
                  </w:pPr>
                  <w:r/>
                  <w:r>
                    <w:rPr>
                      <w:b w:val="0"/>
                      <w:sz w:val="16"/>
                    </w:rPr>
                    <w:t>Public website traffic (e.g. simf.example)</w:t>
                  </w:r>
                </w:p>
              </w:tc>
            </w:tr>
            <w:tr>
              <w:tc>
                <w:tcPr>
                  <w:tcW w:type="dxa" w:w="1656"/>
                </w:tcPr>
                <w:p>
                  <w:pPr>
                    <w:bidi w:val="0"/>
                    <w:spacing w:after="0"/>
                    <w:jc w:val="left"/>
                  </w:pPr>
                  <w:r/>
                  <w:r>
                    <w:rPr>
                      <w:b w:val="0"/>
                      <w:sz w:val="16"/>
                    </w:rPr>
                    <w:t>Administrator</w:t>
                  </w:r>
                </w:p>
              </w:tc>
              <w:tc>
                <w:tcPr>
                  <w:tcW w:type="dxa" w:w="1944"/>
                </w:tcPr>
                <w:p>
                  <w:pPr>
                    <w:bidi w:val="0"/>
                    <w:spacing w:after="0"/>
                    <w:jc w:val="left"/>
                  </w:pPr>
                  <w:r/>
                  <w:r>
                    <w:rPr>
                      <w:b w:val="0"/>
                      <w:sz w:val="16"/>
                    </w:rPr>
                    <w:t>Control Panel host</w:t>
                  </w:r>
                </w:p>
              </w:tc>
              <w:tc>
                <w:tcPr>
                  <w:tcW w:type="dxa" w:w="1224"/>
                </w:tcPr>
                <w:p>
                  <w:pPr>
                    <w:bidi w:val="0"/>
                    <w:spacing w:after="0"/>
                    <w:jc w:val="left"/>
                  </w:pPr>
                  <w:r/>
                  <w:r>
                    <w:rPr>
                      <w:b w:val="0"/>
                      <w:sz w:val="16"/>
                    </w:rPr>
                    <w:t>HTTPS / TLS 1.2+</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Inbound</w:t>
                  </w:r>
                </w:p>
              </w:tc>
              <w:tc>
                <w:tcPr>
                  <w:tcW w:type="dxa" w:w="2232"/>
                </w:tcPr>
                <w:p>
                  <w:pPr>
                    <w:bidi w:val="0"/>
                    <w:spacing w:after="0"/>
                    <w:jc w:val="left"/>
                  </w:pPr>
                  <w:r/>
                  <w:r>
                    <w:rPr>
                      <w:b w:val="0"/>
                      <w:sz w:val="16"/>
                    </w:rPr>
                    <w:t>Control Panel (e.g. cp.simf.example)</w:t>
                  </w:r>
                </w:p>
              </w:tc>
            </w:tr>
            <w:tr>
              <w:tc>
                <w:tcPr>
                  <w:tcW w:type="dxa" w:w="1656"/>
                </w:tcPr>
                <w:p>
                  <w:pPr>
                    <w:bidi w:val="0"/>
                    <w:spacing w:after="0"/>
                    <w:jc w:val="left"/>
                  </w:pPr>
                  <w:r/>
                  <w:r>
                    <w:rPr>
                      <w:b w:val="0"/>
                      <w:sz w:val="16"/>
                    </w:rPr>
                    <w:t>Reverse proxy / edge LB</w:t>
                  </w:r>
                </w:p>
              </w:tc>
              <w:tc>
                <w:tcPr>
                  <w:tcW w:type="dxa" w:w="1944"/>
                </w:tcPr>
                <w:p>
                  <w:pPr>
                    <w:bidi w:val="0"/>
                    <w:spacing w:after="0"/>
                    <w:jc w:val="left"/>
                  </w:pPr>
                  <w:r/>
                  <w:r>
                    <w:rPr>
                      <w:b w:val="0"/>
                      <w:sz w:val="16"/>
                    </w:rPr>
                    <w:t>SIMF.Web</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Public website rendering (session affinity if scaled out)</w:t>
                  </w:r>
                </w:p>
              </w:tc>
            </w:tr>
            <w:tr>
              <w:tc>
                <w:tcPr>
                  <w:tcW w:type="dxa" w:w="1656"/>
                </w:tcPr>
                <w:p>
                  <w:pPr>
                    <w:bidi w:val="0"/>
                    <w:spacing w:after="0"/>
                    <w:jc w:val="left"/>
                  </w:pPr>
                  <w:r/>
                  <w:r>
                    <w:rPr>
                      <w:b w:val="0"/>
                      <w:sz w:val="16"/>
                    </w:rPr>
                    <w:t>Reverse proxy / edge LB</w:t>
                  </w:r>
                </w:p>
              </w:tc>
              <w:tc>
                <w:tcPr>
                  <w:tcW w:type="dxa" w:w="1944"/>
                </w:tcPr>
                <w:p>
                  <w:pPr>
                    <w:bidi w:val="0"/>
                    <w:spacing w:after="0"/>
                    <w:jc w:val="left"/>
                  </w:pPr>
                  <w:r/>
                  <w:r>
                    <w:rPr>
                      <w:b w:val="0"/>
                      <w:sz w:val="16"/>
                    </w:rPr>
                    <w:t>SIMF.Api</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Publishes the API to the mobile app (stateless, round-robin if scaled out)</w:t>
                  </w:r>
                </w:p>
              </w:tc>
            </w:tr>
            <w:tr>
              <w:tc>
                <w:tcPr>
                  <w:tcW w:type="dxa" w:w="1656"/>
                </w:tcPr>
                <w:p>
                  <w:pPr>
                    <w:bidi w:val="0"/>
                    <w:spacing w:after="0"/>
                    <w:jc w:val="left"/>
                  </w:pPr>
                  <w:r/>
                  <w:r>
                    <w:rPr>
                      <w:b w:val="0"/>
                      <w:sz w:val="16"/>
                    </w:rPr>
                    <w:t>SIMF.Web / SIMF.ControlPanel</w:t>
                  </w:r>
                </w:p>
              </w:tc>
              <w:tc>
                <w:tcPr>
                  <w:tcW w:type="dxa" w:w="1944"/>
                </w:tcPr>
                <w:p>
                  <w:pPr>
                    <w:bidi w:val="0"/>
                    <w:spacing w:after="0"/>
                    <w:jc w:val="left"/>
                  </w:pPr>
                  <w:r/>
                  <w:r>
                    <w:rPr>
                      <w:b w:val="0"/>
                      <w:sz w:val="16"/>
                    </w:rPr>
                    <w:t>SIMF.Api</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Server-to-server typed API client</w:t>
                  </w:r>
                </w:p>
              </w:tc>
            </w:tr>
            <w:tr>
              <w:tc>
                <w:tcPr>
                  <w:tcW w:type="dxa" w:w="1656"/>
                </w:tcPr>
                <w:p>
                  <w:pPr>
                    <w:bidi w:val="0"/>
                    <w:spacing w:after="0"/>
                    <w:jc w:val="left"/>
                  </w:pPr>
                  <w:r/>
                  <w:r>
                    <w:rPr>
                      <w:b w:val="0"/>
                      <w:sz w:val="16"/>
                    </w:rPr>
                    <w:t>SIMF.Api / worker</w:t>
                  </w:r>
                </w:p>
              </w:tc>
              <w:tc>
                <w:tcPr>
                  <w:tcW w:type="dxa" w:w="1944"/>
                </w:tcPr>
                <w:p>
                  <w:pPr>
                    <w:bidi w:val="0"/>
                    <w:spacing w:after="0"/>
                    <w:jc w:val="left"/>
                  </w:pPr>
                  <w:r/>
                  <w:r>
                    <w:rPr>
                      <w:b w:val="0"/>
                      <w:sz w:val="16"/>
                    </w:rPr>
                    <w:t>SQL Server (AG listener)</w:t>
                  </w:r>
                </w:p>
              </w:tc>
              <w:tc>
                <w:tcPr>
                  <w:tcW w:type="dxa" w:w="1224"/>
                </w:tcPr>
                <w:p>
                  <w:pPr>
                    <w:bidi w:val="0"/>
                    <w:spacing w:after="0"/>
                    <w:jc w:val="left"/>
                  </w:pPr>
                  <w:r/>
                  <w:r>
                    <w:rPr>
                      <w:b w:val="0"/>
                      <w:sz w:val="16"/>
                    </w:rPr>
                    <w:t>TCP / TDS</w:t>
                  </w:r>
                </w:p>
              </w:tc>
              <w:tc>
                <w:tcPr>
                  <w:tcW w:type="dxa" w:w="648"/>
                </w:tcPr>
                <w:p>
                  <w:pPr>
                    <w:bidi w:val="0"/>
                    <w:spacing w:after="0"/>
                    <w:jc w:val="left"/>
                  </w:pPr>
                  <w:r/>
                  <w:r>
                    <w:rPr>
                      <w:b w:val="0"/>
                      <w:sz w:val="16"/>
                    </w:rPr>
                    <w:t>1433</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EF Core data access + SignalR SQL backplane — SIMF_Identity, SIMF_App</w:t>
                  </w:r>
                </w:p>
              </w:tc>
            </w:tr>
            <w:tr>
              <w:tc>
                <w:tcPr>
                  <w:tcW w:type="dxa" w:w="1656"/>
                </w:tcPr>
                <w:p>
                  <w:pPr>
                    <w:bidi w:val="0"/>
                    <w:spacing w:after="0"/>
                    <w:jc w:val="left"/>
                  </w:pPr>
                  <w:r/>
                  <w:r>
                    <w:rPr>
                      <w:b w:val="0"/>
                      <w:sz w:val="16"/>
                    </w:rPr>
                    <w:t>SQL replica ↔ SQL replica</w:t>
                  </w:r>
                </w:p>
              </w:tc>
              <w:tc>
                <w:tcPr>
                  <w:tcW w:type="dxa" w:w="1944"/>
                </w:tcPr>
                <w:p>
                  <w:pPr>
                    <w:bidi w:val="0"/>
                    <w:spacing w:after="0"/>
                    <w:jc w:val="left"/>
                  </w:pPr>
                  <w:r/>
                  <w:r>
                    <w:rPr>
                      <w:b w:val="0"/>
                      <w:sz w:val="16"/>
                    </w:rPr>
                    <w:t>SQL Server (AlwaysOn AG)</w:t>
                  </w:r>
                </w:p>
              </w:tc>
              <w:tc>
                <w:tcPr>
                  <w:tcW w:type="dxa" w:w="1224"/>
                </w:tcPr>
                <w:p>
                  <w:pPr>
                    <w:bidi w:val="0"/>
                    <w:spacing w:after="0"/>
                    <w:jc w:val="left"/>
                  </w:pPr>
                  <w:r/>
                  <w:r>
                    <w:rPr>
                      <w:b w:val="0"/>
                      <w:sz w:val="16"/>
                    </w:rPr>
                    <w:t>TCP</w:t>
                  </w:r>
                </w:p>
              </w:tc>
              <w:tc>
                <w:tcPr>
                  <w:tcW w:type="dxa" w:w="648"/>
                </w:tcPr>
                <w:p>
                  <w:pPr>
                    <w:bidi w:val="0"/>
                    <w:spacing w:after="0"/>
                    <w:jc w:val="left"/>
                  </w:pPr>
                  <w:r/>
                  <w:r>
                    <w:rPr>
                      <w:b w:val="0"/>
                      <w:sz w:val="16"/>
                    </w:rPr>
                    <w:t>5022</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AlwaysOn Availability Group replication (Enterprise, production HA)</w:t>
                  </w:r>
                </w:p>
              </w:tc>
            </w:tr>
            <w:tr>
              <w:tc>
                <w:tcPr>
                  <w:tcW w:type="dxa" w:w="1656"/>
                </w:tcPr>
                <w:p>
                  <w:pPr>
                    <w:bidi w:val="0"/>
                    <w:spacing w:after="0"/>
                    <w:jc w:val="left"/>
                  </w:pPr>
                  <w:r/>
                  <w:r>
                    <w:rPr>
                      <w:b w:val="0"/>
                      <w:sz w:val="16"/>
                    </w:rPr>
                    <w:t>SIMF.Api</w:t>
                  </w:r>
                </w:p>
              </w:tc>
              <w:tc>
                <w:tcPr>
                  <w:tcW w:type="dxa" w:w="1944"/>
                </w:tcPr>
                <w:p>
                  <w:pPr>
                    <w:bidi w:val="0"/>
                    <w:spacing w:after="0"/>
                    <w:jc w:val="left"/>
                  </w:pPr>
                  <w:r/>
                  <w:r>
                    <w:rPr>
                      <w:b w:val="0"/>
                      <w:sz w:val="16"/>
                    </w:rPr>
                    <w:t>SMTP relay</w:t>
                  </w:r>
                </w:p>
              </w:tc>
              <w:tc>
                <w:tcPr>
                  <w:tcW w:type="dxa" w:w="1224"/>
                </w:tcPr>
                <w:p>
                  <w:pPr>
                    <w:bidi w:val="0"/>
                    <w:spacing w:after="0"/>
                    <w:jc w:val="left"/>
                  </w:pPr>
                  <w:r/>
                  <w:r>
                    <w:rPr>
                      <w:b w:val="0"/>
                      <w:sz w:val="16"/>
                    </w:rPr>
                    <w:t>SMTP / TLS</w:t>
                  </w:r>
                </w:p>
              </w:tc>
              <w:tc>
                <w:tcPr>
                  <w:tcW w:type="dxa" w:w="648"/>
                </w:tcPr>
                <w:p>
                  <w:pPr>
                    <w:bidi w:val="0"/>
                    <w:spacing w:after="0"/>
                    <w:jc w:val="left"/>
                  </w:pPr>
                  <w:r/>
                  <w:r>
                    <w:rPr>
                      <w:b w:val="0"/>
                      <w:sz w:val="16"/>
                    </w:rPr>
                    <w:t>587</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Transactional e-mail dispatch (MailKit)</w:t>
                  </w:r>
                </w:p>
              </w:tc>
            </w:tr>
            <w:tr>
              <w:tc>
                <w:tcPr>
                  <w:tcW w:type="dxa" w:w="1656"/>
                </w:tcPr>
                <w:p>
                  <w:pPr>
                    <w:bidi w:val="0"/>
                    <w:spacing w:after="0"/>
                    <w:jc w:val="left"/>
                  </w:pPr>
                  <w:r/>
                  <w:r>
                    <w:rPr>
                      <w:b w:val="0"/>
                      <w:sz w:val="16"/>
                    </w:rPr>
                    <w:t>All application hosts</w:t>
                  </w:r>
                </w:p>
              </w:tc>
              <w:tc>
                <w:tcPr>
                  <w:tcW w:type="dxa" w:w="1944"/>
                </w:tcPr>
                <w:p>
                  <w:pPr>
                    <w:bidi w:val="0"/>
                    <w:spacing w:after="0"/>
                    <w:jc w:val="left"/>
                  </w:pPr>
                  <w:r/>
                  <w:r>
                    <w:rPr>
                      <w:b w:val="0"/>
                      <w:sz w:val="16"/>
                    </w:rPr>
                    <w:t>Syslog / SIEM</w:t>
                  </w:r>
                </w:p>
              </w:tc>
              <w:tc>
                <w:tcPr>
                  <w:tcW w:type="dxa" w:w="1224"/>
                </w:tcPr>
                <w:p>
                  <w:pPr>
                    <w:bidi w:val="0"/>
                    <w:spacing w:after="0"/>
                    <w:jc w:val="left"/>
                  </w:pPr>
                  <w:r/>
                  <w:r>
                    <w:rPr>
                      <w:b w:val="0"/>
                      <w:sz w:val="16"/>
                    </w:rPr>
                    <w:t>Syslog / TLS</w:t>
                  </w:r>
                </w:p>
              </w:tc>
              <w:tc>
                <w:tcPr>
                  <w:tcW w:type="dxa" w:w="648"/>
                </w:tcPr>
                <w:p>
                  <w:pPr>
                    <w:bidi w:val="0"/>
                    <w:spacing w:after="0"/>
                    <w:jc w:val="left"/>
                  </w:pPr>
                  <w:r/>
                  <w:r>
                    <w:rPr>
                      <w:b w:val="0"/>
                      <w:sz w:val="16"/>
                    </w:rPr>
                    <w:t>6514</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Centralised structured logging (RFC 5425 syslog-over-TLS)</w:t>
                  </w:r>
                </w:p>
              </w:tc>
            </w:tr>
            <w:tr>
              <w:tc>
                <w:tcPr>
                  <w:tcW w:type="dxa" w:w="1656"/>
                </w:tcPr>
                <w:p>
                  <w:pPr>
                    <w:bidi w:val="0"/>
                    <w:spacing w:after="0"/>
                    <w:jc w:val="left"/>
                  </w:pPr>
                  <w:r/>
                  <w:r>
                    <w:rPr>
                      <w:b w:val="0"/>
                      <w:sz w:val="16"/>
                    </w:rPr>
                    <w:t>SIMF.Api</w:t>
                  </w:r>
                </w:p>
              </w:tc>
              <w:tc>
                <w:tcPr>
                  <w:tcW w:type="dxa" w:w="1944"/>
                </w:tcPr>
                <w:p>
                  <w:pPr>
                    <w:bidi w:val="0"/>
                    <w:spacing w:after="0"/>
                    <w:jc w:val="left"/>
                  </w:pPr>
                  <w:r/>
                  <w:r>
                    <w:rPr>
                      <w:b w:val="0"/>
                      <w:sz w:val="16"/>
                    </w:rPr>
                    <w:t>Shared file store</w:t>
                  </w:r>
                </w:p>
              </w:tc>
              <w:tc>
                <w:tcPr>
                  <w:tcW w:type="dxa" w:w="1224"/>
                </w:tcPr>
                <w:p>
                  <w:pPr>
                    <w:bidi w:val="0"/>
                    <w:spacing w:after="0"/>
                    <w:jc w:val="left"/>
                  </w:pPr>
                  <w:r/>
                  <w:r>
                    <w:rPr>
                      <w:b w:val="0"/>
                      <w:sz w:val="16"/>
                    </w:rPr>
                    <w:t>SMB</w:t>
                  </w:r>
                </w:p>
              </w:tc>
              <w:tc>
                <w:tcPr>
                  <w:tcW w:type="dxa" w:w="648"/>
                </w:tcPr>
                <w:p>
                  <w:pPr>
                    <w:bidi w:val="0"/>
                    <w:spacing w:after="0"/>
                    <w:jc w:val="left"/>
                  </w:pPr>
                  <w:r/>
                  <w:r>
                    <w:rPr>
                      <w:b w:val="0"/>
                      <w:sz w:val="16"/>
                    </w:rPr>
                    <w:t>445</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File store access (shared store only if the API is multi-node)</w:t>
                  </w:r>
                </w:p>
              </w:tc>
            </w:tr>
            <w:tr>
              <w:tc>
                <w:tcPr>
                  <w:tcW w:type="dxa" w:w="1656"/>
                </w:tcPr>
                <w:p>
                  <w:pPr>
                    <w:bidi w:val="0"/>
                    <w:spacing w:after="0"/>
                    <w:jc w:val="left"/>
                  </w:pPr>
                  <w:r/>
                  <w:r>
                    <w:rPr>
                      <w:b w:val="0"/>
                      <w:sz w:val="16"/>
                    </w:rPr>
                    <w:t>SIMF.Api</w:t>
                  </w:r>
                </w:p>
              </w:tc>
              <w:tc>
                <w:tcPr>
                  <w:tcW w:type="dxa" w:w="1944"/>
                </w:tcPr>
                <w:p>
                  <w:pPr>
                    <w:bidi w:val="0"/>
                    <w:spacing w:after="0"/>
                    <w:jc w:val="left"/>
                  </w:pPr>
                  <w:r/>
                  <w:r>
                    <w:rPr>
                      <w:b w:val="0"/>
                      <w:sz w:val="16"/>
                    </w:rPr>
                    <w:t>Controlled egress point</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Outbound</w:t>
                  </w:r>
                </w:p>
              </w:tc>
              <w:tc>
                <w:tcPr>
                  <w:tcW w:type="dxa" w:w="2232"/>
                </w:tcPr>
                <w:p>
                  <w:pPr>
                    <w:bidi w:val="0"/>
                    <w:spacing w:after="0"/>
                    <w:jc w:val="left"/>
                  </w:pPr>
                  <w:r/>
                  <w:r>
                    <w:rPr>
                      <w:b w:val="0"/>
                      <w:sz w:val="16"/>
                    </w:rPr>
                    <w:t>Outbound AI and caption calls</w:t>
                  </w:r>
                </w:p>
              </w:tc>
            </w:tr>
            <w:tr>
              <w:tc>
                <w:tcPr>
                  <w:tcW w:type="dxa" w:w="1656"/>
                </w:tcPr>
                <w:p>
                  <w:pPr>
                    <w:bidi w:val="0"/>
                    <w:spacing w:after="0"/>
                    <w:jc w:val="left"/>
                  </w:pPr>
                  <w:r/>
                  <w:r>
                    <w:rPr>
                      <w:b w:val="0"/>
                      <w:sz w:val="16"/>
                    </w:rPr>
                    <w:t>Controlled egress point</w:t>
                  </w:r>
                </w:p>
              </w:tc>
              <w:tc>
                <w:tcPr>
                  <w:tcW w:type="dxa" w:w="1944"/>
                </w:tcPr>
                <w:p>
                  <w:pPr>
                    <w:bidi w:val="0"/>
                    <w:spacing w:after="0"/>
                    <w:jc w:val="left"/>
                  </w:pPr>
                  <w:r/>
                  <w:r>
                    <w:rPr>
                      <w:b w:val="0"/>
                      <w:sz w:val="16"/>
                    </w:rPr>
                    <w:t>AI provider — Gemini / OpenAI / Anthropic</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Outbound</w:t>
                  </w:r>
                </w:p>
              </w:tc>
              <w:tc>
                <w:tcPr>
                  <w:tcW w:type="dxa" w:w="2232"/>
                </w:tcPr>
                <w:p>
                  <w:pPr>
                    <w:bidi w:val="0"/>
                    <w:spacing w:after="0"/>
                    <w:jc w:val="left"/>
                  </w:pPr>
                  <w:r/>
                  <w:r>
                    <w:rPr>
                      <w:b w:val="0"/>
                      <w:sz w:val="16"/>
                    </w:rPr>
                    <w:t>Session summaries, comment / question filtering</w:t>
                  </w:r>
                </w:p>
              </w:tc>
            </w:tr>
            <w:tr>
              <w:tc>
                <w:tcPr>
                  <w:tcW w:type="dxa" w:w="1656"/>
                </w:tcPr>
                <w:p>
                  <w:pPr>
                    <w:bidi w:val="0"/>
                    <w:spacing w:after="0"/>
                    <w:jc w:val="left"/>
                  </w:pPr>
                  <w:r/>
                  <w:r>
                    <w:rPr>
                      <w:b w:val="0"/>
                      <w:sz w:val="16"/>
                    </w:rPr>
                    <w:t>Controlled egress point</w:t>
                  </w:r>
                </w:p>
              </w:tc>
              <w:tc>
                <w:tcPr>
                  <w:tcW w:type="dxa" w:w="1944"/>
                </w:tcPr>
                <w:p>
                  <w:pPr>
                    <w:bidi w:val="0"/>
                    <w:spacing w:after="0"/>
                    <w:jc w:val="left"/>
                  </w:pPr>
                  <w:r/>
                  <w:r>
                    <w:rPr>
                      <w:b w:val="0"/>
                      <w:sz w:val="16"/>
                    </w:rPr>
                    <w:t>youtubei.googleapis.com, www.youtube.com</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Outbound</w:t>
                  </w:r>
                </w:p>
              </w:tc>
              <w:tc>
                <w:tcPr>
                  <w:tcW w:type="dxa" w:w="2232"/>
                </w:tcPr>
                <w:p>
                  <w:pPr>
                    <w:bidi w:val="0"/>
                    <w:spacing w:after="0"/>
                    <w:jc w:val="left"/>
                  </w:pPr>
                  <w:r/>
                  <w:r>
                    <w:rPr>
                      <w:b w:val="0"/>
                      <w:sz w:val="16"/>
                    </w:rPr>
                    <w:t>Caption import — egress approval pending</w:t>
                  </w:r>
                </w:p>
              </w:tc>
            </w:tr>
            <w:tr>
              <w:tc>
                <w:tcPr>
                  <w:tcW w:type="dxa" w:w="1656"/>
                </w:tcPr>
                <w:p>
                  <w:pPr>
                    <w:bidi w:val="0"/>
                    <w:spacing w:after="0"/>
                    <w:jc w:val="left"/>
                  </w:pPr>
                  <w:r/>
                  <w:r>
                    <w:rPr>
                      <w:b w:val="0"/>
                      <w:sz w:val="16"/>
                    </w:rPr>
                    <w:t>Attendee device (Internet)</w:t>
                  </w:r>
                </w:p>
              </w:tc>
              <w:tc>
                <w:tcPr>
                  <w:tcW w:type="dxa" w:w="1944"/>
                </w:tcPr>
                <w:p>
                  <w:pPr>
                    <w:bidi w:val="0"/>
                    <w:spacing w:after="0"/>
                    <w:jc w:val="left"/>
                  </w:pPr>
                  <w:r/>
                  <w:r>
                    <w:rPr>
                      <w:b w:val="0"/>
                      <w:sz w:val="16"/>
                    </w:rPr>
                    <w:t>YouTube CDN</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Client-side</w:t>
                  </w:r>
                </w:p>
              </w:tc>
              <w:tc>
                <w:tcPr>
                  <w:tcW w:type="dxa" w:w="2232"/>
                </w:tcPr>
                <w:p>
                  <w:pPr>
                    <w:bidi w:val="0"/>
                    <w:spacing w:after="0"/>
                    <w:jc w:val="left"/>
                  </w:pPr>
                  <w:r/>
                  <w:r>
                    <w:rPr>
                      <w:b w:val="0"/>
                      <w:sz w:val="16"/>
                    </w:rPr>
                    <w:t>Live session playback — does not traverse SIMF</w:t>
                  </w:r>
                </w:p>
              </w:tc>
            </w:tr>
          </w:tbl>
          <w:p/>
          <w:p>
            <w:pPr>
              <w:bidi w:val="0"/>
              <w:jc w:val="left"/>
            </w:pPr>
            <w:r>
              <w:rPr>
                <w:i/>
                <w:color w:val="444444"/>
                <w:sz w:val="22"/>
              </w:rPr>
              <w:t>Source and destination IP addresses and ranges are assigned by the hosting infrastructure team and recorded in the Deployment Prerequisites document. [OWNER / INFRA INPUT REQUIRED]</w:t>
            </w:r>
          </w:p>
        </w:tc>
      </w:tr>
    </w:tbl>
    <w:p w14:paraId="7BB5DB17" w14:textId="34A8E576" w:rsidR="00D60493" w:rsidRDefault="00D60493" w:rsidP="00A877C3">
      <w:pPr>
        <w:tabs>
          <w:tab w:val="left" w:pos="7210"/>
        </w:tabs>
        <w:rPr>
          <w:rtl/>
        </w:rPr>
      </w:pPr>
    </w:p>
    <w:p w14:paraId="7324264D" w14:textId="4CDE4B49" w:rsidR="006E7488" w:rsidRDefault="006E7488" w:rsidP="00A63FC4">
      <w:pPr>
        <w:tabs>
          <w:tab w:val="left" w:pos="2170"/>
          <w:tab w:val="right" w:pos="9360"/>
        </w:tabs>
        <w:bidi w:val="0"/>
        <w:rPr>
          <w:rtl/>
        </w:rPr>
      </w:pPr>
      <w:bookmarkStart w:id="2" w:name="_GoBack"/>
      <w:bookmarkEnd w:id="2"/>
    </w:p>
    <w:p w14:paraId="06FB1E58" w14:textId="6AC7BBE1" w:rsidR="006E7488" w:rsidRDefault="006E7488" w:rsidP="009112B7">
      <w:pPr>
        <w:tabs>
          <w:tab w:val="left" w:pos="2170"/>
          <w:tab w:val="right" w:pos="9360"/>
        </w:tabs>
        <w:rPr>
          <w:rtl/>
        </w:rPr>
      </w:pPr>
    </w:p>
    <w:p w14:paraId="0D796600" w14:textId="054AC6E0" w:rsidR="006E7488" w:rsidRDefault="006E7488" w:rsidP="009112B7">
      <w:pPr>
        <w:tabs>
          <w:tab w:val="left" w:pos="2170"/>
          <w:tab w:val="right" w:pos="9360"/>
        </w:tabs>
      </w:pPr>
    </w:p>
    <w:p w14:paraId="298867D2" w14:textId="77777777" w:rsidR="00D60493" w:rsidRDefault="00D60493" w:rsidP="009112B7">
      <w:pPr>
        <w:tabs>
          <w:tab w:val="left" w:pos="2170"/>
          <w:tab w:val="right" w:pos="9360"/>
        </w:tabs>
      </w:pPr>
    </w:p>
    <w:p w14:paraId="7F3AE135" w14:textId="77777777" w:rsidR="00D60493" w:rsidRDefault="00D60493" w:rsidP="009112B7">
      <w:pPr>
        <w:tabs>
          <w:tab w:val="left" w:pos="2170"/>
          <w:tab w:val="right" w:pos="9360"/>
        </w:tabs>
      </w:pPr>
    </w:p>
    <w:p w14:paraId="545AF04F" w14:textId="77777777" w:rsidR="00D60493" w:rsidRDefault="00D60493" w:rsidP="009112B7">
      <w:pPr>
        <w:tabs>
          <w:tab w:val="left" w:pos="2170"/>
          <w:tab w:val="right" w:pos="9360"/>
        </w:tabs>
      </w:pPr>
    </w:p>
    <w:p w14:paraId="7F24813A" w14:textId="77777777" w:rsidR="00D60493" w:rsidRDefault="00D60493" w:rsidP="009112B7">
      <w:pPr>
        <w:tabs>
          <w:tab w:val="left" w:pos="2170"/>
          <w:tab w:val="right" w:pos="9360"/>
        </w:tabs>
      </w:pPr>
    </w:p>
    <w:p w14:paraId="47EAA412" w14:textId="77777777" w:rsidR="00D60493" w:rsidRDefault="00D60493" w:rsidP="009112B7">
      <w:pPr>
        <w:tabs>
          <w:tab w:val="left" w:pos="2170"/>
          <w:tab w:val="right" w:pos="9360"/>
        </w:tabs>
      </w:pPr>
    </w:p>
    <w:p w14:paraId="430BDDC3"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5B9332E3" w14:textId="77777777" w:rsidTr="00AB5973">
        <w:trPr>
          <w:trHeight w:val="488"/>
        </w:trPr>
        <w:tc>
          <w:tcPr>
            <w:tcW w:w="5000" w:type="pct"/>
            <w:tcBorders>
              <w:bottom w:val="single" w:sz="4" w:space="0" w:color="auto"/>
            </w:tcBorders>
            <w:shd w:val="clear" w:color="auto" w:fill="29504D"/>
            <w:vAlign w:val="center"/>
          </w:tcPr>
          <w:p w14:paraId="24B55539"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 Non-Functional Views</w:t>
            </w:r>
          </w:p>
        </w:tc>
      </w:tr>
      <w:tr w:rsidR="00D60493" w:rsidRPr="00846EC5" w14:paraId="53C58505" w14:textId="77777777" w:rsidTr="00AB5973">
        <w:trPr>
          <w:trHeight w:val="336"/>
        </w:trPr>
        <w:tc>
          <w:tcPr>
            <w:tcW w:w="5000" w:type="pct"/>
            <w:shd w:val="clear" w:color="auto" w:fill="E7E6E6" w:themeFill="background2"/>
            <w:vAlign w:val="center"/>
          </w:tcPr>
          <w:p w14:paraId="39141DBC"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7D99E81F" w14:textId="77777777" w:rsidTr="00AB5973">
        <w:trPr>
          <w:trHeight w:val="336"/>
        </w:trPr>
        <w:tc>
          <w:tcPr>
            <w:tcW w:w="5000" w:type="pct"/>
            <w:shd w:val="clear" w:color="auto" w:fill="FFFFFF" w:themeFill="background1"/>
            <w:vAlign w:val="center"/>
          </w:tcPr>
          <w:p>
            <w:pPr>
              <w:bidi w:val="0"/>
              <w:spacing w:after="80" w:before="120"/>
              <w:jc w:val="left"/>
            </w:pPr>
            <w:r>
              <w:rPr>
                <w:b/>
                <w:sz w:val="24"/>
              </w:rPr>
              <w:t>Solution Security View</w:t>
            </w:r>
          </w:p>
          <w:p>
            <w:pPr>
              <w:bidi w:val="0"/>
              <w:spacing w:after="80"/>
              <w:jc w:val="left"/>
            </w:pPr>
            <w:r>
              <w:rPr>
                <w:b/>
                <w:sz w:val="24"/>
              </w:rPr>
              <w:t xml:space="preserve">Application Security — authentication: </w:t>
            </w:r>
            <w:r>
              <w:rPr>
                <w:sz w:val="24"/>
              </w:rPr>
              <w:t>e-mail + password for all audiences. Second factor: e-mailed one-time password for visitors, TOTP authenticator for administrators with single-use recovery codes. Optional biometric sign-in on mobile using an enrolled ES256 device key. SIMF operates its own ASP.NET Core Identity store; there is no Active Directory dependency.</w:t>
            </w:r>
          </w:p>
          <w:p>
            <w:pPr>
              <w:bidi w:val="0"/>
              <w:spacing w:after="80"/>
              <w:jc w:val="left"/>
            </w:pPr>
            <w:r>
              <w:rPr>
                <w:b/>
                <w:sz w:val="24"/>
              </w:rPr>
              <w:t xml:space="preserve">Tokens: </w:t>
            </w:r>
            <w:r>
              <w:rPr>
                <w:sz w:val="24"/>
              </w:rPr>
              <w:t>short-lived HS256 JWT access tokens (5-minute cap) with rotating refresh tokens and an absolute 24-hour session cap. Token reuse is detected, and a per-user security stamp allows a session to be revoked immediately. The signing algorithm is pinned, so alg:none and algorithm-confusion attacks are rejected.</w:t>
            </w:r>
          </w:p>
          <w:p>
            <w:pPr>
              <w:bidi w:val="0"/>
              <w:spacing w:after="80"/>
              <w:jc w:val="left"/>
            </w:pPr>
            <w:r>
              <w:rPr>
                <w:b/>
                <w:sz w:val="24"/>
              </w:rPr>
              <w:t xml:space="preserve">Authorization: </w:t>
            </w:r>
            <w:r>
              <w:rPr>
                <w:sz w:val="24"/>
              </w:rPr>
              <w:t>role-based access control with per-page / per-action permissions. Permission codes live in a single catalogue, are seeded idempotently, are baked into the JWT and are enforced on both the API and the Control Panel; Administrator holds a wildcard. Build-time tests fail the build if any Control Panel page or admin endpoint is missing its permission gate — an ungated admin surface is treated as a security defect, not a bug.</w:t>
            </w:r>
          </w:p>
          <w:p>
            <w:pPr>
              <w:bidi w:val="0"/>
              <w:spacing w:after="80"/>
              <w:jc w:val="left"/>
            </w:pPr>
            <w:r>
              <w:rPr>
                <w:b/>
                <w:sz w:val="24"/>
              </w:rPr>
              <w:t xml:space="preserve">Web Application Firewall (WAF) — proposed / remediation target: </w:t>
            </w:r>
            <w:r>
              <w:rPr>
                <w:sz w:val="24"/>
              </w:rPr>
              <w:t>a WAF at the edge to filter common web attacks (SQL injection, XSS, CSRF), block malicious requests before they reach the application, and alert on suspicious activity. This is an NCA remediation action, not a currently-deployed appliance.</w:t>
            </w:r>
          </w:p>
          <w:p>
            <w:pPr>
              <w:bidi w:val="0"/>
              <w:spacing w:after="80"/>
              <w:jc w:val="left"/>
            </w:pPr>
            <w:r>
              <w:rPr>
                <w:b/>
                <w:sz w:val="24"/>
              </w:rPr>
              <w:t xml:space="preserve">Load Balancer — proposed (event-day scale-out): </w:t>
            </w:r>
            <w:r>
              <w:rPr>
                <w:sz w:val="24"/>
              </w:rPr>
              <w:t>distributes traffic across nodes; centralises TLS termination; and health-checks nodes so traffic reaches only healthy ones. Session affinity would be enabled for the Blazor server-interactive applications (SIMF.Web, SIMF.ControlPanel); SIMF.Api is stateless. In the current deployment the reverse proxy performs TLS termination and health-checked routing.</w:t>
            </w:r>
          </w:p>
          <w:p>
            <w:pPr>
              <w:bidi w:val="0"/>
              <w:spacing w:after="80"/>
              <w:jc w:val="left"/>
            </w:pPr>
            <w:r>
              <w:rPr>
                <w:b/>
                <w:sz w:val="24"/>
              </w:rPr>
              <w:t xml:space="preserve">Encryption — in transit: </w:t>
            </w:r>
            <w:r>
              <w:rPr>
                <w:sz w:val="24"/>
              </w:rPr>
              <w:t>all traffic is TLS 1.2+, terminated at the reverse proxy (current) or the edge Load Balancer (proposed target) and re-encrypted to the backend.</w:t>
            </w:r>
          </w:p>
          <w:p>
            <w:pPr>
              <w:bidi w:val="0"/>
              <w:spacing w:after="80"/>
              <w:jc w:val="left"/>
            </w:pPr>
            <w:r>
              <w:rPr>
                <w:b/>
                <w:sz w:val="24"/>
              </w:rPr>
              <w:t xml:space="preserve">Encryption — at rest: </w:t>
            </w:r>
            <w:r>
              <w:rPr>
                <w:sz w:val="24"/>
              </w:rPr>
              <w:t>PII (national ID / Iqama / passport and mobile numbers) and identity-document images are encrypted with application-level AES-GCM envelope encryption (IPiiEncryptor), the key supplied via environment variable (Storage:UserIdDocumentEncryptionKey). SIMF does not depend on database-native TDE; if TDE is wanted it is a target-state owner action, not an implemented control.</w:t>
            </w:r>
          </w:p>
          <w:p>
            <w:pPr>
              <w:bidi w:val="0"/>
              <w:spacing w:after="80"/>
              <w:jc w:val="left"/>
            </w:pPr>
            <w:r>
              <w:rPr>
                <w:b/>
                <w:sz w:val="24"/>
              </w:rPr>
              <w:t xml:space="preserve">Hashing: </w:t>
            </w:r>
            <w:r>
              <w:rPr>
                <w:sz w:val="24"/>
              </w:rPr>
              <w:t>passwords are hashed by ASP.NET Core Identity; refresh tokens and one-time codes are stored hashed and never in clear text.</w:t>
            </w:r>
          </w:p>
          <w:p>
            <w:pPr>
              <w:bidi w:val="0"/>
              <w:spacing w:after="80"/>
              <w:jc w:val="left"/>
            </w:pPr>
            <w:r>
              <w:rPr>
                <w:b/>
                <w:sz w:val="24"/>
              </w:rPr>
              <w:t xml:space="preserve">Request protection and hardening: </w:t>
            </w:r>
            <w:r>
              <w:rPr>
                <w:sz w:val="24"/>
              </w:rPr>
              <w:t>multi-dimensional rate limiting — per IP on the authentication bucket, per e-mail on credential endpoints, a global safety cap, and per-administrator on AI calls — with audited rejections; security headers and a Content-Security-Policy; an explicit CORS origin allow-list (never a wildcard); OpenAPI / Swagger disabled by default in production and gated behind Basic authentication when enabled; upload scanning; and secrets supplied only through environment variables with production boot guards.</w:t>
            </w:r>
          </w:p>
          <w:p>
            <w:pPr>
              <w:bidi w:val="0"/>
              <w:spacing w:after="80"/>
              <w:jc w:val="left"/>
            </w:pPr>
            <w:r>
              <w:rPr>
                <w:b/>
                <w:sz w:val="24"/>
              </w:rPr>
              <w:t xml:space="preserve">Audit: </w:t>
            </w:r>
            <w:r>
              <w:rPr>
                <w:sz w:val="24"/>
              </w:rPr>
              <w:t>two append-only trails — OperationLog for security-relevant business events and RowAudit for row-level before / after images — each carrying an actor snapshot, source IP, user agent and correlation ID.</w:t>
            </w:r>
          </w:p>
          <w:p>
            <w:pPr>
              <w:bidi w:val="0"/>
              <w:spacing w:after="80"/>
              <w:jc w:val="left"/>
            </w:pPr>
            <w:r>
              <w:rPr>
                <w:b/>
                <w:sz w:val="24"/>
              </w:rPr>
              <w:t xml:space="preserve">Compliance: </w:t>
            </w:r>
            <w:r>
              <w:rPr>
                <w:sz w:val="24"/>
              </w:rPr>
              <w:t>aligned to the NCA Secure Application Development Standard, with ECC and OWASP baselines. A documented gap analysis drives the remediation programme.</w:t>
            </w:r>
          </w:p>
          <w:p>
            <w:pPr>
              <w:bidi w:val="0"/>
              <w:spacing w:after="80"/>
              <w:jc w:val="left"/>
            </w:pPr>
            <w:r>
              <w:rPr>
                <w:i/>
                <w:color w:val="444444"/>
                <w:sz w:val="22"/>
              </w:rPr>
              <w:t>[OUTSTANDING OWNER / OPERATIONS ACTIONS] Rotate the secrets present in development configuration history; issue a CA-signed certificate and remove the mobile development TLS bypass; enable the identity-lifecycle controls (password expiry / history, dormant-account disable); deploy the WAF; and commission an independent penetration test.</w:t>
            </w:r>
          </w:p>
        </w:tc>
      </w:tr>
      <w:tr w:rsidR="00D60493" w14:paraId="58B56FCA" w14:textId="77777777" w:rsidTr="00AB5973">
        <w:trPr>
          <w:trHeight w:val="336"/>
        </w:trPr>
        <w:tc>
          <w:tcPr>
            <w:tcW w:w="5000" w:type="pct"/>
            <w:shd w:val="clear" w:color="auto" w:fill="FFFFFF" w:themeFill="background1"/>
            <w:vAlign w:val="center"/>
          </w:tcPr>
          <w:p>
            <w:pPr>
              <w:bidi w:val="0"/>
              <w:spacing w:after="80" w:before="120"/>
              <w:jc w:val="left"/>
            </w:pPr>
            <w:r>
              <w:rPr>
                <w:b/>
                <w:sz w:val="24"/>
              </w:rPr>
              <w:t>Solution Availability View</w:t>
            </w:r>
          </w:p>
          <w:p>
            <w:pPr>
              <w:bidi w:val="0"/>
              <w:spacing w:after="80"/>
              <w:jc w:val="left"/>
            </w:pPr>
            <w:r>
              <w:rPr>
                <w:i/>
                <w:color w:val="444444"/>
                <w:sz w:val="22"/>
              </w:rPr>
              <w:t>High availability is the proposed event-day topology (SIMF-SAD-001 §A.3, a deferred decision); it is not used in Development or Test and is not in the current deployment.</w:t>
            </w:r>
          </w:p>
          <w:p>
            <w:pPr>
              <w:bidi w:val="0"/>
              <w:spacing w:after="80"/>
              <w:jc w:val="left"/>
            </w:pPr>
            <w:r>
              <w:rPr>
                <w:b/>
                <w:sz w:val="24"/>
              </w:rPr>
              <w:t xml:space="preserve">Database tier — production (SQL Server 2022 Enterprise, AlwaysOn AG): </w:t>
            </w:r>
            <w:r>
              <w:rPr>
                <w:sz w:val="24"/>
              </w:rPr>
              <w:t>high availability and read scale-out come from an AlwaysOn Availability Group on a Windows Server Failover Cluster.</w:t>
            </w:r>
          </w:p>
          <w:p>
            <w:pPr>
              <w:bidi w:val="0"/>
              <w:spacing w:after="80"/>
              <w:ind w:left="360"/>
              <w:jc w:val="left"/>
            </w:pPr>
            <w:r>
              <w:rPr>
                <w:sz w:val="24"/>
              </w:rPr>
              <w:t>•  AlwaysOn Availability Group: a read-write primary and one-to-two readable secondary replicas with synchronous commit and automatic failover. Both databases (SIMF_Identity and SIMF_App) ride the group; an AG listener routes writes to the primary and read-intent connections to a secondary, so reads scale on the secondaries. A file-share witness holds the cluster quorum.</w:t>
            </w:r>
          </w:p>
          <w:p>
            <w:pPr>
              <w:bidi w:val="0"/>
              <w:spacing w:after="80"/>
              <w:ind w:left="360"/>
              <w:jc w:val="left"/>
            </w:pPr>
            <w:r>
              <w:rPr>
                <w:sz w:val="24"/>
              </w:rPr>
              <w:t>•  Development / Test use a single SQL Server Standard node (decision O-3); the Enterprise edition and the AG are the production event topology only (owner decision).</w:t>
            </w:r>
          </w:p>
          <w:p>
            <w:pPr>
              <w:bidi w:val="0"/>
              <w:spacing w:after="80"/>
              <w:ind w:left="360"/>
              <w:jc w:val="left"/>
            </w:pPr>
            <w:r>
              <w:rPr>
                <w:sz w:val="24"/>
              </w:rPr>
              <w:t>•  Backup strategy: scheduled backups of both databases and the file store prevent data loss and support disaster recovery. Migration order is enforced (App database before Identity database) so deployments stay forward-compatible.</w:t>
            </w:r>
          </w:p>
          <w:p>
            <w:pPr>
              <w:bidi w:val="0"/>
              <w:spacing w:after="80"/>
              <w:jc w:val="left"/>
            </w:pPr>
            <w:r>
              <w:rPr>
                <w:b/>
                <w:sz w:val="24"/>
              </w:rPr>
              <w:t xml:space="preserve">Application tier: </w:t>
            </w:r>
            <w:r>
              <w:rPr>
                <w:sz w:val="24"/>
              </w:rPr>
              <w:t>the three .NET surfaces have different scaling characteristics, and the deployment must respect the difference.</w:t>
            </w:r>
          </w:p>
          <w:p>
            <w:pPr>
              <w:bidi w:val="0"/>
              <w:spacing w:after="80"/>
              <w:ind w:left="360"/>
              <w:jc w:val="left"/>
            </w:pPr>
            <w:r>
              <w:rPr>
                <w:sz w:val="24"/>
              </w:rPr>
              <w:t>•  SIMF.Api is stateless and holds no in-process session state, so it scales out horizontally behind the load balancer with round-robin distribution. Across nodes SignalR fans out through the SQL Server backplane (owner decision; no Redis).</w:t>
            </w:r>
          </w:p>
          <w:p>
            <w:pPr>
              <w:bidi w:val="0"/>
              <w:spacing w:after="80"/>
              <w:ind w:left="360"/>
              <w:jc w:val="left"/>
            </w:pPr>
            <w:r>
              <w:rPr>
                <w:sz w:val="24"/>
              </w:rPr>
              <w:t>•  SIMF.ControlPanel and SIMF.Web are Blazor server-interactive applications and hold a stateful SignalR circuit per user; if scaled they require load-balancer session affinity (sticky sessions) — without affinity, user circuits break on every request.</w:t>
            </w:r>
          </w:p>
          <w:p>
            <w:pPr>
              <w:bidi w:val="0"/>
              <w:spacing w:after="80"/>
              <w:ind w:left="360"/>
              <w:jc w:val="left"/>
            </w:pPr>
            <w:r>
              <w:rPr>
                <w:sz w:val="24"/>
              </w:rPr>
              <w:t>•  File storage: scaling the API beyond one node requires a shared file store. With node-local storage a file uploaded through one node cannot be read back through another; shared storage is therefore a prerequisite for running more than one node.</w:t>
            </w:r>
          </w:p>
          <w:p>
            <w:pPr>
              <w:bidi w:val="0"/>
              <w:spacing w:after="80"/>
              <w:jc w:val="left"/>
            </w:pPr>
            <w:r>
              <w:rPr>
                <w:b/>
                <w:sz w:val="24"/>
              </w:rPr>
              <w:t xml:space="preserve">Load Balancer (proposed): </w:t>
            </w:r>
            <w:r>
              <w:rPr>
                <w:sz w:val="24"/>
              </w:rPr>
              <w:t>distributes incoming traffic across the frontend and backend nodes to prevent overload and ensure continuous service.</w:t>
            </w:r>
          </w:p>
          <w:p>
            <w:pPr>
              <w:bidi w:val="0"/>
              <w:spacing w:after="80"/>
              <w:ind w:left="360"/>
              <w:jc w:val="left"/>
            </w:pPr>
            <w:r>
              <w:rPr>
                <w:sz w:val="24"/>
              </w:rPr>
              <w:t>•  Health checks continuously monitor node health and route traffic only to operational nodes.</w:t>
            </w:r>
          </w:p>
          <w:p>
            <w:pPr>
              <w:bidi w:val="0"/>
              <w:spacing w:after="80"/>
              <w:ind w:left="360"/>
              <w:jc w:val="left"/>
            </w:pPr>
            <w:r>
              <w:rPr>
                <w:sz w:val="24"/>
              </w:rPr>
              <w:t>•  Failover support automatically reroutes traffic when a node becomes unavailable, maintaining uninterrupted access.</w:t>
            </w:r>
          </w:p>
          <w:p>
            <w:pPr>
              <w:bidi w:val="0"/>
              <w:spacing w:after="80"/>
              <w:ind w:left="360"/>
              <w:jc w:val="left"/>
            </w:pPr>
            <w:r>
              <w:rPr>
                <w:sz w:val="24"/>
              </w:rPr>
              <w:t>•  Scalability: additional nodes can be added without affecting existing operations.</w:t>
            </w:r>
          </w:p>
          <w:p>
            <w:pPr>
              <w:bidi w:val="0"/>
              <w:spacing w:after="80"/>
              <w:jc w:val="left"/>
            </w:pPr>
            <w:r>
              <w:rPr>
                <w:b/>
                <w:sz w:val="24"/>
              </w:rPr>
              <w:t xml:space="preserve">Operational availability: </w:t>
            </w:r>
            <w:r>
              <w:rPr>
                <w:sz w:val="24"/>
              </w:rPr>
              <w:t>/health is a real readiness probe (database reachable, migrations applied) used by the proxy and monitors to pull unhealthy instances out of rotation. Rollback restores the last known-good binaries, re-checks health and re-runs the smoke test. The three forum days are the critical availability window, and an outage during them cannot be rescheduled.</w:t>
            </w:r>
          </w:p>
        </w:tc>
      </w:tr>
      <w:tr w:rsidR="00D60493" w14:paraId="293A4137" w14:textId="77777777" w:rsidTr="00AB5973">
        <w:trPr>
          <w:trHeight w:val="336"/>
        </w:trPr>
        <w:tc>
          <w:tcPr>
            <w:tcW w:w="5000" w:type="pct"/>
            <w:shd w:val="clear" w:color="auto" w:fill="FFFFFF" w:themeFill="background1"/>
            <w:vAlign w:val="center"/>
          </w:tcPr>
          <w:p>
            <w:pPr>
              <w:bidi w:val="0"/>
              <w:spacing w:after="80" w:before="120"/>
              <w:jc w:val="left"/>
            </w:pPr>
            <w:r>
              <w:rPr>
                <w:b/>
                <w:sz w:val="24"/>
              </w:rPr>
              <w:t>Solution Management and Monitoring View</w:t>
            </w:r>
          </w:p>
          <w:p>
            <w:pPr>
              <w:bidi w:val="0"/>
              <w:spacing w:after="80"/>
              <w:jc w:val="left"/>
            </w:pPr>
            <w:r>
              <w:rPr>
                <w:b/>
                <w:sz w:val="24"/>
              </w:rPr>
              <w:t xml:space="preserve">Syslog / SIEM integration: </w:t>
            </w:r>
            <w:r>
              <w:rPr>
                <w:sz w:val="24"/>
              </w:rPr>
              <w:t>a centralised structured logging system (Serilog) collects events from all components — the API, the Control Panel, the website and the database tier. It captures authentication events, authorisation denials, access logs, business actions, rate-limit rejections and system errors. Every event carries a correlation ID for end-to-end tracing, and the system integrates with alerting to notify administrators of critical issues.</w:t>
            </w:r>
          </w:p>
          <w:p>
            <w:pPr>
              <w:bidi w:val="0"/>
              <w:spacing w:after="80"/>
              <w:jc w:val="left"/>
            </w:pPr>
            <w:r>
              <w:rPr>
                <w:b/>
                <w:sz w:val="24"/>
              </w:rPr>
              <w:t xml:space="preserve">Audit trails: </w:t>
            </w:r>
            <w:r>
              <w:rPr>
                <w:sz w:val="24"/>
              </w:rPr>
              <w:t>the OperationLog and RowAudit database trails provide a durable, queryable record of who did what, when, from where and with what outcome — surfaced to administrators through the Control Panel.</w:t>
            </w:r>
          </w:p>
          <w:p>
            <w:pPr>
              <w:bidi w:val="0"/>
              <w:spacing w:after="80"/>
              <w:jc w:val="left"/>
            </w:pPr>
            <w:r>
              <w:rPr>
                <w:b/>
                <w:sz w:val="24"/>
              </w:rPr>
              <w:t xml:space="preserve">Health and performance monitoring: </w:t>
            </w:r>
            <w:r>
              <w:rPr>
                <w:sz w:val="24"/>
              </w:rPr>
              <w:t>the /health endpoint reports readiness. System health metrics (CPU, memory, response time, throughput) and database query performance are monitored to support proactive capacity planning, performance tuning and threshold-based alerting that detects degradation early.</w:t>
            </w:r>
          </w:p>
          <w:p>
            <w:pPr>
              <w:bidi w:val="0"/>
              <w:spacing w:after="80"/>
              <w:jc w:val="left"/>
            </w:pPr>
            <w:r>
              <w:rPr>
                <w:b/>
                <w:sz w:val="24"/>
              </w:rPr>
              <w:t xml:space="preserve">Usage monitoring: </w:t>
            </w:r>
            <w:r>
              <w:rPr>
                <w:sz w:val="24"/>
              </w:rPr>
              <w:t>the Control Panel presents event statistics — registrations and approvals, session attendance, seat bookings, gate scans, engagement and ratings — giving insight into peak usage and supporting operational and strategic decision-making during the forum.</w:t>
            </w:r>
          </w:p>
          <w:p>
            <w:pPr>
              <w:bidi w:val="0"/>
              <w:spacing w:after="80"/>
              <w:jc w:val="left"/>
            </w:pPr>
            <w:r>
              <w:rPr>
                <w:i/>
                <w:color w:val="444444"/>
                <w:sz w:val="22"/>
              </w:rPr>
              <w:t>[OWNER INPUT REQUIRED — the specific monitoring and alerting toolchain is not yet selected and must be fixed with the owner before the production publish.]</w:t>
            </w:r>
          </w:p>
        </w:tc>
      </w:tr>
      <w:tr w:rsidR="00D60493" w14:paraId="609084DF" w14:textId="77777777" w:rsidTr="00AB5973">
        <w:trPr>
          <w:trHeight w:val="336"/>
        </w:trPr>
        <w:tc>
          <w:tcPr>
            <w:tcW w:w="5000" w:type="pct"/>
            <w:shd w:val="clear" w:color="auto" w:fill="FFFFFF" w:themeFill="background1"/>
            <w:vAlign w:val="center"/>
          </w:tcPr>
          <w:p>
            <w:pPr>
              <w:bidi w:val="0"/>
              <w:spacing w:after="80" w:before="120"/>
              <w:jc w:val="left"/>
            </w:pPr>
            <w:r>
              <w:rPr>
                <w:b/>
                <w:sz w:val="24"/>
              </w:rPr>
              <w:t>Solution Sizing and Performance View</w:t>
            </w:r>
          </w:p>
          <w:p>
            <w:pPr>
              <w:bidi w:val="0"/>
              <w:spacing w:after="80"/>
              <w:jc w:val="left"/>
            </w:pPr>
            <w:r>
              <w:rPr>
                <w:b/>
                <w:sz w:val="24"/>
              </w:rPr>
              <w:t xml:space="preserve">System scaling and load handling: </w:t>
            </w:r>
            <w:r>
              <w:rPr>
                <w:sz w:val="24"/>
              </w:rPr>
              <w:t>the platform is built scale-ready so that scaling out is a deployment change rather than a redesign.</w:t>
            </w:r>
          </w:p>
          <w:p>
            <w:pPr>
              <w:bidi w:val="0"/>
              <w:spacing w:after="80"/>
              <w:ind w:left="360"/>
              <w:jc w:val="left"/>
            </w:pPr>
            <w:r>
              <w:rPr>
                <w:sz w:val="24"/>
              </w:rPr>
              <w:t>•  Web tier: SIMF.Web scales horizontally behind the load balancer by adding nodes, with session affinity enabled.</w:t>
            </w:r>
          </w:p>
          <w:p>
            <w:pPr>
              <w:bidi w:val="0"/>
              <w:spacing w:after="80"/>
              <w:ind w:left="360"/>
              <w:jc w:val="left"/>
            </w:pPr>
            <w:r>
              <w:rPr>
                <w:sz w:val="24"/>
              </w:rPr>
              <w:t>•  Backend tier: SIMF.Api is stateless by design, so additional API nodes can be added to absorb registration surges, gate-scan bursts and live-session load without session dependency; SignalR fans out across nodes through the SQL Server backplane (no Redis). The proposed baseline is four API nodes (N+1) at 8 vCPU / 32 GB each — see the §2.1 sizing table.</w:t>
            </w:r>
          </w:p>
          <w:p>
            <w:pPr>
              <w:bidi w:val="0"/>
              <w:spacing w:after="80"/>
              <w:ind w:left="360"/>
              <w:jc w:val="left"/>
            </w:pPr>
            <w:r>
              <w:rPr>
                <w:sz w:val="24"/>
              </w:rPr>
              <w:t>•  Database tier: the production topology runs SQL Server 2022 Enterprise in an AlwaysOn Availability Group — a read-write primary plus one-to-two readable secondaries — so the read-heavy event load scales out on the readable secondaries as well as vertically (more CPU / RAM / faster storage). Development / Test use a single Standard node (decision O-3); the Enterprise escalation is the owner decision recorded in §2.1.</w:t>
            </w:r>
          </w:p>
          <w:p>
            <w:pPr>
              <w:bidi w:val="0"/>
              <w:spacing w:after="80"/>
              <w:jc w:val="left"/>
            </w:pPr>
            <w:r>
              <w:rPr>
                <w:b/>
                <w:sz w:val="24"/>
              </w:rPr>
              <w:t xml:space="preserve">Performance considerations: </w:t>
            </w:r>
            <w:r>
              <w:rPr>
                <w:sz w:val="24"/>
              </w:rPr>
              <w:t>response time and throughput are addressed structurally rather than by tuning alone.</w:t>
            </w:r>
          </w:p>
          <w:p>
            <w:pPr>
              <w:bidi w:val="0"/>
              <w:spacing w:after="80"/>
              <w:ind w:left="360"/>
              <w:jc w:val="left"/>
            </w:pPr>
            <w:r>
              <w:rPr>
                <w:sz w:val="24"/>
              </w:rPr>
              <w:t>•  Queries are indexed and projected; list endpoints page at source (default page size 20, grid cap 200) rather than filtering in memory.</w:t>
            </w:r>
          </w:p>
          <w:p>
            <w:pPr>
              <w:bidi w:val="0"/>
              <w:spacing w:after="80"/>
              <w:ind w:left="360"/>
              <w:jc w:val="left"/>
            </w:pPr>
            <w:r>
              <w:rPr>
                <w:sz w:val="24"/>
              </w:rPr>
              <w:t>•  The API is stateless, so no session store sits on the request path.</w:t>
            </w:r>
          </w:p>
          <w:p>
            <w:pPr>
              <w:bidi w:val="0"/>
              <w:spacing w:after="80"/>
              <w:ind w:left="360"/>
              <w:jc w:val="left"/>
            </w:pPr>
            <w:r>
              <w:rPr>
                <w:sz w:val="24"/>
              </w:rPr>
              <w:t>•  E-mail is queued and dispatched asynchronously, so SMTP latency never blocks a request.</w:t>
            </w:r>
          </w:p>
          <w:p>
            <w:pPr>
              <w:bidi w:val="0"/>
              <w:spacing w:after="80"/>
              <w:ind w:left="360"/>
              <w:jc w:val="left"/>
            </w:pPr>
            <w:r>
              <w:rPr>
                <w:sz w:val="24"/>
              </w:rPr>
              <w:t>•  The intended design uses server push (SignalR) for live notifications and Q&amp;A instead of client polling. As built this layer is not yet wired in and clients poll over REST; closing this gap is outstanding work and is the principal performance risk at event-day concurrency.</w:t>
            </w:r>
          </w:p>
          <w:p>
            <w:pPr>
              <w:bidi w:val="0"/>
              <w:spacing w:after="80"/>
              <w:jc w:val="left"/>
            </w:pPr>
            <w:r>
              <w:rPr>
                <w:b/>
                <w:sz w:val="24"/>
              </w:rPr>
              <w:t xml:space="preserve">Caching strategy: </w:t>
            </w:r>
            <w:r>
              <w:rPr>
                <w:sz w:val="24"/>
              </w:rPr>
              <w:t>reference and configuration data (categories, settings, site content) is cached at the application layer to reduce database load, and static web assets are served with cache headers. No distributed cache is deployed; if load testing shows one is required it is introduced behind the existing abstractions.</w:t>
            </w:r>
          </w:p>
          <w:p>
            <w:pPr>
              <w:bidi w:val="0"/>
              <w:spacing w:after="80"/>
              <w:jc w:val="left"/>
            </w:pPr>
            <w:r>
              <w:rPr>
                <w:b/>
                <w:sz w:val="24"/>
              </w:rPr>
              <w:t xml:space="preserve">Monitoring and auto-scaling: </w:t>
            </w:r>
            <w:r>
              <w:rPr>
                <w:sz w:val="24"/>
              </w:rPr>
              <w:t>peak-shaped load tests are planned for staging, covering registration surge, live-session concurrency, scan bursts, notification fan-out and mixed steady state. Performance dashboards track system metrics so thresholds can trigger scaling action during peak usage.</w:t>
            </w:r>
          </w:p>
          <w:p>
            <w:pPr>
              <w:bidi w:val="0"/>
              <w:spacing w:after="80"/>
              <w:jc w:val="left"/>
            </w:pPr>
            <w:r>
              <w:rPr>
                <w:i/>
                <w:color w:val="444444"/>
                <w:sz w:val="22"/>
              </w:rPr>
              <w:t>[OWNER INPUT REQUIRED — specific load-test pass/fail thresholds (p95 response time, error rate, concurrent sessions, throughput) are not yet set and must be agreed with the owner before the production publish.]</w:t>
            </w:r>
          </w:p>
        </w:tc>
      </w:tr>
      <w:tr w:rsidR="00D60493" w14:paraId="5B63EDCF" w14:textId="77777777" w:rsidTr="00AB5973">
        <w:trPr>
          <w:trHeight w:val="336"/>
        </w:trPr>
        <w:tc>
          <w:tcPr>
            <w:tcW w:w="5000" w:type="pct"/>
            <w:shd w:val="clear" w:color="auto" w:fill="29504D"/>
            <w:vAlign w:val="center"/>
          </w:tcPr>
          <w:p w14:paraId="23464F7B"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7786801C" w14:textId="77777777" w:rsidTr="00AB5973">
        <w:trPr>
          <w:trHeight w:val="336"/>
        </w:trPr>
        <w:tc>
          <w:tcPr>
            <w:tcW w:w="5000" w:type="pct"/>
            <w:shd w:val="clear" w:color="auto" w:fill="FFFFFF" w:themeFill="background1"/>
            <w:vAlign w:val="center"/>
          </w:tcPr>
          <w:p w14:paraId="23A70D05"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5AAB4518"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49E68081" w14:textId="77777777" w:rsidTr="00AB5973">
        <w:trPr>
          <w:trHeight w:val="336"/>
        </w:trPr>
        <w:tc>
          <w:tcPr>
            <w:tcW w:w="5000" w:type="pct"/>
            <w:shd w:val="clear" w:color="auto" w:fill="FFFFFF" w:themeFill="background1"/>
            <w:vAlign w:val="center"/>
          </w:tcPr>
          <w:p>
            <w:pPr>
              <w:bidi w:val="0"/>
              <w:spacing w:after="80" w:before="120"/>
              <w:jc w:val="left"/>
            </w:pPr>
            <w:r>
              <w:rPr>
                <w:b/>
                <w:sz w:val="24"/>
              </w:rPr>
              <w:t>Security Risk</w:t>
            </w:r>
          </w:p>
          <w:p>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pPr>
              <w:bidi w:val="0"/>
              <w:spacing w:after="80"/>
              <w:jc w:val="left"/>
            </w:pPr>
            <w:r>
              <w:rPr>
                <w:b/>
                <w:sz w:val="24"/>
              </w:rPr>
              <w:t xml:space="preserve">Mitigation Strategies: </w:t>
            </w:r>
            <w:r>
              <w:rPr>
                <w:sz w:val="24"/>
              </w:rPr>
              <w:t>per-page / per-action permission gating enforced on both the API and the Control Panel, with build-time tests that fail the build if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pPr>
              <w:bidi w:val="0"/>
              <w:spacing w:after="80"/>
              <w:jc w:val="left"/>
            </w:pPr>
            <w:r>
              <w:rPr>
                <w:i/>
                <w:color w:val="444444"/>
                <w:sz w:val="22"/>
              </w:rPr>
              <w:t>Outstanding: the secrets present in development configuration history must be rotated, a CA-signed certificate must replace the self-signed certificate, and the mobile development TLS bypass must be removed. These are owner / operations actions and remain open.</w:t>
            </w:r>
          </w:p>
          <w:p>
            <w:pPr>
              <w:bidi w:val="0"/>
              <w:spacing w:after="80" w:before="120"/>
              <w:jc w:val="left"/>
            </w:pPr>
            <w:r>
              <w:rPr>
                <w:b/>
                <w:sz w:val="24"/>
              </w:rPr>
              <w:t>Availability Risk (event day)</w:t>
            </w:r>
          </w:p>
          <w:p>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pPr>
              <w:bidi w:val="0"/>
              <w:spacing w:after="80"/>
              <w:jc w:val="left"/>
            </w:pPr>
            <w:r>
              <w:rPr>
                <w:b/>
                <w:sz w:val="24"/>
              </w:rPr>
              <w:t xml:space="preserve">Mitigation Strategies: </w:t>
            </w:r>
            <w:r>
              <w:rPr>
                <w:sz w:val="24"/>
              </w:rPr>
              <w:t>the proposed event-day scale-out (SIMF-SAD-001 §A.3) — a WAF + load balancer (HA pair), a multi-instance stateless API tier (SIMF.Api ×4) with the SignalR SQL backplane, and SQL Server 2022 Enterprise in an AlwaysOn Availability Group (primary + readable secondaries) for high availability and read scale-out. A real readiness probe at /health so unhealthy nodes are pulled from rotation. Last known-good binaries retained for rollback. Peak-shaped load testing (the ≈ 30,000-concurrent target) in staging before the event.</w:t>
            </w:r>
          </w:p>
          <w:p>
            <w:pPr>
              <w:bidi w:val="0"/>
              <w:spacing w:after="80"/>
              <w:jc w:val="left"/>
            </w:pPr>
            <w:r>
              <w:rPr>
                <w:i/>
                <w:color w:val="444444"/>
                <w:sz w:val="22"/>
              </w:rPr>
              <w:t>Prerequisites for scale-out: session affinity for the Blazor server-interactive applications, a shared clustered file store, and the SQL Server SignalR backplane. Without them, adding a second node degrades availability rather than improving it.</w:t>
            </w:r>
          </w:p>
          <w:p>
            <w:pPr>
              <w:bidi w:val="0"/>
              <w:spacing w:after="80" w:before="120"/>
              <w:jc w:val="left"/>
            </w:pPr>
            <w:r>
              <w:rPr>
                <w:b/>
                <w:sz w:val="24"/>
              </w:rPr>
              <w:t>Scalability and Performance Risk</w:t>
            </w:r>
          </w:p>
          <w:p>
            <w:pPr>
              <w:bidi w:val="0"/>
              <w:spacing w:after="80"/>
              <w:jc w:val="left"/>
            </w:pPr>
            <w:r>
              <w:rPr>
                <w:b/>
                <w:sz w:val="24"/>
              </w:rPr>
              <w:t xml:space="preserve">Potential Impact: </w:t>
            </w:r>
            <w:r>
              <w:rPr>
                <w:sz w:val="24"/>
              </w:rPr>
              <w:t>performance degradation at peak. The intended SignalR push layer is not yet implemented, so clients poll over REST, which multiplies read load during live sessions. Resource exhaustion could lead to slow response times or downtime.</w:t>
            </w:r>
          </w:p>
          <w:p>
            <w:pPr>
              <w:bidi w:val="0"/>
              <w:spacing w:after="80"/>
              <w:jc w:val="left"/>
            </w:pPr>
            <w:r>
              <w:rPr>
                <w:b/>
                <w:sz w:val="24"/>
              </w:rPr>
              <w:t xml:space="preserve">Mitigation Strategies: </w:t>
            </w:r>
            <w:r>
              <w:rPr>
                <w:sz w:val="24"/>
              </w:rPr>
              <w:t>a stateless API tier for horizontal scale-out; indexed, projected and server-paged queries; asynchronous e-mail dispatch; application-layer caching of reference data. Implement the SignalR push layer before the event. Load-test to peak shapes in staging and set thresholds; monitor via dashboards and scale on usage thresholds.</w:t>
            </w:r>
          </w:p>
          <w:p>
            <w:pPr>
              <w:bidi w:val="0"/>
              <w:spacing w:after="80"/>
              <w:jc w:val="left"/>
            </w:pPr>
            <w:r>
              <w:rPr>
                <w:i/>
                <w:color w:val="444444"/>
                <w:sz w:val="22"/>
              </w:rPr>
              <w:t>[OWNER INPUT REQUIRED] Concurrent-session and throughput targets and load-test pass / fail thresholds are not yet agreed.</w:t>
            </w:r>
          </w:p>
          <w:p>
            <w:pPr>
              <w:bidi w:val="0"/>
              <w:spacing w:after="80" w:before="120"/>
              <w:jc w:val="left"/>
            </w:pPr>
            <w:r>
              <w:rPr>
                <w:b/>
                <w:sz w:val="24"/>
              </w:rPr>
              <w:t>Integration Risk</w:t>
            </w:r>
          </w:p>
          <w:p>
            <w:pPr>
              <w:bidi w:val="0"/>
              <w:spacing w:after="80"/>
              <w:jc w:val="left"/>
            </w:pPr>
            <w:r>
              <w:rPr>
                <w:b/>
                <w:sz w:val="24"/>
              </w:rPr>
              <w:t xml:space="preserve">Potential Impact: </w:t>
            </w:r>
            <w:r>
              <w:rPr>
                <w:sz w:val="24"/>
              </w:rPr>
              <w:t>the AI features (session summaries, comment filtering) and the caption import depend on outbound internet access. If egress is not approved those features do not operate. Provider API changes or outages could break the feature, and misconfigured egress could widen the attack surface.</w:t>
            </w:r>
          </w:p>
          <w:p>
            <w:pPr>
              <w:bidi w:val="0"/>
              <w:spacing w:after="80"/>
              <w:jc w:val="left"/>
            </w:pPr>
            <w:r>
              <w:rPr>
                <w:b/>
                <w:sz w:val="24"/>
              </w:rPr>
              <w:t xml:space="preserve">Mitigation Strategies: </w:t>
            </w:r>
            <w:r>
              <w:rPr>
                <w:sz w:val="24"/>
              </w:rPr>
              <w:t>the AI provider is consumed through an abstraction and selected by configuration, so it can be swapped without a code change. All egress is funnelled through the single controlled egress point with a host allow-list, keeping the egress surface auditable and reviewable against the NCA egress posture. Caption import fails gracefully — administrators can paste or upload a transcript — so no feature is hard-blocked. Every AI invocation is logged and rate-limited per administrator. All integration points, hosts, protocols and ports are documented in the Communication Requirements Matrix (§2.8).</w:t>
            </w:r>
          </w:p>
          <w:p>
            <w:pPr>
              <w:bidi w:val="0"/>
              <w:spacing w:after="80"/>
              <w:jc w:val="left"/>
            </w:pPr>
            <w:r>
              <w:rPr>
                <w:i/>
                <w:color w:val="444444"/>
                <w:sz w:val="22"/>
              </w:rPr>
              <w:t>[OWNER DECISION REQUIRED] Outbound egress to the AI provider and the YouTube caption hosts requires owner / infrastructure approval.</w:t>
            </w:r>
          </w:p>
          <w:p>
            <w:pPr>
              <w:bidi w:val="0"/>
              <w:spacing w:after="80" w:before="120"/>
              <w:jc w:val="left"/>
            </w:pPr>
            <w:r>
              <w:rPr>
                <w:b/>
                <w:sz w:val="24"/>
              </w:rPr>
              <w:t>Schedule and Change-Freeze Risk</w:t>
            </w:r>
          </w:p>
          <w:p>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pPr>
              <w:bidi w:val="0"/>
              <w:spacing w:after="80"/>
              <w:jc w:val="left"/>
            </w:pPr>
            <w:r>
              <w:rPr>
                <w:b/>
                <w:sz w:val="24"/>
              </w:rPr>
              <w:t xml:space="preserve">Mitigation Strategies: </w:t>
            </w:r>
            <w:r>
              <w:rPr>
                <w:sz w:val="24"/>
              </w:rPr>
              <w:t>four-stage promotion (Development → Test → Staging → Production) with no skipping, where a failing gate stops promotion. Trunk-based development with pull-request review, a zero-warnings Release build, and unit, integration and end-to-end test gates in the pipeline. A per-page end-to-end test-case catalogue is maintained as executable regression proof. Dependency vulnerability scanning and SBOM generation run in the pipeline.</w:t>
            </w:r>
          </w:p>
          <w:p>
            <w:pPr>
              <w:bidi w:val="0"/>
              <w:spacing w:after="80" w:before="120"/>
              <w:jc w:val="left"/>
            </w:pPr>
            <w:r>
              <w:rPr>
                <w:b/>
                <w:sz w:val="24"/>
              </w:rPr>
              <w:t>Data Integrity and Compliance Risk</w:t>
            </w:r>
          </w:p>
          <w:p>
            <w:pPr>
              <w:bidi w:val="0"/>
              <w:spacing w:after="80"/>
              <w:jc w:val="left"/>
            </w:pPr>
            <w:r>
              <w:rPr>
                <w:b/>
                <w:sz w:val="24"/>
              </w:rPr>
              <w:t xml:space="preserve">Potential Impact: </w:t>
            </w:r>
            <w:r>
              <w:rPr>
                <w:sz w:val="24"/>
              </w:rPr>
              <w:t>loss or corruption of attendee, booking or scan data; inability to evidence who changed what for a compliance audit.</w:t>
            </w:r>
          </w:p>
          <w:p>
            <w:pPr>
              <w:bidi w:val="0"/>
              <w:spacing w:after="80"/>
              <w:jc w:val="left"/>
            </w:pPr>
            <w:r>
              <w:rPr>
                <w:b/>
                <w:sz w:val="24"/>
              </w:rPr>
              <w:t xml:space="preserve">Mitigation Strategies: </w:t>
            </w:r>
            <w:r>
              <w:rPr>
                <w:sz w:val="24"/>
              </w:rPr>
              <w:t>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Every row change is captured in RowAudit with before / after images, and security-relevant events in OperationLog; both trails are append-only and carry actor, source IP and correlation ID. The persistence and enum contract surface is under a change freeze with controlled additive lifts.</w:t>
            </w:r>
          </w:p>
        </w:tc>
      </w:tr>
    </w:tbl>
    <w:p w14:paraId="61BFEBEA" w14:textId="77777777" w:rsidR="00D60493" w:rsidRDefault="00D60493" w:rsidP="00D60493">
      <w:pPr>
        <w:tabs>
          <w:tab w:val="left" w:pos="2170"/>
          <w:tab w:val="right" w:pos="9360"/>
        </w:tabs>
        <w:bidi w:val="0"/>
        <w:rPr>
          <w:rtl/>
        </w:rPr>
      </w:pPr>
    </w:p>
    <w:bookmarkEnd w:id="0"/>
    <w:bookmarkEnd w:id="1"/>
    <w:p w14:paraId="7142D6DA" w14:textId="2C396CD9" w:rsidR="005569FB" w:rsidRDefault="005569FB" w:rsidP="00F03FED">
      <w:pPr>
        <w:tabs>
          <w:tab w:val="left" w:pos="2170"/>
        </w:tabs>
      </w:pPr>
    </w:p>
    <w:p w14:paraId="472F34AE" w14:textId="77777777" w:rsidR="00444983" w:rsidRDefault="00444983" w:rsidP="00F03FED">
      <w:pPr>
        <w:tabs>
          <w:tab w:val="left" w:pos="2170"/>
        </w:tabs>
      </w:pPr>
    </w:p>
    <w:p w14:paraId="4A8F5D7A" w14:textId="77777777" w:rsidR="00444983" w:rsidRDefault="00444983" w:rsidP="00F03FED">
      <w:pPr>
        <w:tabs>
          <w:tab w:val="left" w:pos="2170"/>
        </w:tabs>
      </w:pPr>
    </w:p>
    <w:p w14:paraId="5C36B814" w14:textId="77777777" w:rsidR="00444983" w:rsidRDefault="00444983" w:rsidP="00F03FED">
      <w:pPr>
        <w:tabs>
          <w:tab w:val="left" w:pos="2170"/>
        </w:tabs>
      </w:pPr>
    </w:p>
    <w:p w14:paraId="61B7095F" w14:textId="77777777" w:rsidR="00444983" w:rsidRDefault="00444983" w:rsidP="00F03FED">
      <w:pPr>
        <w:tabs>
          <w:tab w:val="left" w:pos="2170"/>
        </w:tabs>
      </w:pPr>
    </w:p>
    <w:p w14:paraId="6EECA70C" w14:textId="77777777" w:rsidR="00444983" w:rsidRDefault="00444983" w:rsidP="00F03FED">
      <w:pPr>
        <w:tabs>
          <w:tab w:val="left" w:pos="2170"/>
        </w:tabs>
      </w:pPr>
    </w:p>
    <w:p w14:paraId="0812F604" w14:textId="77777777" w:rsidR="00444983" w:rsidRDefault="00444983" w:rsidP="00F03FED">
      <w:pPr>
        <w:tabs>
          <w:tab w:val="left" w:pos="2170"/>
        </w:tabs>
      </w:pPr>
    </w:p>
    <w:p w14:paraId="4658BA75" w14:textId="77777777" w:rsidR="00444983" w:rsidRDefault="00444983" w:rsidP="00F03FED">
      <w:pPr>
        <w:tabs>
          <w:tab w:val="left" w:pos="2170"/>
        </w:tabs>
      </w:pPr>
    </w:p>
    <w:p w14:paraId="77DFE5D7" w14:textId="77777777" w:rsidR="00444983" w:rsidRDefault="00444983" w:rsidP="00F03FED">
      <w:pPr>
        <w:tabs>
          <w:tab w:val="left" w:pos="2170"/>
        </w:tabs>
      </w:pPr>
    </w:p>
    <w:p w14:paraId="752DBED4" w14:textId="77777777" w:rsidR="00444983" w:rsidRDefault="00444983" w:rsidP="00F03FED">
      <w:pPr>
        <w:tabs>
          <w:tab w:val="left" w:pos="2170"/>
        </w:tabs>
        <w:rPr>
          <w:rtl/>
        </w:rPr>
      </w:pP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4B4ABF7D" w14:textId="77777777" w:rsidTr="005569FB">
        <w:tc>
          <w:tcPr>
            <w:tcW w:w="9675" w:type="dxa"/>
            <w:gridSpan w:val="2"/>
            <w:tcBorders>
              <w:top w:val="single" w:sz="4" w:space="0" w:color="auto"/>
              <w:left w:val="nil"/>
              <w:bottom w:val="nil"/>
              <w:right w:val="nil"/>
            </w:tcBorders>
            <w:vAlign w:val="center"/>
          </w:tcPr>
          <w:p w14:paraId="4A6CCD3F"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754E9BE6" w14:textId="77777777" w:rsidTr="005569FB">
              <w:tc>
                <w:tcPr>
                  <w:tcW w:w="9449" w:type="dxa"/>
                  <w:shd w:val="clear" w:color="auto" w:fill="00A05A"/>
                </w:tcPr>
                <w:p w14:paraId="4B0AB856" w14:textId="77777777" w:rsidR="005569FB" w:rsidRPr="00D67F94" w:rsidRDefault="005569FB" w:rsidP="00431C44">
                  <w:pPr>
                    <w:framePr w:hSpace="180" w:wrap="around" w:vAnchor="page" w:hAnchor="margin" w:y="3799"/>
                    <w:spacing w:before="40" w:after="40"/>
                    <w:jc w:val="center"/>
                    <w:rPr>
                      <w:rFonts w:asciiTheme="minorHAnsi" w:hAnsiTheme="minorHAnsi" w:cstheme="minorHAnsi"/>
                      <w:bCs/>
                      <w:szCs w:val="32"/>
                      <w:lang w:val="en-US"/>
                    </w:rPr>
                  </w:pPr>
                  <w:bookmarkStart w:id="3" w:name="_Hlk136203427"/>
                  <w:r w:rsidRPr="00D67F94">
                    <w:rPr>
                      <w:rFonts w:asciiTheme="minorHAnsi" w:hAnsiTheme="minorHAnsi" w:cstheme="minorHAnsi"/>
                      <w:b/>
                      <w:color w:val="FFFFFF" w:themeColor="background1"/>
                      <w:szCs w:val="32"/>
                    </w:rPr>
                    <w:t>Approvals</w:t>
                  </w:r>
                </w:p>
              </w:tc>
            </w:tr>
            <w:bookmarkEnd w:id="3"/>
          </w:tbl>
          <w:p w14:paraId="63BFAC88"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13785444" w14:textId="77777777" w:rsidTr="005569FB">
        <w:trPr>
          <w:trHeight w:val="698"/>
        </w:trPr>
        <w:tc>
          <w:tcPr>
            <w:tcW w:w="6813" w:type="dxa"/>
            <w:tcBorders>
              <w:top w:val="nil"/>
              <w:left w:val="nil"/>
              <w:bottom w:val="nil"/>
              <w:right w:val="nil"/>
            </w:tcBorders>
            <w:vAlign w:val="bottom"/>
          </w:tcPr>
          <w:p w14:paraId="0DA0EF56"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720A704F" w14:textId="79C1F2AB"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15837E23"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708ACCDE" w14:textId="77777777" w:rsidR="005569FB" w:rsidRPr="00A271D8" w:rsidRDefault="005569FB" w:rsidP="005569FB">
            <w:pPr>
              <w:spacing w:before="40" w:after="40"/>
              <w:jc w:val="right"/>
              <w:rPr>
                <w:rFonts w:asciiTheme="minorHAnsi" w:hAnsiTheme="minorHAnsi" w:cstheme="minorHAnsi"/>
                <w:sz w:val="24"/>
                <w:szCs w:val="24"/>
              </w:rPr>
            </w:pPr>
          </w:p>
          <w:p w14:paraId="17E25DC8" w14:textId="77777777" w:rsidR="005569FB" w:rsidRPr="00A271D8" w:rsidRDefault="005569FB" w:rsidP="005569FB">
            <w:pPr>
              <w:spacing w:before="40" w:after="40"/>
              <w:jc w:val="right"/>
              <w:rPr>
                <w:rFonts w:asciiTheme="minorHAnsi" w:hAnsiTheme="minorHAnsi" w:cstheme="minorHAnsi"/>
                <w:sz w:val="24"/>
                <w:szCs w:val="24"/>
              </w:rPr>
            </w:pPr>
          </w:p>
          <w:p w14:paraId="62348251"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C1CAE66" w14:textId="77777777" w:rsidTr="005569FB">
        <w:trPr>
          <w:trHeight w:val="698"/>
        </w:trPr>
        <w:tc>
          <w:tcPr>
            <w:tcW w:w="6813" w:type="dxa"/>
            <w:tcBorders>
              <w:top w:val="nil"/>
              <w:left w:val="nil"/>
              <w:bottom w:val="nil"/>
              <w:right w:val="nil"/>
            </w:tcBorders>
            <w:vAlign w:val="center"/>
          </w:tcPr>
          <w:p w14:paraId="0A456B54"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243338F4"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625A49F3" w14:textId="77777777" w:rsidTr="005569FB">
        <w:trPr>
          <w:trHeight w:val="698"/>
        </w:trPr>
        <w:tc>
          <w:tcPr>
            <w:tcW w:w="6813" w:type="dxa"/>
            <w:tcBorders>
              <w:top w:val="nil"/>
              <w:left w:val="nil"/>
              <w:bottom w:val="nil"/>
              <w:right w:val="nil"/>
            </w:tcBorders>
            <w:vAlign w:val="bottom"/>
          </w:tcPr>
          <w:p w14:paraId="730C33BF" w14:textId="402A00E6"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362A29A9" w14:textId="4710A26C"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0A8D1B3B"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20BB49F7" w14:textId="77777777" w:rsidTr="005569FB">
        <w:trPr>
          <w:trHeight w:val="698"/>
        </w:trPr>
        <w:tc>
          <w:tcPr>
            <w:tcW w:w="6813" w:type="dxa"/>
            <w:tcBorders>
              <w:top w:val="nil"/>
              <w:left w:val="nil"/>
              <w:bottom w:val="nil"/>
              <w:right w:val="nil"/>
            </w:tcBorders>
            <w:vAlign w:val="bottom"/>
          </w:tcPr>
          <w:p w14:paraId="3CD3CCDD"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24670F1B"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386FB506" w14:textId="77777777" w:rsidTr="005569FB">
        <w:trPr>
          <w:trHeight w:val="698"/>
        </w:trPr>
        <w:tc>
          <w:tcPr>
            <w:tcW w:w="6813" w:type="dxa"/>
            <w:tcBorders>
              <w:top w:val="nil"/>
              <w:left w:val="nil"/>
              <w:bottom w:val="nil"/>
              <w:right w:val="nil"/>
            </w:tcBorders>
            <w:vAlign w:val="bottom"/>
          </w:tcPr>
          <w:p w14:paraId="4C114353" w14:textId="6931CD23"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4D50A2A4" w14:textId="77777777" w:rsidR="005569FB" w:rsidRPr="00A271D8" w:rsidRDefault="005569FB" w:rsidP="00782F9E">
            <w:pPr>
              <w:jc w:val="right"/>
              <w:rPr>
                <w:rFonts w:asciiTheme="minorHAnsi" w:hAnsiTheme="minorHAnsi" w:cstheme="minorHAnsi"/>
                <w:b/>
                <w:bCs/>
                <w:sz w:val="24"/>
                <w:szCs w:val="24"/>
              </w:rPr>
            </w:pPr>
          </w:p>
          <w:p w14:paraId="297C3F1A" w14:textId="31C88CE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1E8D93E7"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321179DB" w14:textId="77777777" w:rsidR="005569FB" w:rsidRDefault="005569FB" w:rsidP="00F03FED">
      <w:pPr>
        <w:tabs>
          <w:tab w:val="left" w:pos="2170"/>
        </w:tabs>
        <w:rPr>
          <w:rtl/>
        </w:rPr>
      </w:pPr>
    </w:p>
    <w:sectPr w:rsidR="005569FB" w:rsidSect="00E453E8">
      <w:headerReference w:type="even" r:id="rId9"/>
      <w:headerReference w:type="default" r:id="rId10"/>
      <w:footerReference w:type="default" r:id="rId11"/>
      <w:headerReference w:type="first" r:id="rId12"/>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AEA72E3" w14:textId="77777777" w:rsidR="00297A47" w:rsidRDefault="00297A47" w:rsidP="005C18CF">
      <w:pPr>
        <w:spacing w:after="0" w:line="240" w:lineRule="auto"/>
      </w:pPr>
      <w:r>
        <w:separator/>
      </w:r>
    </w:p>
  </w:endnote>
  <w:endnote w:type="continuationSeparator" w:id="0">
    <w:p w14:paraId="782814CC" w14:textId="77777777" w:rsidR="00297A47" w:rsidRDefault="00297A47"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heme="minorHAnsi" w:hAnsiTheme="minorHAnsi" w:cstheme="minorHAnsi"/>
        <w:sz w:val="22"/>
        <w:szCs w:val="22"/>
        <w:rtl/>
      </w:rPr>
      <w:id w:val="784084104"/>
      <w:docPartObj>
        <w:docPartGallery w:val="Page Numbers (Bottom of Page)"/>
        <w:docPartUnique/>
      </w:docPartObj>
    </w:sdtPr>
    <w:sdtEndPr/>
    <w:sdtContent>
      <w:p w14:paraId="74FE4BC8" w14:textId="675733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4E774F77"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F0E008" w14:textId="77777777" w:rsidR="00297A47" w:rsidRDefault="00297A47" w:rsidP="005C18CF">
      <w:pPr>
        <w:spacing w:after="0" w:line="240" w:lineRule="auto"/>
      </w:pPr>
      <w:r>
        <w:separator/>
      </w:r>
    </w:p>
  </w:footnote>
  <w:footnote w:type="continuationSeparator" w:id="0">
    <w:p w14:paraId="2CBFC1C1" w14:textId="77777777" w:rsidR="00297A47" w:rsidRDefault="00297A47"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009495" w14:textId="303DA396"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576287" w14:textId="1A503A65"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74943A79" w14:textId="5EEB2749"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56FD370C" w14:textId="77777777" w:rsidTr="00C41FB5">
      <w:trPr>
        <w:trHeight w:val="64"/>
      </w:trPr>
      <w:tc>
        <w:tcPr>
          <w:tcW w:w="1502" w:type="pct"/>
          <w:shd w:val="clear" w:color="auto" w:fill="FFFFFF" w:themeFill="background1"/>
          <w:vAlign w:val="center"/>
        </w:tcPr>
        <w:p w14:paraId="35D9FF96"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06/08/1444هـ</w:t>
          </w:r>
        </w:p>
      </w:tc>
      <w:tc>
        <w:tcPr>
          <w:tcW w:w="863" w:type="pct"/>
          <w:vMerge w:val="restart"/>
          <w:shd w:val="clear" w:color="auto" w:fill="00A05A"/>
          <w:vAlign w:val="center"/>
        </w:tcPr>
        <w:p w14:paraId="072EF324"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2F3250CB"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385255BC"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1"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49AFECE8" w14:textId="44784563"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7D20516D"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5BE0B7EF"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6D45F9D4" w14:textId="77777777" w:rsidTr="00C41FB5">
      <w:trPr>
        <w:trHeight w:val="310"/>
      </w:trPr>
      <w:tc>
        <w:tcPr>
          <w:tcW w:w="1502" w:type="pct"/>
          <w:shd w:val="clear" w:color="auto" w:fill="FFFFFF" w:themeFill="background1"/>
          <w:vAlign w:val="center"/>
        </w:tcPr>
        <w:p w14:paraId="4B359E6D" w14:textId="60458D7E"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26/0</w:t>
          </w:r>
          <w:r w:rsidR="00B103F0" w:rsidRPr="00950F12">
            <w:rPr>
              <w:rFonts w:asciiTheme="minorHAnsi" w:hAnsiTheme="minorHAnsi" w:cstheme="minorHAnsi"/>
              <w:sz w:val="20"/>
              <w:szCs w:val="20"/>
              <w:rtl/>
            </w:rPr>
            <w:t>3</w:t>
          </w:r>
          <w:r w:rsidRPr="00950F12">
            <w:rPr>
              <w:rFonts w:asciiTheme="minorHAnsi" w:hAnsiTheme="minorHAnsi" w:cstheme="minorHAnsi"/>
              <w:sz w:val="20"/>
              <w:szCs w:val="20"/>
              <w:rtl/>
            </w:rPr>
            <w:t>/2023م</w:t>
          </w:r>
        </w:p>
      </w:tc>
      <w:tc>
        <w:tcPr>
          <w:tcW w:w="863" w:type="pct"/>
          <w:vMerge/>
          <w:shd w:val="clear" w:color="auto" w:fill="00A05A"/>
          <w:vAlign w:val="center"/>
        </w:tcPr>
        <w:p w14:paraId="630B97FC"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4ED276F6"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7B2AA217"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2D994DAF"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4496E5B0" w14:textId="77777777" w:rsidTr="00C41FB5">
      <w:trPr>
        <w:trHeight w:val="526"/>
      </w:trPr>
      <w:tc>
        <w:tcPr>
          <w:tcW w:w="1502" w:type="pct"/>
          <w:shd w:val="clear" w:color="auto" w:fill="FFFFFF" w:themeFill="background1"/>
          <w:vAlign w:val="center"/>
        </w:tcPr>
        <w:p w14:paraId="308E3041"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59DDF95D"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33B45720"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287F4782"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5E71ABF"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7DF9E707"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7720E8FB"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08D4E3CB" w14:textId="77777777" w:rsidTr="00C41FB5">
      <w:trPr>
        <w:trHeight w:val="1084"/>
      </w:trPr>
      <w:tc>
        <w:tcPr>
          <w:tcW w:w="1502" w:type="pct"/>
          <w:shd w:val="clear" w:color="auto" w:fill="FFFFFF" w:themeFill="background1"/>
          <w:vAlign w:val="center"/>
        </w:tcPr>
        <w:p w14:paraId="6BF65831"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64A24609"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4065B963"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1985D6F2"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E93BC6F" w14:textId="77777777" w:rsidR="00353A28" w:rsidRPr="00950F12" w:rsidRDefault="00353A28" w:rsidP="00353A28">
          <w:pPr>
            <w:jc w:val="center"/>
            <w:rPr>
              <w:rFonts w:asciiTheme="minorHAnsi" w:hAnsiTheme="minorHAnsi" w:cstheme="minorHAnsi"/>
              <w:sz w:val="20"/>
              <w:szCs w:val="20"/>
              <w:rtl/>
            </w:rPr>
          </w:pPr>
          <w:r w:rsidRPr="00950F12">
            <w:rPr>
              <w:rFonts w:asciiTheme="minorHAnsi" w:hAnsiTheme="minorHAnsi" w:cstheme="minorHAnsi"/>
              <w:sz w:val="20"/>
              <w:szCs w:val="20"/>
              <w:rtl/>
            </w:rPr>
            <w:t>وكالة الوزارة لخدمات التميز</w:t>
          </w:r>
        </w:p>
        <w:p w14:paraId="44B0C2D8" w14:textId="77777777" w:rsidR="00353A28" w:rsidRPr="00950F12" w:rsidRDefault="00353A28" w:rsidP="00353A28">
          <w:pPr>
            <w:jc w:val="center"/>
            <w:rPr>
              <w:rFonts w:asciiTheme="minorHAnsi" w:hAnsiTheme="minorHAnsi" w:cstheme="minorHAnsi"/>
              <w:sz w:val="20"/>
              <w:szCs w:val="20"/>
              <w:rtl/>
            </w:rPr>
          </w:pPr>
          <w:r w:rsidRPr="00950F12">
            <w:rPr>
              <w:rFonts w:asciiTheme="minorHAnsi" w:hAnsiTheme="minorHAnsi" w:cstheme="minorHAnsi"/>
              <w:sz w:val="20"/>
              <w:szCs w:val="20"/>
              <w:rtl/>
            </w:rPr>
            <w:t>الإدارة العامة لتقنية المعلومات</w:t>
          </w:r>
        </w:p>
        <w:p w14:paraId="4C2FAE1D" w14:textId="77777777" w:rsidR="00353A28" w:rsidRPr="00950F12" w:rsidRDefault="00353A28" w:rsidP="00353A28">
          <w:pPr>
            <w:jc w:val="center"/>
            <w:rPr>
              <w:rFonts w:asciiTheme="minorHAnsi" w:hAnsiTheme="minorHAnsi" w:cstheme="minorHAnsi"/>
              <w:sz w:val="20"/>
              <w:szCs w:val="20"/>
              <w:rtl/>
            </w:rPr>
          </w:pPr>
          <w:r w:rsidRPr="00950F12">
            <w:rPr>
              <w:rFonts w:asciiTheme="minorHAnsi" w:hAnsiTheme="minorHAnsi" w:cstheme="minorHAnsi"/>
              <w:sz w:val="20"/>
              <w:szCs w:val="20"/>
              <w:rtl/>
            </w:rPr>
            <w:t>إدارة التقنية</w:t>
          </w:r>
        </w:p>
        <w:p w14:paraId="5C37599D" w14:textId="77777777" w:rsidR="00353A28" w:rsidRPr="00950F12" w:rsidRDefault="00353A28" w:rsidP="00353A28">
          <w:pPr>
            <w:jc w:val="center"/>
            <w:rPr>
              <w:rFonts w:asciiTheme="minorHAnsi" w:hAnsiTheme="minorHAnsi" w:cstheme="minorHAnsi"/>
              <w:sz w:val="20"/>
              <w:szCs w:val="20"/>
              <w:rtl/>
            </w:rPr>
          </w:pPr>
          <w:r w:rsidRPr="00950F12">
            <w:rPr>
              <w:rFonts w:asciiTheme="minorHAnsi" w:hAnsiTheme="minorHAnsi" w:cstheme="minorHAnsi"/>
              <w:sz w:val="20"/>
              <w:szCs w:val="20"/>
              <w:rtl/>
            </w:rPr>
            <w:t>(273)</w:t>
          </w:r>
        </w:p>
      </w:tc>
      <w:tc>
        <w:tcPr>
          <w:tcW w:w="992" w:type="pct"/>
          <w:shd w:val="clear" w:color="auto" w:fill="00A05A"/>
          <w:vAlign w:val="center"/>
        </w:tcPr>
        <w:p w14:paraId="5275B606"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7E4EF355" w14:textId="77777777" w:rsidR="00353A28" w:rsidRDefault="00353A28" w:rsidP="00E453E8">
    <w:pPr>
      <w:pStyle w:val="Header"/>
      <w:rPr>
        <w:rFonts w:asciiTheme="minorBidi" w:hAnsiTheme="minorBidi" w:cstheme="minorBidi"/>
        <w:sz w:val="10"/>
        <w:szCs w:val="10"/>
        <w:lang w:val="en-GB"/>
      </w:rPr>
    </w:pPr>
  </w:p>
  <w:p w14:paraId="31C05D28"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22CE85" w14:textId="4E7B414B"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0"/>
  </w:num>
  <w:num w:numId="2">
    <w:abstractNumId w:val="28"/>
  </w:num>
  <w:num w:numId="3">
    <w:abstractNumId w:val="9"/>
  </w:num>
  <w:num w:numId="4">
    <w:abstractNumId w:val="38"/>
  </w:num>
  <w:num w:numId="5">
    <w:abstractNumId w:val="26"/>
  </w:num>
  <w:num w:numId="6">
    <w:abstractNumId w:val="4"/>
  </w:num>
  <w:num w:numId="7">
    <w:abstractNumId w:val="7"/>
  </w:num>
  <w:num w:numId="8">
    <w:abstractNumId w:val="23"/>
  </w:num>
  <w:num w:numId="9">
    <w:abstractNumId w:val="35"/>
  </w:num>
  <w:num w:numId="10">
    <w:abstractNumId w:val="32"/>
  </w:num>
  <w:num w:numId="11">
    <w:abstractNumId w:val="17"/>
  </w:num>
  <w:num w:numId="12">
    <w:abstractNumId w:val="36"/>
  </w:num>
  <w:num w:numId="13">
    <w:abstractNumId w:val="2"/>
  </w:num>
  <w:num w:numId="14">
    <w:abstractNumId w:val="13"/>
  </w:num>
  <w:num w:numId="15">
    <w:abstractNumId w:val="22"/>
  </w:num>
  <w:num w:numId="16">
    <w:abstractNumId w:val="18"/>
  </w:num>
  <w:num w:numId="17">
    <w:abstractNumId w:val="14"/>
  </w:num>
  <w:num w:numId="18">
    <w:abstractNumId w:val="1"/>
  </w:num>
  <w:num w:numId="19">
    <w:abstractNumId w:val="11"/>
  </w:num>
  <w:num w:numId="20">
    <w:abstractNumId w:val="15"/>
  </w:num>
  <w:num w:numId="21">
    <w:abstractNumId w:val="21"/>
  </w:num>
  <w:num w:numId="22">
    <w:abstractNumId w:val="25"/>
  </w:num>
  <w:num w:numId="23">
    <w:abstractNumId w:val="29"/>
  </w:num>
  <w:num w:numId="24">
    <w:abstractNumId w:val="10"/>
  </w:num>
  <w:num w:numId="25">
    <w:abstractNumId w:val="16"/>
  </w:num>
  <w:num w:numId="26">
    <w:abstractNumId w:val="3"/>
  </w:num>
  <w:num w:numId="27">
    <w:abstractNumId w:val="6"/>
  </w:num>
  <w:num w:numId="28">
    <w:abstractNumId w:val="12"/>
  </w:num>
  <w:num w:numId="29">
    <w:abstractNumId w:val="34"/>
  </w:num>
  <w:num w:numId="30">
    <w:abstractNumId w:val="0"/>
  </w:num>
  <w:num w:numId="31">
    <w:abstractNumId w:val="37"/>
  </w:num>
  <w:num w:numId="32">
    <w:abstractNumId w:val="8"/>
  </w:num>
  <w:num w:numId="33">
    <w:abstractNumId w:val="19"/>
  </w:num>
  <w:num w:numId="34">
    <w:abstractNumId w:val="5"/>
  </w:num>
  <w:num w:numId="35">
    <w:abstractNumId w:val="24"/>
  </w:num>
  <w:num w:numId="36">
    <w:abstractNumId w:val="27"/>
  </w:num>
  <w:num w:numId="37">
    <w:abstractNumId w:val="20"/>
  </w:num>
  <w:num w:numId="38">
    <w:abstractNumId w:val="31"/>
  </w:num>
  <w:num w:numId="39">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6DC8"/>
    <w:rsid w:val="00B103F0"/>
    <w:rsid w:val="00B10554"/>
    <w:rsid w:val="00B11B34"/>
    <w:rsid w:val="00B13120"/>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A297D4"/>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microsoft_visio_drawing.vsdx"/><Relationship Id="rId1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23</TotalTime>
  <Pages>19</Pages>
  <Words>2703</Words>
  <Characters>15409</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USER</cp:lastModifiedBy>
  <cp:revision>8</cp:revision>
  <dcterms:created xsi:type="dcterms:W3CDTF">2025-10-21T10:36:00Z</dcterms:created>
  <dcterms:modified xsi:type="dcterms:W3CDTF">2025-10-21T13:31:00Z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