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one authored file per page) provides the executable acceptance criteria.</w:t>
            </w:r>
          </w:p>
          <w:p w14:paraId="77F23746"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(RSNF).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Internal systems on site in the HSA zone: an SMTP mail relay, MinIO object storage, the GPT OSS 120B inference endpoint, and SQL Server 2022 (Standard in Development and Test, Enterprise in an AlwaysOn Availability Group in production). None is reached across the internet.</w:t>
            </w:r>
          </w:p>
          <w:p w14:paraId="36D04682"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Encryption: TLS 1.2+ in transit; PII columns (national ID / Iqama / passport, mobile numbers) are encrypted at rest with application-level AES-256-GCM under a 32-byte operator-supplied key, Storage:UserIdDocumentEncryptionKey. Identity-document images and the other confidential stored files are encrypted at rest with AES-GCM envelope encryption under a second operator-supplied key, FileStorage:EncryptionKey, carrying a key version for rotation. There is no dependency on database-native TDE.</w:t>
            </w:r>
          </w:p>
          <w:p w14:paraId="42CEFEC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r>
              <w:rPr>
                <w:sz w:val="24"/>
              </w:rPr>
            </w:r>
          </w:p>
          <w:p w14:paraId="179BAEB9"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w:t>
            </w:r>
            <w:r>
              <w:rPr>
                <w:sz w:val="24"/>
              </w:rPr>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On premises on Windows Server 2022, on the SITE Private Cloud, over SQL Server 2022. Two security areas, SSA and HSA, hold five network zones. The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five zones with three firewalls at the zone boundaries, a stateless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Frontend: the mobile app, the public website, the Control Panel and the on-site badge desk. Backend: one API. Data: two SQL Server databases and MinIO object storage.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p w14:paraId="51179AB3" w14:textId="77777777" w:rsidR="00B23F52" w:rsidRDefault="00000000">
            <w:pPr>
              <w:bidi w:val="0"/>
              <w:spacing w:after="80"/>
              <w:ind w:left="360"/>
              <w:jc w:val="left"/>
            </w:pPr>
            <w:r>
              <w:rPr>
                <w:sz w:val="24"/>
              </w:rPr>
              <w:t>•  The one external integration, the YouTube caption import, depends on an approved outbound HTTPS 443 exception.</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with the SIMF.Components shared component library,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authoritative hardware specification for this submission, matching section 2.1 and Figure 1. Production: four API hosts, two web hosts, two Control Panel hosts and two database hosts, all Windows Server 2022 with Server and DR. Application hosts are 32 GB RAM, 16 vCPU and 300 GB storage. Database hosts are 64 GB RAM, 8 vCPU and 2 TB storage. The mobile edge, the LLM server, the mail relay and the MinIO host are sized with the site. Development and Test run one application host and one SQL Server host.</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four client applications, the mobile app, the public website, the Control Panel and the on-site badge desk, which share one backend API and two databases. It has two kinds of user: application users, whose access level is the profile type assigned at approval, and administrators, whose permissions come from a named role.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and let attendees submit moderated questions and comments.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to register, receive a digital badge, reserve seats, watch live sessions, ask questions, network and rate the event, and the public website to read the programme and visit information. Registration and every authenticated journey are in the app; the website carries no sign-in, no registration and no personal data.</w:t>
            </w:r>
          </w:p>
          <w:p w14:paraId="18196080" w14:textId="77777777" w:rsidR="00B23F52" w:rsidRDefault="00000000">
            <w:pPr>
              <w:bidi w:val="0"/>
              <w:spacing w:after="80"/>
              <w:ind w:left="360"/>
              <w:jc w:val="left"/>
            </w:pPr>
            <w:r>
              <w:rPr>
                <w:sz w:val="24"/>
              </w:rPr>
              <w:t>•  Anonymous public, use the website to read public content (home, programme, visit information).</w:t>
            </w:r>
          </w:p>
          <w:p w14:paraId="2097DE9A"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Each administrator holds a named role whose permissions are restricted per page and per action.</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 Badge desk staff use the on-site badge desk application (SIMF.BadgeDesk) to print and issue badges at the venue.</w:t>
            </w:r>
          </w:p>
          <w:p w14:paraId="1FC96E66" w14:textId="77777777" w:rsidR="00B23F52" w:rsidRDefault="00000000">
            <w:pPr>
              <w:bidi w:val="0"/>
              <w:spacing w:before="120" w:after="80"/>
              <w:jc w:val="left"/>
            </w:pPr>
            <w:r>
              <w:rPr>
                <w:b/>
                <w:sz w:val="24"/>
              </w:rPr>
              <w:t>External entities (outbound only)</w:t>
            </w:r>
          </w:p>
          <w:p w14:paraId="5B8980A0" w14:textId="77777777" w:rsidR="00B23F52" w:rsidRDefault="00000000">
            <w:pPr>
              <w:bidi w:val="0"/>
              <w:spacing w:after="80"/>
              <w:ind w:left="360"/>
              <w:jc w:val="left"/>
            </w:pPr>
            <w:r>
              <w:rPr>
                <w:sz w:val="24"/>
              </w:rPr>
              <w:t>•  YouTube. The Control Panel imports the caption track of a published session video, sending the public video id and nothing else. It is the only call SIMF makes to the internet. Without the firewall exception an administrator pastes or uploads the transcript instead.</w:t>
            </w:r>
          </w:p>
          <w:p w14:paraId="4518619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LLM server, on site in HSA, running the SITE-hosted GPT OSS 120B model behind an OpenAI-compatible API. It serves subtitle translation, session minutes, question filtering and the assistants. SIMF.Api is its only caller and no inference leaves the ministry network.</w:t>
            </w:r>
          </w:p>
          <w:p w14:paraId="7420A5A4"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(O-3);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03BA89AB" w14:textId="77777777" w:rsidR="00B23F52" w:rsidRDefault="00000000">
            <w:pPr>
              <w:bidi w:val="0"/>
              <w:spacing w:after="80"/>
              <w:jc w:val="left"/>
            </w:pPr>
            <w:r>
              <w:rPr>
                <w:sz w:val="24"/>
              </w:rPr>
              <w:t>The architecture is built for the event-day load. Two security areas hold five network zones. Three firewalls sit at the zone boundaries: the perimeter firewall, an internal firewall between the presentation and application zones, and an internal firewall between the application and data zones. SSA holds the access, perimeter and presentation zones and is the only area with internet access. HSA holds the application and data zones and carries internal traffic only. Figure 1 shows the layout.</w:t>
            </w:r>
          </w:p>
          <w:p w14:paraId="2640118E"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or NAFATH dependency.</w:t>
            </w:r>
          </w:p>
          <w:p w14:paraId="64BACB87" w14:textId="77777777" w:rsidR="00B23F52" w:rsidRDefault="00000000">
            <w:pPr>
              <w:bidi w:val="0"/>
              <w:spacing w:after="80"/>
              <w:jc w:val="left"/>
            </w:pPr>
            <w:r>
              <w:rPr>
                <w:b/>
                <w:sz w:val="24"/>
              </w:rPr>
              <w:t>SSA zone. A web application firewall and load balancer in the perimeter zone terminates TLS, filters traffic against the OWASP rule set and balances requests across healthy nodes. The presentation zone holds the presentation tier and nothing else: the website (SIMF.Web, two nodes), the Control Panel (SIMF.ControlPanel, two nodes with session affinity) and the mobile edge (SIMF.MobileEdge). All three reach data only through the API, over HTTPS 443 across the internal firewall.</w:t>
            </w:r>
          </w:p>
          <w:p w14:paraId="6D1EF4EA" w14:textId="77777777" w:rsidR="00B23F52" w:rsidRDefault="00000000">
            <w:pPr>
              <w:bidi w:val="0"/>
              <w:spacing w:after="80"/>
              <w:jc w:val="left"/>
            </w:pPr>
            <w:r>
              <w:rPr>
                <w:b/>
                <w:sz w:val="24"/>
              </w:rPr>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secondary reached through a listener; both databases run in the group with synchronous commit and automatic failover. The API is the only caller of the databases, the LLM server, the mail relay and MinIO.</w:t>
            </w:r>
          </w:p>
          <w:p w14:paraId="57A6A1BA" w14:textId="77777777" w:rsidR="00B23F52" w:rsidRDefault="00000000">
            <w:pPr>
              <w:bidi w:val="0"/>
              <w:spacing w:after="80"/>
              <w:jc w:val="left"/>
            </w:pPr>
            <w:r>
              <w:rPr>
                <w:b/>
                <w:sz w:val="24"/>
              </w:rPr>
              <w:t>Transport. Every HTTP connection, client to server and server to server, uses TLS 1.2 or higher. TLS terminates at the load balancer and is re-encrypted to the backend. The mail and database paths run on their own protocols and ports, listed in the Communication Requirements Matrix in section 2.8.</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real-time channel and the REST traffic,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perimeter</w:t>
                  </w:r>
                </w:p>
              </w:tc>
              <w:tc>
                <w:tcPr>
                  <w:tcW w:w="1368" w:type="dxa"/>
                </w:tcPr>
                <w:p w14:paraId="31C07F7D" w14:textId="77777777" w:rsidR="00B23F52" w:rsidRDefault="00000000">
                  <w:pPr>
                    <w:framePr w:hSpace="180" w:wrap="around" w:vAnchor="page" w:hAnchor="margin" w:xAlign="center" w:y="3301"/>
                    <w:bidi w:val="0"/>
                    <w:jc w:val="left"/>
                  </w:pPr>
                  <w:r>
                    <w:rPr>
                      <w:sz w:val="16"/>
                    </w:rPr>
                    <w:t>1</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filtering, distribution to the presentation tier</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Mobile edge, SIMF.MobileEdge</w:t>
                  </w:r>
                </w:p>
              </w:tc>
              <w:tc>
                <w:tcPr>
                  <w:tcW w:w="1008" w:type="dxa"/>
                </w:tcPr>
                <w:p w14:paraId="0D506945" w14:textId="77777777" w:rsidR="00B23F52" w:rsidRDefault="00000000">
                  <w:pPr>
                    <w:framePr w:hSpace="180" w:wrap="around" w:vAnchor="page" w:hAnchor="margin" w:xAlign="center" w:y="3301"/>
                    <w:bidi w:val="0"/>
                    <w:jc w:val="left"/>
                  </w:pPr>
                  <w:r>
                    <w:rPr>
                      <w:sz w:val="16"/>
                    </w:rPr>
                    <w:t>SSA presentation</w:t>
                  </w:r>
                </w:p>
              </w:tc>
              <w:tc>
                <w:tcPr>
                  <w:tcW w:w="1368" w:type="dxa"/>
                </w:tcPr>
                <w:p w14:paraId="60E32367"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04D20E1F"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09747DBA" w14:textId="77777777" w:rsidR="00B23F52" w:rsidRDefault="00000000">
                  <w:pPr>
                    <w:framePr w:hSpace="180" w:wrap="around" w:vAnchor="page" w:hAnchor="margin" w:xAlign="center" w:y="3301"/>
                    <w:bidi w:val="0"/>
                    <w:jc w:val="left"/>
                  </w:pPr>
                  <w:r>
                    <w:rPr>
                      <w:sz w:val="16"/>
                    </w:rPr>
                    <w:t>Mobile presentation tier; the app never calls the API directly</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 presentation</w:t>
                  </w:r>
                </w:p>
              </w:tc>
              <w:tc>
                <w:tcPr>
                  <w:tcW w:w="1368" w:type="dxa"/>
                </w:tcPr>
                <w:p w14:paraId="4CB903CC" w14:textId="77777777" w:rsidR="00B23F52" w:rsidRDefault="00000000">
                  <w:pPr>
                    <w:framePr w:hSpace="180" w:wrap="around" w:vAnchor="page" w:hAnchor="margin" w:xAlign="center" w:y="3301"/>
                    <w:bidi w:val="0"/>
                    <w:jc w:val="left"/>
                  </w:pPr>
                  <w:r>
                    <w:rPr>
                      <w:sz w:val="16"/>
                    </w:rPr>
                    <w:t>2</w:t>
                  </w:r>
                </w:p>
              </w:tc>
              <w:tc>
                <w:tcPr>
                  <w:tcW w:w="1944" w:type="dxa"/>
                </w:tcPr>
                <w:p w14:paraId="70D38B43"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 presentation</w:t>
                  </w:r>
                </w:p>
              </w:tc>
              <w:tc>
                <w:tcPr>
                  <w:tcW w:w="1368" w:type="dxa"/>
                </w:tcPr>
                <w:p w14:paraId="2F6A60AE" w14:textId="77777777" w:rsidR="00B23F52" w:rsidRDefault="00000000">
                  <w:pPr>
                    <w:framePr w:hSpace="180" w:wrap="around" w:vAnchor="page" w:hAnchor="margin" w:xAlign="center" w:y="3301"/>
                    <w:bidi w:val="0"/>
                    <w:jc w:val="left"/>
                  </w:pPr>
                  <w:r>
                    <w:rPr>
                      <w:sz w:val="16"/>
                    </w:rPr>
                    <w:t>2</w:t>
                  </w:r>
                </w:p>
              </w:tc>
              <w:tc>
                <w:tcPr>
                  <w:tcW w:w="1944" w:type="dxa"/>
                </w:tcPr>
                <w:p w14:paraId="1F0BBAB2"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with session affinity; makes the YouTube caption call</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API load balancer</w:t>
                  </w:r>
                </w:p>
              </w:tc>
              <w:tc>
                <w:tcPr>
                  <w:tcW w:w="1008" w:type="dxa"/>
                </w:tcPr>
                <w:p w14:paraId="40A8D3E8" w14:textId="77777777" w:rsidR="00B23F52" w:rsidRDefault="00000000">
                  <w:pPr>
                    <w:framePr w:hSpace="180" w:wrap="around" w:vAnchor="page" w:hAnchor="margin" w:xAlign="center" w:y="3301"/>
                    <w:bidi w:val="0"/>
                    <w:jc w:val="left"/>
                  </w:pPr>
                  <w:r>
                    <w:rPr>
                      <w:sz w:val="16"/>
                    </w:rPr>
                    <w:t>HSA application</w:t>
                  </w:r>
                </w:p>
              </w:tc>
              <w:tc>
                <w:tcPr>
                  <w:tcW w:w="1368" w:type="dxa"/>
                </w:tcPr>
                <w:p w14:paraId="27D64DF7" w14:textId="77777777" w:rsidR="00B23F52" w:rsidRDefault="00000000">
                  <w:pPr>
                    <w:framePr w:hSpace="180" w:wrap="around" w:vAnchor="page" w:hAnchor="margin" w:xAlign="center" w:y="3301"/>
                    <w:bidi w:val="0"/>
                    <w:jc w:val="left"/>
                  </w:pPr>
                  <w:r>
                    <w:rPr>
                      <w:sz w:val="16"/>
                    </w:rPr>
                    <w:t>1</w:t>
                  </w:r>
                </w:p>
              </w:tc>
              <w:tc>
                <w:tcPr>
                  <w:tcW w:w="1944" w:type="dxa"/>
                </w:tcPr>
                <w:p w14:paraId="6379B8AC" w14:textId="77777777" w:rsidR="00B23F52" w:rsidRDefault="00000000">
                  <w:pPr>
                    <w:framePr w:hSpace="180" w:wrap="around" w:vAnchor="page" w:hAnchor="margin" w:xAlign="center" w:y="3301"/>
                    <w:bidi w:val="0"/>
                    <w:jc w:val="left"/>
                  </w:pPr>
                  <w:r>
                    <w:rPr>
                      <w:sz w:val="16"/>
                    </w:rPr>
                    <w:t>appliance or VM</w:t>
                  </w:r>
                </w:p>
              </w:tc>
              <w:tc>
                <w:tcPr>
                  <w:tcW w:w="2664" w:type="dxa"/>
                </w:tcPr>
                <w:p w14:paraId="4FAE8450" w14:textId="77777777" w:rsidR="00B23F52" w:rsidRDefault="00000000">
                  <w:pPr>
                    <w:framePr w:hSpace="180" w:wrap="around" w:vAnchor="page" w:hAnchor="margin" w:xAlign="center" w:y="3301"/>
                    <w:bidi w:val="0"/>
                    <w:jc w:val="left"/>
                  </w:pPr>
                  <w:r>
                    <w:rPr>
                      <w:sz w:val="16"/>
                    </w:rPr>
                    <w:t>Distributes across the four API nodes</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API tier, SIMF.Api</w:t>
                  </w:r>
                </w:p>
              </w:tc>
              <w:tc>
                <w:tcPr>
                  <w:tcW w:w="1008" w:type="dxa"/>
                </w:tcPr>
                <w:p w14:paraId="52B18DBD" w14:textId="77777777" w:rsidR="00B23F52" w:rsidRDefault="00000000">
                  <w:pPr>
                    <w:framePr w:hSpace="180" w:wrap="around" w:vAnchor="page" w:hAnchor="margin" w:xAlign="center" w:y="3301"/>
                    <w:bidi w:val="0"/>
                    <w:jc w:val="left"/>
                  </w:pPr>
                  <w:r>
                    <w:rPr>
                      <w:sz w:val="16"/>
                    </w:rPr>
                    <w:t>HSA application</w:t>
                  </w:r>
                </w:p>
              </w:tc>
              <w:tc>
                <w:tcPr>
                  <w:tcW w:w="1368" w:type="dxa"/>
                </w:tcPr>
                <w:p w14:paraId="00976A60" w14:textId="77777777" w:rsidR="00B23F52" w:rsidRDefault="00000000">
                  <w:pPr>
                    <w:framePr w:hSpace="180" w:wrap="around" w:vAnchor="page" w:hAnchor="margin" w:xAlign="center" w:y="3301"/>
                    <w:bidi w:val="0"/>
                    <w:jc w:val="left"/>
                  </w:pPr>
                  <w:r>
                    <w:rPr>
                      <w:sz w:val="16"/>
                    </w:rPr>
                    <w:t>4</w:t>
                  </w:r>
                </w:p>
              </w:tc>
              <w:tc>
                <w:tcPr>
                  <w:tcW w:w="1944" w:type="dxa"/>
                </w:tcPr>
                <w:p w14:paraId="4BD888C4"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4D03A145" w14:textId="77777777" w:rsidR="00B23F52" w:rsidRDefault="00000000">
                  <w:pPr>
                    <w:framePr w:hSpace="180" w:wrap="around" w:vAnchor="page" w:hAnchor="margin" w:xAlign="center" w:y="3301"/>
                    <w:bidi w:val="0"/>
                    <w:jc w:val="left"/>
                  </w:pPr>
                  <w:r>
                    <w:rPr>
                      <w:sz w:val="16"/>
                    </w:rPr>
                    <w:t>Stateless REST; runs the scheduled jobs in-process. No separate worker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LLM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GPT OSS 120B behind an OpenAI-compatible API</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Mail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On-site SMTP relay, STARTTLS on 587</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2 (AlwaysOn AG)</w:t>
                  </w:r>
                </w:p>
              </w:tc>
              <w:tc>
                <w:tcPr>
                  <w:tcW w:w="1944" w:type="dxa"/>
                </w:tcPr>
                <w:p w14:paraId="63C9A05D" w14:textId="77777777" w:rsidR="00B23F52" w:rsidRDefault="00000000">
                  <w:pPr>
                    <w:framePr w:hSpace="180" w:wrap="around" w:vAnchor="page" w:hAnchor="margin" w:xAlign="center" w:y="3301"/>
                    <w:bidi w:val="0"/>
                    <w:jc w:val="left"/>
                  </w:pPr>
                  <w:r>
                    <w:rPr>
                      <w:sz w:val="16"/>
                    </w:rPr>
                    <w:t>8 vCPU / 64 GB / 2 TB, Windows Server 2022</w:t>
                  </w:r>
                </w:p>
              </w:tc>
              <w:tc>
                <w:tcPr>
                  <w:tcW w:w="2664" w:type="dxa"/>
                </w:tcPr>
                <w:p w14:paraId="4919EF78" w14:textId="77777777" w:rsidR="00B23F52" w:rsidRDefault="00000000">
                  <w:pPr>
                    <w:framePr w:hSpace="180" w:wrap="around" w:vAnchor="page" w:hAnchor="margin" w:xAlign="center" w:y="3301"/>
                    <w:bidi w:val="0"/>
                    <w:jc w:val="left"/>
                  </w:pPr>
                  <w:r>
                    <w:rPr>
                      <w:sz w:val="16"/>
                    </w:rPr>
                    <w:t>Primary plus one readable secondary; synchronous commit and automatic failover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MinIO object store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Stored files over the S3 API, including encrypted identity documents</w:t>
                  </w:r>
                </w:p>
              </w:tc>
            </w:tr>
          </w:tbl>
          <w:p w14:paraId="647C5EF8" w14:textId="77777777" w:rsidR="00B23F52" w:rsidRDefault="00B23F52"/>
          <w:p w14:paraId="12543B8C" w14:textId="77777777" w:rsidR="00B23F52" w:rsidRDefault="00000000">
            <w:pPr>
              <w:bidi w:val="0"/>
              <w:spacing w:after="80"/>
              <w:ind w:left="360"/>
              <w:jc w:val="left"/>
            </w:pPr>
            <w:r>
              <w:rPr>
                <w:sz w:val="24"/>
              </w:rPr>
              <w:t>•  The workload is read-heavy and cacheable. A per-node in-memory cache absorbs repeated reads; the database serves the rest.</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return a clean 429 rather than failing.</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C4D8A6D"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2C4D8A6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1FEA89F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1FEA89F0" w14:textId="77777777" w:rsidR="00B23F52" w:rsidRDefault="00000000">
            <w:pPr>
              <w:bidi w:val="0"/>
              <w:spacing w:after="80"/>
              <w:jc w:val="left"/>
            </w:pPr>
            <w:r>
              <w:rPr>
                <w:sz w:val="24"/>
              </w:rPr>
              <w:t>The separation is structural, not only physical. Neither presentation project holds a database connection string or an EF Core DbContext; they reference only the shared client libraries and reach data solely through the API over HTTPS 443. A compromise of a presentation host therefore yields no direct database access.</w:t>
            </w:r>
          </w:p>
          <w:p w14:paraId="1FEA89F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2C4D8A6D"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2C4D8A6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1FEA89F0"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1FEA89F0" w14:textId="77777777" w:rsidR="00B23F52" w:rsidRDefault="00000000">
            <w:pPr>
              <w:bidi w:val="0"/>
              <w:spacing w:after="80"/>
              <w:jc w:val="left"/>
            </w:pPr>
            <w:r>
              <w:rPr>
                <w:sz w:val="24"/>
              </w:rPr>
              <w:t>The WAF and load balancer carries no AI traffic of any kind. It terminates client TLS, filters against the OWASP rule set and distributes client requests across the presentation tier. It has no path to the API or to the LLM server.</w:t>
            </w:r>
          </w:p>
          <w:p w14:paraId="1FEA89F0" w14:textId="77777777" w:rsidR="00B23F52" w:rsidRDefault="00000000">
            <w:pPr>
              <w:bidi w:val="0"/>
              <w:spacing w:after="80"/>
              <w:jc w:val="left"/>
            </w:pPr>
            <w:r>
              <w:rPr>
                <w:sz w:val="24"/>
              </w:rPr>
              <w:t>Figure 1 states this on the drawing itself, and section 2.4 specifies the path under "API to the LLM server".</w:t>
            </w:r>
          </w:p>
          <w:p w14:paraId="2C4D8A6D"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C4D8A6D"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1FEA89F0" w14:textId="77777777" w:rsidR="00B23F52" w:rsidRDefault="00000000">
            <w:pPr>
              <w:bidi w:val="0"/>
              <w:spacing w:after="80"/>
              <w:jc w:val="left"/>
            </w:pPr>
            <w:r>
              <w:rPr>
                <w:sz w:val="24"/>
              </w:rPr>
              <w:t>Internet zone: YouTube. No SIMF server is hosted here.</w:t>
            </w:r>
          </w:p>
          <w:p w14:paraId="1FEA89F0" w14:textId="77777777" w:rsidR="00B23F52" w:rsidRDefault="00000000">
            <w:pPr>
              <w:bidi w:val="0"/>
              <w:spacing w:after="80"/>
              <w:jc w:val="left"/>
            </w:pPr>
            <w:r>
              <w:rPr>
                <w:sz w:val="24"/>
              </w:rPr>
              <w:t>SSA zone, in three network zones: the attendee mobile device, the public website browser and the administrator browser in the access zone; the WAF and load balancer in the perimeter zone; the mobile edge, two web hosts and two Control Panel hosts in the presentation zone.</w:t>
            </w:r>
          </w:p>
          <w:p w14:paraId="1FEA89F0" w14:textId="77777777" w:rsidR="00B23F52" w:rsidRDefault="00000000">
            <w:pPr>
              <w:bidi w:val="0"/>
              <w:spacing w:after="80"/>
              <w:jc w:val="left"/>
            </w:pPr>
            <w:r>
              <w:rPr>
                <w:sz w:val="24"/>
              </w:rPr>
              <w:t>HSA zone, in two network zones: the API load balancer, four API hosts, the on-site LLM server running GPT OSS 120B and the on-site mail relay in the application zone; two database hosts and the MinIO object store in the data zone.</w:t>
            </w:r>
          </w:p>
          <w:p w14:paraId="1FEA89F0" w14:textId="77777777" w:rsidR="00B23F52" w:rsidRDefault="00000000">
            <w:pPr>
              <w:bidi w:val="0"/>
              <w:spacing w:after="80"/>
              <w:jc w:val="left"/>
            </w:pPr>
            <w:r>
              <w:rPr>
                <w:sz w:val="24"/>
              </w:rPr>
              <w:t>The Communication Requirements Matrix is in section 2.8.</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SIMF.Components), the administration application.</w:t>
            </w:r>
          </w:p>
          <w:p w14:paraId="5A7FF417" w14:textId="77777777" w:rsidR="00B23F52" w:rsidRDefault="00000000">
            <w:pPr>
              <w:bidi w:val="0"/>
              <w:spacing w:after="80"/>
              <w:ind w:left="360"/>
              <w:jc w:val="left"/>
            </w:pPr>
            <w:r>
              <w:rPr>
                <w:sz w:val="24"/>
              </w:rPr>
              <w:t>•  Public Website (Blazor SSR),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5A7FF417" w14:textId="77777777" w:rsidR="00B23F52" w:rsidRDefault="00000000">
            <w:pPr>
              <w:bidi w:val="0"/>
              <w:spacing w:after="80"/>
              <w:ind w:left="360"/>
              <w:jc w:val="left"/>
            </w:pPr>
            <w:r>
              <w:rPr>
                <w:sz w:val="24"/>
              </w:rPr>
              <w:t>•  Badge desk (SIMF.BadgeDesk, WinForms), a Windows desk application that staff run at the venue to print and issue badges. It works offline and holds no database connection. It posts each shift to the API over HTTPS, to POST /api/v1/admin/offline/batch, authenticated with a bearer token that the operator pastes from a Control Panel session. It is drawn in Figure 2 alongside the three main clients.</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Scheduled jobs and storage services</w:t>
            </w:r>
          </w:p>
          <w:p w14:paraId="5AC4DBB6" w14:textId="77777777" w:rsidR="00B23F52" w:rsidRDefault="00000000">
            <w:pPr>
              <w:bidi w:val="0"/>
              <w:spacing w:after="80"/>
              <w:ind w:left="360"/>
              <w:jc w:val="left"/>
            </w:pPr>
            <w:r>
              <w:rPr>
                <w:sz w:val="24"/>
              </w:rPr>
              <w:t>•  Scheduled jobs, run in-process by the API host: among them the dormant-account sweep, the registration-gate auto-close, session and meeting reminders, the pre-start seat release, the rating prompts and e-mail dispatch. One API node is elected to run the database-driven jobs, so a reminder is sent once and not once per node; if that node stops, another takes over within one poll interval. E-mail dispatch runs on every node, each draining its own in-process queue. There is no separate worker server.</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Visitor registration and approval: the visitor signs up in the mobile app,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at any time before the session and until it ends. Once the session is live, a hall that carries a geofence also requires a hall-arrival record; the QR scan at the hall door writes that record. A hall with no geofence accepts the question, because presence cannot be verified. Automatic arrival by GPS geofence is a deferred enhancement (open item G-OI-2). Every question runs the 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then publishes it once the session has started, and attendees read it in the app.</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2C4D8A6D"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C4D8A6D" w14:textId="77777777" w:rsidR="00B23F52" w:rsidRDefault="00000000">
            <w:pPr>
              <w:bidi w:val="0"/>
              <w:spacing w:after="80"/>
              <w:jc w:val="left"/>
            </w:pPr>
            <w:r>
              <w:rPr>
                <w:b/>
                <w:sz w:val="24"/>
              </w:rPr>
              <w:t xml:space="preserve">SIMF response. </w:t>
            </w:r>
            <w:r>
              <w:rPr>
                <w:sz w:val="24"/>
              </w:rPr>
              <w:t>Provided at full page size, as Figure 2 and Figure 3.</w:t>
            </w:r>
          </w:p>
          <w:p w14:paraId="1FEA89F0"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1FEA89F0"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FEA89F0"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pPr>
        <w:spacing w:before="0" w:after="0" w:line="20" w:lineRule="exact"/>
        <w:sectPr w:rsidR="005569FB" w:rsidSect="00E453E8">
          <w:headerReference w:type="even" r:id="rId8"/>
          <w:headerReference w:type="default" r:id="rId9"/>
          <w:footerReference w:type="default" r:id="rId10"/>
          <w:headerReference w:type="first" r:id="rId11"/>
          <w:type w:val="nextPage"/>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p>
      <w:pPr>
        <w:bidi w:val="0"/>
        <w:spacing w:before="0" w:after="80"/>
        <w:jc w:val="left"/>
      </w:pPr>
      <w:r>
        <w:rPr>
          <w:rFonts w:ascii="Sakkal Majalla" w:hAnsi="Sakkal Majalla" w:cs="Sakkal Majalla"/>
          <w:b/>
          <w:color w:val="1F3864"/>
          <w:sz w:val="20"/>
        </w:rPr>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pPr>
        <w:bidi w:val="0"/>
        <w:spacing w:before="0" w:after="0"/>
        <w:jc w:val="center"/>
      </w:pPr>
      <w:r>
        <w:drawing>
          <wp:inline xmlns:a="http://schemas.openxmlformats.org/drawingml/2006/main" xmlns:pic="http://schemas.openxmlformats.org/drawingml/2006/picture">
            <wp:extent cx="7096784"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7096784"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2. SIMF phase one components and their interaction. Every component, and how each one communicates with the others. Answers technical review point 1.</w:t>
      </w:r>
    </w:p>
    <w:p>
      <w:pPr>
        <w:bidi w:val="0"/>
        <w:spacing w:before="0" w:after="0"/>
        <w:jc w:val="center"/>
      </w:pPr>
      <w:r>
        <w:drawing>
          <wp:inline xmlns:a="http://schemas.openxmlformats.org/drawingml/2006/main" xmlns:pic="http://schemas.openxmlformats.org/drawingml/2006/picture">
            <wp:extent cx="8491553"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491553"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3. SIMF phase one system and data flow. A data flow diagram in Gane and Sarson notation: a level 0 context view and a level 1 decomposition that balances with it.</w:t>
      </w:r>
    </w:p>
    <w:p>
      <w:pPr>
        <w:bidi w:val="0"/>
        <w:spacing w:before="0" w:after="0"/>
        <w:jc w:val="center"/>
      </w:pPr>
      <w:r>
        <w:drawing>
          <wp:inline xmlns:a="http://schemas.openxmlformats.org/drawingml/2006/main" xmlns:pic="http://schemas.openxmlformats.org/drawingml/2006/picture">
            <wp:extent cx="8633079"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633079" cy="6240780"/>
                    </a:xfrm>
                    <a:prstGeom prst="rect"/>
                  </pic:spPr>
                </pic:pic>
              </a:graphicData>
            </a:graphic>
          </wp:inline>
        </w:drawing>
      </w:r>
    </w:p>
    <w:p>
      <w:pPr>
        <w:spacing w:before="0" w:after="0" w:line="20" w:lineRule="exact"/>
        <w:sectPr w:rsidR="005569FB" w:rsidSect="00E453E8">
          <w:headerReference w:type="first" r:id="rId16"/>
          <w:headerReference w:type="even" r:id="rId16"/>
          <w:footerReference w:type="default" r:id="rId10"/>
          <w:headerReference w:type="default" r:id="rId16"/>
          <w:type w:val="nextPage"/>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API to MinIO: the S3 API over HTTPS 443, inside HSA. Database rows hold object keys, not blobs.</w:t>
            </w:r>
          </w:p>
          <w:p w14:paraId="231744C9" w14:textId="77777777" w:rsidR="00B23F52" w:rsidRDefault="00000000">
            <w:pPr>
              <w:bidi w:val="0"/>
              <w:spacing w:after="80"/>
              <w:jc w:val="left"/>
            </w:pPr>
            <w:r>
              <w:rPr>
                <w:b/>
                <w:sz w:val="24"/>
              </w:rPr>
              <w:t>API to the LLM server: SIMF.Api is the only caller, and the load balancer carries no AI traffic. It calls the SITE-hosted GPT OSS 120B model over an OpenAI-compatible API on HTTPS 443, inside HSA, so no inference leaves the ministry network. Every invocation is logged. The Control Panel prompt test and the Control Panel assistant are rate-limited per administrator. Every other AI call is rate-limited per source IP address.</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HTTPS 443)</w:t>
            </w:r>
          </w:p>
          <w:p w14:paraId="739E9688"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r>
              <w:rPr>
                <w:sz w:val="24"/>
              </w:rPr>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r>
              <w:rPr>
                <w:sz w:val="24"/>
              </w:rPr>
            </w:r>
          </w:p>
          <w:p w14:paraId="2CCA6503" w14:textId="77777777" w:rsidR="00B23F52" w:rsidRDefault="00000000">
            <w:pPr>
              <w:bidi w:val="0"/>
              <w:spacing w:after="80"/>
              <w:jc w:val="left"/>
            </w:pPr>
            <w:r>
              <w:rPr>
                <w:b/>
                <w:sz w:val="24"/>
              </w:rPr>
              <w:t>Video storage and the video library: SIMF stores video links for the public library and holds no library video files. Session recordings uploaded by the team are held in MinIO, and are listed among the file-store categories in section 2.8. The public video library is published on the forum’s YouTube channel and surfaced in SIMF as links, so it needs no additional storage, encoding or bandwidth on ministry servers and does not change the hardware specification.</w:t>
            </w:r>
          </w:p>
          <w:p w14:paraId="2C4D8A6D"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2C4D8A6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1FEA89F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FEA89F0"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stores no live video.</w:t>
            </w:r>
          </w:p>
          <w:p w14:paraId="2C4D8A6D"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2C4D8A6D"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FEA89F0"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1FEA89F0"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2C4D8A6D"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2C4D8A6D"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1FEA89F0"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1FEA89F0"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1FEA89F0"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1FEA89F0" w14:textId="77777777" w:rsidR="00B23F52" w:rsidRDefault="00000000">
            <w:pPr>
              <w:bidi w:val="0"/>
              <w:spacing w:after="80"/>
              <w:jc w:val="left"/>
            </w:pPr>
            <w:r>
              <w:rPr>
                <w:sz w:val="24"/>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1FEA89F0" w14:textId="77777777" w:rsidR="00B23F52" w:rsidRDefault="00000000">
            <w:pPr>
              <w:bidi w:val="0"/>
              <w:spacing w:after="80"/>
              <w:jc w:val="left"/>
            </w:pPr>
            <w:r>
              <w:rPr>
                <w:sz w:val="24"/>
              </w:rPr>
              <w:t>Path: the Control Panel in SSA to the YouTube caption API, out through the perimeter firewall under an FQDN allow-list, with every request logged. The returned caption host is re-validated before the second request, and the HTTP client does not follow redirects.</w:t>
            </w:r>
          </w:p>
          <w:p w14:paraId="2C4D8A6D"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2C4D8A6D"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1FEA89F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FEA89F0"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1FEA89F0" w14:textId="77777777" w:rsidR="00B23F52" w:rsidRDefault="00000000">
            <w:pPr>
              <w:bidi w:val="0"/>
              <w:spacing w:after="80"/>
              <w:jc w:val="left"/>
            </w:pPr>
            <w:r>
              <w:rPr>
                <w:sz w:val="24"/>
              </w:rPr>
              <w:t>Artificial intelligence sends nothing outside the ministry. The table below is the complete field-level inventory of what each AI feature sends to the on-site GPT OSS 120B endpoint, which stays inside HSA.</w:t>
            </w:r>
          </w:p>
          <w:p w14:paraId="1FEA89F0" w14:textId="77777777" w:rsidR="00B23F52" w:rsidRDefault="00000000">
            <w:pPr>
              <w:bidi w:val="0"/>
              <w:spacing w:after="80"/>
              <w:jc w:val="left"/>
            </w:pPr>
            <w:r>
              <w:rPr>
                <w:sz w:val="24"/>
              </w:rPr>
              <w:t>Data sent to the on-site AI endpoint, by feature.</w:t>
            </w:r>
          </w:p>
          <w:tbl>
            <w:tblPr>
              <w:tblStyle w:val="TableGrid"/>
              <w:tblW w:type="auto" w:w="0"/>
              <w:tblLayout w:type="fixed"/>
              <w:tblLook w:firstColumn="1" w:firstRow="1" w:lastColumn="0" w:lastRow="0" w:noHBand="0" w:noVBand="1" w:val="04A0"/>
              <w:tblLayout w:type="fixed"/>
            </w:tblPr>
            <w:tblGrid>
              <w:gridCol w:w="1656"/>
              <w:gridCol w:w="3600"/>
              <w:gridCol w:w="1584"/>
              <w:gridCol w:w="1944"/>
            </w:tblGrid>
            <w:tr>
              <w:trPr>
                <w:tblHeader/>
              </w:trPr>
              <w:tc>
                <w:tcPr>
                  <w:tcW w:type="dxa" w:w="1656"/>
                </w:tcPr>
                <w:p>
                  <w:pPr>
                    <w:bidi w:val="0"/>
                    <w:spacing w:before="20" w:after="20"/>
                    <w:jc w:val="left"/>
                  </w:pPr>
                  <w:r>
                    <w:rPr>
                      <w:rFonts w:ascii="Sakkal Majalla" w:hAnsi="Sakkal Majalla" w:cs="Sakkal Majalla"/>
                      <w:b/>
                      <w:sz w:val="18"/>
                    </w:rPr>
                    <w:t>AI feature</w:t>
                  </w:r>
                </w:p>
              </w:tc>
              <w:tc>
                <w:tcPr>
                  <w:tcW w:type="dxa" w:w="3600"/>
                </w:tcPr>
                <w:p>
                  <w:pPr>
                    <w:bidi w:val="0"/>
                    <w:spacing w:before="20" w:after="20"/>
                    <w:jc w:val="left"/>
                  </w:pPr>
                  <w:r>
                    <w:rPr>
                      <w:rFonts w:ascii="Sakkal Majalla" w:hAnsi="Sakkal Majalla" w:cs="Sakkal Majalla"/>
                      <w:b/>
                      <w:sz w:val="18"/>
                    </w:rPr>
                    <w:t>Fields sent to the on-site model</w:t>
                  </w:r>
                </w:p>
              </w:tc>
              <w:tc>
                <w:tcPr>
                  <w:tcW w:type="dxa" w:w="1584"/>
                </w:tcPr>
                <w:p>
                  <w:pPr>
                    <w:bidi w:val="0"/>
                    <w:spacing w:before="20" w:after="20"/>
                    <w:jc w:val="left"/>
                  </w:pPr>
                  <w:r>
                    <w:rPr>
                      <w:rFonts w:ascii="Sakkal Majalla" w:hAnsi="Sakkal Majalla" w:cs="Sakkal Majalla"/>
                      <w:b/>
                      <w:sz w:val="18"/>
                    </w:rPr>
                    <w:t>Personal data</w:t>
                  </w:r>
                </w:p>
              </w:tc>
              <w:tc>
                <w:tcPr>
                  <w:tcW w:type="dxa" w:w="1944"/>
                </w:tcPr>
                <w:p>
                  <w:pPr>
                    <w:bidi w:val="0"/>
                    <w:spacing w:before="20" w:after="20"/>
                    <w:jc w:val="left"/>
                  </w:pPr>
                  <w:r>
                    <w:rPr>
                      <w:rFonts w:ascii="Sakkal Majalla" w:hAnsi="Sakkal Majalla" w:cs="Sakkal Majalla"/>
                      <w:b/>
                      <w:sz w:val="18"/>
                    </w:rPr>
                    <w:t>Destination</w:t>
                  </w:r>
                </w:p>
              </w:tc>
            </w:tr>
            <w:tr>
              <w:tc>
                <w:tcPr>
                  <w:tcW w:type="dxa" w:w="1656"/>
                </w:tcPr>
                <w:p>
                  <w:pPr>
                    <w:bidi w:val="0"/>
                    <w:spacing w:before="20" w:after="20"/>
                    <w:jc w:val="left"/>
                  </w:pPr>
                  <w:r>
                    <w:rPr>
                      <w:rFonts w:ascii="Sakkal Majalla" w:hAnsi="Sakkal Majalla" w:cs="Sakkal Majalla"/>
                      <w:b w:val="0"/>
                      <w:sz w:val="18"/>
                    </w:rPr>
                    <w:t>Question filter</w:t>
                  </w:r>
                </w:p>
              </w:tc>
              <w:tc>
                <w:tcPr>
                  <w:tcW w:type="dxa" w:w="3600"/>
                </w:tcPr>
                <w:p>
                  <w:pPr>
                    <w:bidi w:val="0"/>
                    <w:spacing w:before="20" w:after="20"/>
                    <w:jc w:val="left"/>
                  </w:pPr>
                  <w:r>
                    <w:rPr>
                      <w:rFonts w:ascii="Sakkal Majalla" w:hAnsi="Sakkal Majalla" w:cs="Sakkal Majalla"/>
                      <w:b w:val="0"/>
                      <w:sz w:val="18"/>
                    </w:rPr>
                    <w:t>the question text only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FAQ answer</w:t>
                  </w:r>
                </w:p>
              </w:tc>
              <w:tc>
                <w:tcPr>
                  <w:tcW w:type="dxa" w:w="3600"/>
                </w:tcPr>
                <w:p>
                  <w:pPr>
                    <w:bidi w:val="0"/>
                    <w:spacing w:before="20" w:after="20"/>
                    <w:jc w:val="left"/>
                  </w:pPr>
                  <w:r>
                    <w:rPr>
                      <w:rFonts w:ascii="Sakkal Majalla" w:hAnsi="Sakkal Majalla" w:cs="Sakkal Majalla"/>
                      <w:b w:val="0"/>
                      <w:sz w:val="18"/>
                    </w:rPr>
                    <w:t>the visitor question and the published FAQ entry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Assistance</w:t>
                  </w:r>
                </w:p>
              </w:tc>
              <w:tc>
                <w:tcPr>
                  <w:tcW w:type="dxa" w:w="3600"/>
                </w:tcPr>
                <w:p>
                  <w:pPr>
                    <w:bidi w:val="0"/>
                    <w:spacing w:before="20" w:after="20"/>
                    <w:jc w:val="left"/>
                  </w:pPr>
                  <w:r>
                    <w:rPr>
                      <w:rFonts w:ascii="Sakkal Majalla" w:hAnsi="Sakkal Majalla" w:cs="Sakkal Majalla"/>
                      <w:b w:val="0"/>
                      <w:sz w:val="18"/>
                    </w:rPr>
                    <w:t>the visitor question and the public programme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Subtitle translation</w:t>
                  </w:r>
                </w:p>
              </w:tc>
              <w:tc>
                <w:tcPr>
                  <w:tcW w:type="dxa" w:w="3600"/>
                </w:tcPr>
                <w:p>
                  <w:pPr>
                    <w:bidi w:val="0"/>
                    <w:spacing w:before="20" w:after="20"/>
                    <w:jc w:val="left"/>
                  </w:pPr>
                  <w:r>
                    <w:rPr>
                      <w:rFonts w:ascii="Sakkal Majalla" w:hAnsi="Sakkal Majalla" w:cs="Sakkal Majalla"/>
                      <w:b w:val="0"/>
                      <w:sz w:val="18"/>
                    </w:rPr>
                    <w:t>the imported subtitle text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Session minutes</w:t>
                  </w:r>
                </w:p>
              </w:tc>
              <w:tc>
                <w:tcPr>
                  <w:tcW w:type="dxa" w:w="3600"/>
                </w:tcPr>
                <w:p>
                  <w:pPr>
                    <w:bidi w:val="0"/>
                    <w:spacing w:before="20" w:after="20"/>
                    <w:jc w:val="left"/>
                  </w:pPr>
                  <w:r>
                    <w:rPr>
                      <w:rFonts w:ascii="Sakkal Majalla" w:hAnsi="Sakkal Majalla" w:cs="Sakkal Majalla"/>
                      <w:b w:val="0"/>
                      <w:sz w:val="18"/>
                    </w:rPr>
                    <w:t>session title, speaker display names, abstract and subtitle</w:t>
                  </w:r>
                </w:p>
              </w:tc>
              <w:tc>
                <w:tcPr>
                  <w:tcW w:type="dxa" w:w="1584"/>
                </w:tcPr>
                <w:p>
                  <w:pPr>
                    <w:bidi w:val="0"/>
                    <w:spacing w:before="20" w:after="20"/>
                    <w:jc w:val="left"/>
                  </w:pPr>
                  <w:r>
                    <w:rPr>
                      <w:rFonts w:ascii="Sakkal Majalla" w:hAnsi="Sakkal Majalla" w:cs="Sakkal Majalla"/>
                      <w:b w:val="0"/>
                      <w:sz w:val="18"/>
                    </w:rPr>
                    <w:t>Yes, speaker display names</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Control Panel assistant</w:t>
                  </w:r>
                </w:p>
              </w:tc>
              <w:tc>
                <w:tcPr>
                  <w:tcW w:type="dxa" w:w="3600"/>
                </w:tcPr>
                <w:p>
                  <w:pPr>
                    <w:bidi w:val="0"/>
                    <w:spacing w:before="20" w:after="20"/>
                    <w:jc w:val="left"/>
                  </w:pPr>
                  <w:r>
                    <w:rPr>
                      <w:rFonts w:ascii="Sakkal Majalla" w:hAnsi="Sakkal Majalla" w:cs="Sakkal Majalla"/>
                      <w:b w:val="0"/>
                      <w:sz w:val="18"/>
                    </w:rPr>
                    <w:t>the administrator question and the Control Panel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bl>
          <w:p w14:paraId="1FEA89F0"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1FEA89F0" w14:textId="77777777" w:rsidR="00B23F52" w:rsidRDefault="00000000">
            <w:pPr>
              <w:bidi w:val="0"/>
              <w:spacing w:after="80"/>
              <w:jc w:val="left"/>
            </w:pPr>
            <w:r>
              <w:rPr>
                <w:sz w:val="24"/>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FEA89F0"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1FEA89F0" w14:textId="77777777" w:rsidR="00B23F52" w:rsidRDefault="00000000">
            <w:pPr>
              <w:bidi w:val="0"/>
              <w:spacing w:after="80"/>
              <w:jc w:val="left"/>
            </w:pPr>
            <w:r>
              <w:rPr>
                <w:sz w:val="24"/>
              </w:rPr>
              <w:t>AI inference runs on the on-site GPT OSS 120B endpoint in HSA, reached through the OpenAI-compatible provider. The endpoint address is a deployment configuration value, so pointing the platform at the on-site server is a configuration step and not a code change. The source default is the deterministic offline provider, which performs no inference, and no cloud provider is configured with a credential. The table above lists what each feature sends to the endpoint. None of it leaves the ministry network.</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UI Overview: three front-ends share one design system and are fully bilingual (Arabic primary / RTL, English secondary / LTR). The badge desk of section 2.2 is a fourth client with its own WinForms interface.</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the main feature areas: onboarding and splash; sign-in / sign-up / OTP / biometric; profile and registration; programme and session detail; seat picker; digital badge and QR; venue map; live broadcast; AI summary; news; media gallery; archive; booths; sponsors; media partners;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SIMF.Components), 14 navigation groups: Overview, People, Access Control, Programme, Scientific Committee, Exhibition, Engagement, Knowledge, Content, Public Relations, Gates, Reference Data, System and Reports.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The only interactive elements are the visitor assistant and the meeting-confirmation page, which opens from a private per-speaker link.</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test-gated promotion: Development, Test, Staging and Production.</w:t>
            </w:r>
          </w:p>
          <w:p w14:paraId="65CD393E" w14:textId="77777777" w:rsidR="00B23F52" w:rsidRDefault="00000000">
            <w:pPr>
              <w:bidi w:val="0"/>
              <w:spacing w:after="80"/>
              <w:jc w:val="left"/>
            </w:pPr>
            <w:r>
              <w:rPr>
                <w:b/>
                <w:sz w:val="24"/>
              </w:rPr>
              <w:t>Development and Test. A single node runs the application sites and one SQL Server Standard instance, with OpenAPI enabled.</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the single outbound external service (the YouTube caption API). No SIMF server and no client device runs here.</w:t>
            </w:r>
          </w:p>
          <w:p w14:paraId="4B97EF0B" w14:textId="77777777" w:rsidR="00B23F52" w:rsidRDefault="00000000">
            <w:pPr>
              <w:bidi w:val="0"/>
              <w:spacing w:after="80"/>
              <w:ind w:left="360"/>
              <w:jc w:val="left"/>
            </w:pPr>
            <w:r>
              <w:rPr>
                <w:sz w:val="24"/>
              </w:rPr>
              <w:t>•  SSA Zone, the attendee mobile device, the public website browser and the administrator browser, the WAF and load balancer, the website and Control Panel tiers, and the mobile edge.</w:t>
            </w:r>
          </w:p>
          <w:p w14:paraId="1EBA66C5" w14:textId="77777777" w:rsidR="00B23F52" w:rsidRDefault="00000000">
            <w:pPr>
              <w:bidi w:val="0"/>
              <w:spacing w:after="80"/>
              <w:ind w:left="360"/>
              <w:jc w:val="left"/>
            </w:pPr>
            <w:r>
              <w:rPr>
                <w:sz w:val="24"/>
              </w:rPr>
              <w:t>•  HSA Zone, the API load balancer and four API hosts, the on-site LLM server, the on-site mail relay, two database hosts and MinIO object storage. The databases and the object store are reached only from the API hosts.</w:t>
            </w:r>
          </w:p>
          <w:p w14:paraId="70054B03" w14:textId="77777777" w:rsidR="00B23F52" w:rsidRDefault="00000000">
            <w:pPr>
              <w:bidi w:val="0"/>
              <w:spacing w:after="80"/>
              <w:ind w:left="360"/>
              <w:jc w:val="left"/>
            </w:pPr>
            <w:r>
              <w:rPr>
                <w:sz w:val="24"/>
              </w:rPr>
              <w:t>•  Three firewalls sit at the zone boundaries, as set out in section 2.1.</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and remove the development trust-all setting from the mobile client.</w:t>
            </w:r>
          </w:p>
          <w:p w14:paraId="66A8B16E" w14:textId="77777777" w:rsidR="00B23F52" w:rsidRDefault="00000000">
            <w:pPr>
              <w:bidi w:val="0"/>
              <w:spacing w:after="80"/>
              <w:ind w:left="360"/>
              <w:jc w:val="left"/>
            </w:pPr>
            <w:r>
              <w:rPr>
                <w:sz w:val="24"/>
              </w:rPr>
              <w:t>•  Open outbound access from the Control Panel hosts to the YouTube caption hosts only. No other host and no other destination requires an outbound route.</w:t>
            </w:r>
          </w:p>
          <w:p w14:paraId="70ABBC20" w14:textId="77777777" w:rsidR="00B23F52" w:rsidRDefault="00000000">
            <w:pPr>
              <w:bidi w:val="0"/>
              <w:spacing w:after="80"/>
              <w:ind w:left="360"/>
              <w:jc w:val="left"/>
            </w:pPr>
            <w:r>
              <w:rPr>
                <w:sz w:val="24"/>
              </w:rPr>
              <w:t>•  Provision MinIO object storage in the HSA data zone. Provision one shared data-protection key ring folder that both website nodes and both Control Panel nodes can read and write. Enable session affinity for the website and Control Panel tiers. Neither tier starts in production without the key ring.</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Four sites run as IIS sites and application pools: the API, the Control Panel, the website and the mobile edge. The deployment pipeline stops each site, copies the new files over it and starts it again, one site at a time, in that order.</w:t>
            </w:r>
          </w:p>
          <w:p w14:paraId="46707624" w14:textId="77777777" w:rsidR="00B23F52" w:rsidRDefault="00000000">
            <w:pPr>
              <w:bidi w:val="0"/>
              <w:spacing w:after="80"/>
              <w:ind w:left="360"/>
              <w:jc w:val="left"/>
            </w:pPr>
            <w:r>
              <w:rPr>
                <w:sz w:val="24"/>
              </w:rPr>
              <w:t>•  The API runs its scheduled jobs in-process. There is no separate worker server. Restarting the jobs means restarting the API application pool. One exclusive SQL Server application lock elects a single API node to run them, so the four-node tier runs each scheduled job once. The e-mail dispatcher is the exception: its queue is in-process, so every node drains its own.</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per-site scripts (deploy/set-env-api.ps1, set-env-cp.ps1, set-env-web.ps1 and set-env-edge.ps1); the committed scripts carry the non-secret values, every secret entry is empty, and an operator fills the secret values on the server. The hosts, protocols and ports are the Communication Requirements Matrix in section 2.8.</w:t>
            </w:r>
          </w:p>
          <w:p w14:paraId="2C4D8A6D"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2C4D8A6D" w14:textId="77777777" w:rsidR="00B23F52" w:rsidRDefault="00000000">
            <w:pPr>
              <w:bidi w:val="0"/>
              <w:spacing w:after="80"/>
              <w:jc w:val="left"/>
            </w:pPr>
            <w:r>
              <w:rPr>
                <w:b/>
                <w:sz w:val="24"/>
              </w:rPr>
              <w:t>SIMF response. They differ, and Figure 1 shows the difference. The mail relay is an on-site server in the HSA zone and is drawn as its own box. The log collector is an integration rather than a SIMF server, so it is not drawn. The two entries below give each one its protocol and port, and the communication requirements matrix in section 2.8 carries both.</w:t>
            </w:r>
          </w:p>
          <w:p w14:paraId="1FEA89F0"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perimeter firewall; mail is queued and dispatched asynchronously.</w:t>
            </w:r>
          </w:p>
          <w:p w14:paraId="1FEA89F0"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FEA89F0" w14:textId="77777777" w:rsidR="00B23F52" w:rsidRDefault="00000000">
            <w:pPr>
              <w:bidi w:val="0"/>
              <w:spacing w:after="80"/>
              <w:jc w:val="left"/>
            </w:pPr>
            <w:r>
              <w:rPr>
                <w:sz w:val="24"/>
              </w:rPr>
              <w:t>Neither component traverses the perimeter firewall. The Communication Requirements Matrix in section 2.8 has been updated for both.</w:t>
            </w:r>
          </w:p>
          <w:p w14:paraId="2C4D8A6D"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2C4D8A6D"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1FEA89F0" w14:textId="77777777" w:rsidR="00B23F52" w:rsidRDefault="00000000">
            <w:pPr>
              <w:bidi w:val="0"/>
              <w:spacing w:after="80"/>
              <w:jc w:val="left"/>
            </w:pPr>
            <w:r>
              <w:rPr>
                <w:sz w:val="24"/>
              </w:rPr>
              <w:t>The only outbound flow to the internet is the YouTube caption import, and its full path is: the Control Panel in SSA, under an FQDN allow-list that logs every request, then through the perimeter firewall to the Internet. No host in HSA holds an outbound route.</w:t>
            </w:r>
          </w:p>
          <w:p w14:paraId="1FEA89F0" w14:textId="77777777" w:rsidR="00B23F52" w:rsidRDefault="00000000">
            <w:pPr>
              <w:bidi w:val="0"/>
              <w:spacing w:after="80"/>
              <w:jc w:val="left"/>
            </w:pPr>
            <w:r>
              <w:rPr>
                <w:sz w:val="24"/>
              </w:rPr>
              <w:t>One point of precision, so the control is not over-stated: this restriction is enforced at the network layer, by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WAF and load balancer, which routes public pages to SIMF.Web, administrator traffic to SIMF.ControlPanel and mobile traffic to SIMF.MobileEdge. Those three call SIMF.Api over HTTPS 443 across the internal firewall, through the API load balancer. SIMF.Api authenticates and authorises the caller, runs the use case, and reads or writes the database over TCP 1433. Files are read and written through MinIO over the S3 API, e-mail is queued to the on-site SMTP relay, AI inference is performed by the on-site GPT OSS 120B endpoint, and the Control Panel makes the one outbound caption call.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secondary behind a listener, giving automatic failover. Development and test use a single Standard-edition instance.</w:t>
            </w:r>
          </w:p>
          <w:p w14:paraId="6663F3B4" w14:textId="77777777" w:rsidR="00B23F52" w:rsidRDefault="00000000">
            <w:pPr>
              <w:bidi w:val="0"/>
              <w:spacing w:after="80"/>
              <w:ind w:left="360"/>
              <w:jc w:val="left"/>
            </w:pPr>
            <w:r>
              <w:rPr>
                <w:sz w:val="24"/>
              </w:rPr>
              <w:t>•  File storage: MinIO object storage for avatars, identity documents, photos, recordings, presentations and media. Four categories are encrypted at rest with application-level AES-GCM: avatars, identity documents, VIP photos and speaker presentations; the rest are protected by access control. Database rows hold object keys, not blobs.</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the RowAudit and OperationLog trails described in section 2.5.</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See also section 2.9 Sizing and Performance View.</w:t>
            </w:r>
          </w:p>
          <w:p w14:paraId="2C4D8A6D" w14:textId="77777777" w:rsidR="00B23F52" w:rsidRDefault="00000000">
            <w:pPr>
              <w:bidi w:val="0"/>
              <w:spacing w:after="80"/>
              <w:jc w:val="left"/>
            </w:pPr>
            <w:r>
              <w:rPr>
                <w:b/>
                <w:sz w:val="24"/>
              </w:rPr>
              <w:t>Technical review, point 6. Clarify the purpose of the file storage and specify the type of files and data that will be stored in it.</w:t>
            </w:r>
          </w:p>
          <w:p w14:paraId="2C4D8A6D"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w:t>
            </w:r>
          </w:p>
          <w:p w14:paraId="1FEA89F0" w14:textId="77777777" w:rsidR="00B23F52" w:rsidRDefault="00000000">
            <w:pPr>
              <w:bidi w:val="0"/>
              <w:spacing w:after="80"/>
              <w:jc w:val="left"/>
            </w:pPr>
            <w:r>
              <w:rPr>
                <w:sz w:val="24"/>
              </w:rPr>
              <w:t>Content is classified into 25 service categories across 4 sensitivity tiers. Nineteen hold uploaded bytes: avatar, identity document, VIP photo, speaker photo, speaker presentation, session recording, organisation hero video, news image, media-gallery image, media-partner logo, sponsor logo, exhibitor logo, booth logo, organisation logo, programme-day image, banner, archive cover, archive past-speaker photo and archive gallery image. Six hold a validated external URL rather than bytes: the session live stream, the session summary video, the media-gallery video, the organisation live feed, the archive gallery video and the withdrawn sign-language feed.</w:t>
            </w:r>
          </w:p>
          <w:p w14:paraId="1FEA89F0"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1FEA89F0" w14:textId="77777777" w:rsidR="00B23F52" w:rsidRDefault="00000000">
            <w:pPr>
              <w:bidi w:val="0"/>
              <w:spacing w:after="80"/>
              <w:jc w:val="left"/>
            </w:pPr>
            <w:r>
              <w:rPr>
                <w:sz w:val="24"/>
              </w:rPr>
              <w:t>Access is only ever through the API, which enforces the per-category policy on every read and write. MinIO is not reachable from any client, from the website or from the Control Panel.</w:t>
            </w:r>
          </w:p>
        </w:tc>
      </w:tr>
      <w:tr w:rsidR="00784C3E" w:rsidRPr="00846EC5" w14:paraId="3EB737CE" w14:textId="77777777" w:rsidTr="00444983">
        <w:trPr>
          <w:trHeight w:val="336"/>
        </w:trPr>
        <w:tc>
          <w:tcPr>
            <w:tcW w:w="5000" w:type="pct"/>
            <w:shd w:val="clear" w:color="auto" w:fill="FFFFFF" w:themeFill="background1"/>
            <w:vAlign w:val="center"/>
          </w:tcPr>
          <w:p w14:paraId="1D145235" w14:textId="77777777" w:rsidR="00B23F52" w:rsidRDefault="00000000">
            <w:pPr>
              <w:bidi w:val="0"/>
              <w:spacing w:before="120" w:after="80"/>
              <w:jc w:val="left"/>
            </w:pPr>
            <w:r>
              <w:rPr>
                <w:b/>
                <w:sz w:val="24"/>
              </w:rPr>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c>
                <w:tcPr>
                  <w:tcW w:w="1656" w:type="dxa"/>
                </w:tcPr>
                <w:p w14:paraId="05A70BCC" w14:textId="77777777" w:rsidR="00B23F52" w:rsidRDefault="00000000">
                  <w:pPr>
                    <w:framePr w:hSpace="180" w:wrap="around" w:vAnchor="page" w:hAnchor="margin" w:xAlign="center" w:y="3301"/>
                    <w:bidi w:val="0"/>
                    <w:jc w:val="left"/>
                  </w:pPr>
                  <w:r>
                    <w:rPr>
                      <w:b/>
                      <w:sz w:val="16"/>
                    </w:rPr>
                    <w:t>Source</w:t>
                  </w:r>
                </w:p>
              </w:tc>
              <w:tc>
                <w:tcPr>
                  <w:tcW w:w="1944" w:type="dxa"/>
                </w:tcPr>
                <w:p w14:paraId="747C572A" w14:textId="77777777" w:rsidR="00B23F52" w:rsidRDefault="00000000">
                  <w:pPr>
                    <w:framePr w:hSpace="180" w:wrap="around" w:vAnchor="page" w:hAnchor="margin" w:xAlign="center" w:y="3301"/>
                    <w:bidi w:val="0"/>
                    <w:jc w:val="left"/>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pPr>
                  <w:r>
                    <w:rPr>
                      <w:b/>
                      <w:sz w:val="16"/>
                    </w:rPr>
                    <w:t>Port</w:t>
                  </w:r>
                </w:p>
              </w:tc>
              <w:tc>
                <w:tcPr>
                  <w:tcW w:w="1224" w:type="dxa"/>
                </w:tcPr>
                <w:p w14:paraId="73C5348E" w14:textId="77777777" w:rsidR="00B23F52" w:rsidRDefault="00000000">
                  <w:pPr>
                    <w:framePr w:hSpace="180" w:wrap="around" w:vAnchor="page" w:hAnchor="margin" w:xAlign="center" w:y="3301"/>
                    <w:bidi w:val="0"/>
                    <w:jc w:val="left"/>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App traffic</w:t>
                  </w:r>
                </w:p>
              </w:tc>
            </w:tr>
            <w:tr w:rsidR="00B23F52" w14:paraId="5C0C85B2" w14:textId="77777777">
              <w:tc>
                <w:tcPr>
                  <w:tcW w:w="1656" w:type="dxa"/>
                </w:tcPr>
                <w:p w14:paraId="783D6518" w14:textId="77777777" w:rsidR="00B23F52" w:rsidRDefault="00000000">
                  <w:pPr>
                    <w:framePr w:hSpace="180" w:wrap="around" w:vAnchor="page" w:hAnchor="margin" w:xAlign="center" w:y="3301"/>
                    <w:bidi w:val="0"/>
                    <w:jc w:val="left"/>
                  </w:pPr>
                  <w:r>
                    <w:rPr>
                      <w:sz w:val="16"/>
                    </w:rPr>
                    <w:t>Public browser (Internet)</w:t>
                  </w:r>
                </w:p>
              </w:tc>
              <w:tc>
                <w:tcPr>
                  <w:tcW w:w="1944" w:type="dxa"/>
                </w:tcPr>
                <w:p w14:paraId="665C53A9" w14:textId="77777777" w:rsidR="00B23F52" w:rsidRDefault="00000000">
                  <w:pPr>
                    <w:framePr w:hSpace="180" w:wrap="around" w:vAnchor="page" w:hAnchor="margin" w:xAlign="center" w:y="3301"/>
                    <w:bidi w:val="0"/>
                    <w:jc w:val="left"/>
                  </w:pPr>
                  <w:r>
                    <w:rPr>
                      <w:sz w:val="16"/>
                    </w:rPr>
                    <w:t>WAF + Load Balancer</w:t>
                  </w:r>
                </w:p>
              </w:tc>
              <w:tc>
                <w:tcPr>
                  <w:tcW w:w="1224" w:type="dxa"/>
                </w:tcPr>
                <w:p w14:paraId="7F0263AA" w14:textId="77777777" w:rsidR="00B23F52" w:rsidRDefault="00000000">
                  <w:pPr>
                    <w:framePr w:hSpace="180" w:wrap="around" w:vAnchor="page" w:hAnchor="margin" w:xAlign="center" w:y="3301"/>
                    <w:bidi w:val="0"/>
                    <w:jc w:val="left"/>
                  </w:pPr>
                  <w:r>
                    <w:rPr>
                      <w:sz w:val="16"/>
                    </w:rPr>
                    <w:t>HTTPS / TLS 1.2+</w:t>
                  </w:r>
                </w:p>
              </w:tc>
              <w:tc>
                <w:tcPr>
                  <w:tcW w:w="648" w:type="dxa"/>
                </w:tcPr>
                <w:p w14:paraId="19B678D5" w14:textId="77777777" w:rsidR="00B23F52" w:rsidRDefault="00000000">
                  <w:pPr>
                    <w:framePr w:hSpace="180" w:wrap="around" w:vAnchor="page" w:hAnchor="margin" w:xAlign="center" w:y="3301"/>
                    <w:bidi w:val="0"/>
                    <w:jc w:val="left"/>
                  </w:pPr>
                  <w:r>
                    <w:rPr>
                      <w:sz w:val="16"/>
                    </w:rPr>
                    <w:t>443</w:t>
                  </w:r>
                </w:p>
              </w:tc>
              <w:tc>
                <w:tcPr>
                  <w:tcW w:w="1224" w:type="dxa"/>
                </w:tcPr>
                <w:p w14:paraId="08463177" w14:textId="77777777" w:rsidR="00B23F52" w:rsidRDefault="00000000">
                  <w:pPr>
                    <w:framePr w:hSpace="180" w:wrap="around" w:vAnchor="page" w:hAnchor="margin" w:xAlign="center" w:y="3301"/>
                    <w:bidi w:val="0"/>
                    <w:jc w:val="left"/>
                  </w:pPr>
                  <w:r>
                    <w:rPr>
                      <w:sz w:val="16"/>
                    </w:rPr>
                    <w:t>Inbound</w:t>
                  </w:r>
                </w:p>
              </w:tc>
              <w:tc>
                <w:tcPr>
                  <w:tcW w:w="2232" w:type="dxa"/>
                </w:tcPr>
                <w:p w14:paraId="07E44A8C" w14:textId="77777777" w:rsidR="00B23F52" w:rsidRDefault="00000000">
                  <w:pPr>
                    <w:framePr w:hSpace="180" w:wrap="around" w:vAnchor="page" w:hAnchor="margin" w:xAlign="center" w:y="3301"/>
                    <w:bidi w:val="0"/>
                    <w:jc w:val="left"/>
                  </w:pPr>
                  <w:r>
                    <w:rPr>
                      <w:sz w:val="16"/>
                    </w:rPr>
                    <w:t>Public website traffic</w:t>
                  </w:r>
                </w:p>
              </w:tc>
            </w:tr>
            <w:tr w:rsidR="00B23F52" w14:paraId="15D0A362" w14:textId="77777777">
              <w:tc>
                <w:tcPr>
                  <w:tcW w:w="1656" w:type="dxa"/>
                </w:tcPr>
                <w:p w14:paraId="6771D747" w14:textId="77777777" w:rsidR="00B23F52" w:rsidRDefault="00000000">
                  <w:pPr>
                    <w:framePr w:hSpace="180" w:wrap="around" w:vAnchor="page" w:hAnchor="margin" w:xAlign="center" w:y="3301"/>
                    <w:bidi w:val="0"/>
                    <w:jc w:val="left"/>
                  </w:pPr>
                  <w:r>
                    <w:rPr>
                      <w:sz w:val="16"/>
                    </w:rPr>
                    <w:t>Administrator (Internet)</w:t>
                  </w:r>
                </w:p>
              </w:tc>
              <w:tc>
                <w:tcPr>
                  <w:tcW w:w="1944" w:type="dxa"/>
                </w:tcPr>
                <w:p w14:paraId="155CA1ED" w14:textId="77777777" w:rsidR="00B23F52" w:rsidRDefault="00000000">
                  <w:pPr>
                    <w:framePr w:hSpace="180" w:wrap="around" w:vAnchor="page" w:hAnchor="margin" w:xAlign="center" w:y="3301"/>
                    <w:bidi w:val="0"/>
                    <w:jc w:val="left"/>
                  </w:pPr>
                  <w:r>
                    <w:rPr>
                      <w:sz w:val="16"/>
                    </w:rPr>
                    <w:t>WAF + Load Balancer</w:t>
                  </w:r>
                </w:p>
              </w:tc>
              <w:tc>
                <w:tcPr>
                  <w:tcW w:w="1224" w:type="dxa"/>
                </w:tcPr>
                <w:p w14:paraId="1DBCC07D" w14:textId="77777777" w:rsidR="00B23F52" w:rsidRDefault="00000000">
                  <w:pPr>
                    <w:framePr w:hSpace="180" w:wrap="around" w:vAnchor="page" w:hAnchor="margin" w:xAlign="center" w:y="3301"/>
                    <w:bidi w:val="0"/>
                    <w:jc w:val="left"/>
                  </w:pPr>
                  <w:r>
                    <w:rPr>
                      <w:sz w:val="16"/>
                    </w:rPr>
                    <w:t>HTTPS / TLS 1.2+</w:t>
                  </w:r>
                </w:p>
              </w:tc>
              <w:tc>
                <w:tcPr>
                  <w:tcW w:w="648" w:type="dxa"/>
                </w:tcPr>
                <w:p w14:paraId="6D314882" w14:textId="77777777" w:rsidR="00B23F52" w:rsidRDefault="00000000">
                  <w:pPr>
                    <w:framePr w:hSpace="180" w:wrap="around" w:vAnchor="page" w:hAnchor="margin" w:xAlign="center" w:y="3301"/>
                    <w:bidi w:val="0"/>
                    <w:jc w:val="left"/>
                  </w:pPr>
                  <w:r>
                    <w:rPr>
                      <w:sz w:val="16"/>
                    </w:rPr>
                    <w:t>443</w:t>
                  </w:r>
                </w:p>
              </w:tc>
              <w:tc>
                <w:tcPr>
                  <w:tcW w:w="1224" w:type="dxa"/>
                </w:tcPr>
                <w:p w14:paraId="16B79FE9" w14:textId="77777777" w:rsidR="00B23F52" w:rsidRDefault="00000000">
                  <w:pPr>
                    <w:framePr w:hSpace="180" w:wrap="around" w:vAnchor="page" w:hAnchor="margin" w:xAlign="center" w:y="3301"/>
                    <w:bidi w:val="0"/>
                    <w:jc w:val="left"/>
                  </w:pPr>
                  <w:r>
                    <w:rPr>
                      <w:sz w:val="16"/>
                    </w:rPr>
                    <w:t>Inbound</w:t>
                  </w:r>
                </w:p>
              </w:tc>
              <w:tc>
                <w:tcPr>
                  <w:tcW w:w="2232" w:type="dxa"/>
                </w:tcPr>
                <w:p w14:paraId="1D7E6AB7" w14:textId="77777777" w:rsidR="00B23F52" w:rsidRDefault="00000000">
                  <w:pPr>
                    <w:framePr w:hSpace="180" w:wrap="around" w:vAnchor="page" w:hAnchor="margin" w:xAlign="center" w:y="3301"/>
                    <w:bidi w:val="0"/>
                    <w:jc w:val="left"/>
                  </w:pPr>
                  <w:r>
                    <w:rPr>
                      <w:sz w:val="16"/>
                    </w:rPr>
                    <w:t>Control Panel traffic</w:t>
                  </w:r>
                </w:p>
              </w:tc>
            </w:tr>
            <w:tr w:rsidR="00B23F52" w14:paraId="27F2EC19" w14:textId="77777777">
              <w:tc>
                <w:tcPr>
                  <w:tcW w:w="1656" w:type="dxa"/>
                </w:tcPr>
                <w:p w14:paraId="0018A339" w14:textId="77777777" w:rsidR="00B23F52" w:rsidRDefault="00000000">
                  <w:pPr>
                    <w:framePr w:hSpace="180" w:wrap="around" w:vAnchor="page" w:hAnchor="margin" w:xAlign="center" w:y="3301"/>
                    <w:bidi w:val="0"/>
                    <w:jc w:val="left"/>
                  </w:pPr>
                  <w:r>
                    <w:rPr>
                      <w:sz w:val="16"/>
                    </w:rPr>
                    <w:t>WAF + Load Balancer</w:t>
                  </w:r>
                </w:p>
              </w:tc>
              <w:tc>
                <w:tcPr>
                  <w:tcW w:w="1944" w:type="dxa"/>
                </w:tcPr>
                <w:p w14:paraId="4C3A7329" w14:textId="77777777" w:rsidR="00B23F52" w:rsidRDefault="00000000">
                  <w:pPr>
                    <w:framePr w:hSpace="180" w:wrap="around" w:vAnchor="page" w:hAnchor="margin" w:xAlign="center" w:y="3301"/>
                    <w:bidi w:val="0"/>
                    <w:jc w:val="left"/>
                  </w:pPr>
                  <w:r>
                    <w:rPr>
                      <w:sz w:val="16"/>
                    </w:rPr>
                    <w:t>SIMF.MobileEdge</w:t>
                  </w:r>
                </w:p>
              </w:tc>
              <w:tc>
                <w:tcPr>
                  <w:tcW w:w="1224" w:type="dxa"/>
                </w:tcPr>
                <w:p w14:paraId="7960C13C" w14:textId="77777777" w:rsidR="00B23F52" w:rsidRDefault="00000000">
                  <w:pPr>
                    <w:framePr w:hSpace="180" w:wrap="around" w:vAnchor="page" w:hAnchor="margin" w:xAlign="center" w:y="3301"/>
                    <w:bidi w:val="0"/>
                    <w:jc w:val="left"/>
                  </w:pPr>
                  <w:r>
                    <w:rPr>
                      <w:sz w:val="16"/>
                    </w:rPr>
                    <w:t>HTTPS</w:t>
                  </w:r>
                </w:p>
              </w:tc>
              <w:tc>
                <w:tcPr>
                  <w:tcW w:w="648" w:type="dxa"/>
                </w:tcPr>
                <w:p w14:paraId="0FE2245E" w14:textId="77777777" w:rsidR="00B23F52" w:rsidRDefault="00000000">
                  <w:pPr>
                    <w:framePr w:hSpace="180" w:wrap="around" w:vAnchor="page" w:hAnchor="margin" w:xAlign="center" w:y="3301"/>
                    <w:bidi w:val="0"/>
                    <w:jc w:val="left"/>
                  </w:pPr>
                  <w:r>
                    <w:rPr>
                      <w:sz w:val="16"/>
                    </w:rPr>
                    <w:t>443</w:t>
                  </w:r>
                </w:p>
              </w:tc>
              <w:tc>
                <w:tcPr>
                  <w:tcW w:w="1224" w:type="dxa"/>
                </w:tcPr>
                <w:p w14:paraId="7199F081" w14:textId="77777777" w:rsidR="00B23F52" w:rsidRDefault="00000000">
                  <w:pPr>
                    <w:framePr w:hSpace="180" w:wrap="around" w:vAnchor="page" w:hAnchor="margin" w:xAlign="center" w:y="3301"/>
                    <w:bidi w:val="0"/>
                    <w:jc w:val="left"/>
                  </w:pPr>
                  <w:r>
                    <w:rPr>
                      <w:sz w:val="16"/>
                    </w:rPr>
                    <w:t>Internal, SSA</w:t>
                  </w:r>
                </w:p>
              </w:tc>
              <w:tc>
                <w:tcPr>
                  <w:tcW w:w="2232" w:type="dxa"/>
                </w:tcPr>
                <w:p w14:paraId="39AC7435" w14:textId="77777777" w:rsidR="00B23F52" w:rsidRDefault="00000000">
                  <w:pPr>
                    <w:framePr w:hSpace="180" w:wrap="around" w:vAnchor="page" w:hAnchor="margin" w:xAlign="center" w:y="3301"/>
                    <w:bidi w:val="0"/>
                    <w:jc w:val="left"/>
                  </w:pPr>
                  <w:r>
                    <w:rPr>
                      <w:sz w:val="16"/>
                    </w:rPr>
                    <w:t>Mobile edge</w:t>
                  </w:r>
                </w:p>
              </w:tc>
            </w:tr>
            <w:tr w:rsidR="00B23F52" w14:paraId="42332D73" w14:textId="77777777">
              <w:tc>
                <w:tcPr>
                  <w:tcW w:w="1656" w:type="dxa"/>
                </w:tcPr>
                <w:p w14:paraId="2D584291" w14:textId="77777777" w:rsidR="00B23F52" w:rsidRDefault="00000000">
                  <w:pPr>
                    <w:framePr w:hSpace="180" w:wrap="around" w:vAnchor="page" w:hAnchor="margin" w:xAlign="center" w:y="3301"/>
                    <w:bidi w:val="0"/>
                    <w:jc w:val="left"/>
                  </w:pPr>
                  <w:r>
                    <w:rPr>
                      <w:sz w:val="16"/>
                    </w:rPr>
                    <w:t>WAF + Load Balancer</w:t>
                  </w:r>
                </w:p>
              </w:tc>
              <w:tc>
                <w:tcPr>
                  <w:tcW w:w="1944" w:type="dxa"/>
                </w:tcPr>
                <w:p w14:paraId="2DFE7318" w14:textId="77777777" w:rsidR="00B23F52" w:rsidRDefault="00000000">
                  <w:pPr>
                    <w:framePr w:hSpace="180" w:wrap="around" w:vAnchor="page" w:hAnchor="margin" w:xAlign="center" w:y="3301"/>
                    <w:bidi w:val="0"/>
                    <w:jc w:val="left"/>
                  </w:pPr>
                  <w:r>
                    <w:rPr>
                      <w:sz w:val="16"/>
                    </w:rPr>
                    <w:t>SIMF.Web</w:t>
                  </w:r>
                </w:p>
              </w:tc>
              <w:tc>
                <w:tcPr>
                  <w:tcW w:w="1224" w:type="dxa"/>
                </w:tcPr>
                <w:p w14:paraId="15921EF6" w14:textId="77777777" w:rsidR="00B23F52" w:rsidRDefault="00000000">
                  <w:pPr>
                    <w:framePr w:hSpace="180" w:wrap="around" w:vAnchor="page" w:hAnchor="margin" w:xAlign="center" w:y="3301"/>
                    <w:bidi w:val="0"/>
                    <w:jc w:val="left"/>
                  </w:pPr>
                  <w:r>
                    <w:rPr>
                      <w:sz w:val="16"/>
                    </w:rPr>
                    <w:t>HTTPS</w:t>
                  </w:r>
                </w:p>
              </w:tc>
              <w:tc>
                <w:tcPr>
                  <w:tcW w:w="648" w:type="dxa"/>
                </w:tcPr>
                <w:p w14:paraId="21BA8289" w14:textId="77777777" w:rsidR="00B23F52" w:rsidRDefault="00000000">
                  <w:pPr>
                    <w:framePr w:hSpace="180" w:wrap="around" w:vAnchor="page" w:hAnchor="margin" w:xAlign="center" w:y="3301"/>
                    <w:bidi w:val="0"/>
                    <w:jc w:val="left"/>
                  </w:pPr>
                  <w:r>
                    <w:rPr>
                      <w:sz w:val="16"/>
                    </w:rPr>
                    <w:t>443</w:t>
                  </w:r>
                </w:p>
              </w:tc>
              <w:tc>
                <w:tcPr>
                  <w:tcW w:w="1224" w:type="dxa"/>
                </w:tcPr>
                <w:p w14:paraId="0B2E79F8" w14:textId="77777777" w:rsidR="00B23F52" w:rsidRDefault="00000000">
                  <w:pPr>
                    <w:framePr w:hSpace="180" w:wrap="around" w:vAnchor="page" w:hAnchor="margin" w:xAlign="center" w:y="3301"/>
                    <w:bidi w:val="0"/>
                    <w:jc w:val="left"/>
                  </w:pPr>
                  <w:r>
                    <w:rPr>
                      <w:sz w:val="16"/>
                    </w:rPr>
                    <w:t>Internal, SSA</w:t>
                  </w:r>
                </w:p>
              </w:tc>
              <w:tc>
                <w:tcPr>
                  <w:tcW w:w="2232" w:type="dxa"/>
                </w:tcPr>
                <w:p w14:paraId="1109DB6A" w14:textId="77777777" w:rsidR="00B23F52" w:rsidRDefault="00000000">
                  <w:pPr>
                    <w:framePr w:hSpace="180" w:wrap="around" w:vAnchor="page" w:hAnchor="margin" w:xAlign="center" w:y="3301"/>
                    <w:bidi w:val="0"/>
                    <w:jc w:val="left"/>
                  </w:pPr>
                  <w:r>
                    <w:rPr>
                      <w:sz w:val="16"/>
                    </w:rPr>
                    <w:t>Public website rendering</w:t>
                  </w:r>
                </w:p>
              </w:tc>
            </w:tr>
            <w:tr w:rsidR="00B23F52" w14:paraId="0C774E64" w14:textId="77777777">
              <w:tc>
                <w:tcPr>
                  <w:tcW w:w="1656" w:type="dxa"/>
                </w:tcPr>
                <w:p w14:paraId="40637A9B" w14:textId="77777777" w:rsidR="00B23F52" w:rsidRDefault="00000000">
                  <w:pPr>
                    <w:framePr w:hSpace="180" w:wrap="around" w:vAnchor="page" w:hAnchor="margin" w:xAlign="center" w:y="3301"/>
                    <w:bidi w:val="0"/>
                    <w:jc w:val="left"/>
                  </w:pPr>
                  <w:r>
                    <w:rPr>
                      <w:sz w:val="16"/>
                    </w:rPr>
                    <w:t>WAF + Load Balancer</w:t>
                  </w:r>
                </w:p>
              </w:tc>
              <w:tc>
                <w:tcPr>
                  <w:tcW w:w="1944" w:type="dxa"/>
                </w:tcPr>
                <w:p w14:paraId="43636061" w14:textId="77777777" w:rsidR="00B23F52" w:rsidRDefault="00000000">
                  <w:pPr>
                    <w:framePr w:hSpace="180" w:wrap="around" w:vAnchor="page" w:hAnchor="margin" w:xAlign="center" w:y="3301"/>
                    <w:bidi w:val="0"/>
                    <w:jc w:val="left"/>
                  </w:pPr>
                  <w:r>
                    <w:rPr>
                      <w:sz w:val="16"/>
                    </w:rPr>
                    <w:t>SIMF.ControlPanel</w:t>
                  </w:r>
                </w:p>
              </w:tc>
              <w:tc>
                <w:tcPr>
                  <w:tcW w:w="1224" w:type="dxa"/>
                </w:tcPr>
                <w:p w14:paraId="56753B6F" w14:textId="77777777" w:rsidR="00B23F52" w:rsidRDefault="00000000">
                  <w:pPr>
                    <w:framePr w:hSpace="180" w:wrap="around" w:vAnchor="page" w:hAnchor="margin" w:xAlign="center" w:y="3301"/>
                    <w:bidi w:val="0"/>
                    <w:jc w:val="left"/>
                  </w:pPr>
                  <w:r>
                    <w:rPr>
                      <w:sz w:val="16"/>
                    </w:rPr>
                    <w:t>HTTPS</w:t>
                  </w:r>
                </w:p>
              </w:tc>
              <w:tc>
                <w:tcPr>
                  <w:tcW w:w="648" w:type="dxa"/>
                </w:tcPr>
                <w:p w14:paraId="6A75F520" w14:textId="77777777" w:rsidR="00B23F52" w:rsidRDefault="00000000">
                  <w:pPr>
                    <w:framePr w:hSpace="180" w:wrap="around" w:vAnchor="page" w:hAnchor="margin" w:xAlign="center" w:y="3301"/>
                    <w:bidi w:val="0"/>
                    <w:jc w:val="left"/>
                  </w:pPr>
                  <w:r>
                    <w:rPr>
                      <w:sz w:val="16"/>
                    </w:rPr>
                    <w:t>443</w:t>
                  </w:r>
                </w:p>
              </w:tc>
              <w:tc>
                <w:tcPr>
                  <w:tcW w:w="1224" w:type="dxa"/>
                </w:tcPr>
                <w:p w14:paraId="4A49CABB" w14:textId="77777777" w:rsidR="00B23F52" w:rsidRDefault="00000000">
                  <w:pPr>
                    <w:framePr w:hSpace="180" w:wrap="around" w:vAnchor="page" w:hAnchor="margin" w:xAlign="center" w:y="3301"/>
                    <w:bidi w:val="0"/>
                    <w:jc w:val="left"/>
                  </w:pPr>
                  <w:r>
                    <w:rPr>
                      <w:sz w:val="16"/>
                    </w:rPr>
                    <w:t>Internal, SSA</w:t>
                  </w:r>
                </w:p>
              </w:tc>
              <w:tc>
                <w:tcPr>
                  <w:tcW w:w="2232" w:type="dxa"/>
                </w:tcPr>
                <w:p w14:paraId="0BF33650" w14:textId="77777777" w:rsidR="00B23F52" w:rsidRDefault="00000000">
                  <w:pPr>
                    <w:framePr w:hSpace="180" w:wrap="around" w:vAnchor="page" w:hAnchor="margin" w:xAlign="center" w:y="3301"/>
                    <w:bidi w:val="0"/>
                    <w:jc w:val="left"/>
                  </w:pPr>
                  <w:r>
                    <w:rPr>
                      <w:sz w:val="16"/>
                    </w:rPr>
                    <w:t>Administration (session affinity)</w:t>
                  </w:r>
                </w:p>
              </w:tc>
            </w:tr>
            <w:tr w:rsidR="00B23F52" w14:paraId="681D44C5" w14:textId="77777777">
              <w:tc>
                <w:tcPr>
                  <w:tcW w:w="1656" w:type="dxa"/>
                </w:tcPr>
                <w:p w14:paraId="58071610" w14:textId="77777777" w:rsidR="00B23F52" w:rsidRDefault="00000000">
                  <w:pPr>
                    <w:framePr w:hSpace="180" w:wrap="around" w:vAnchor="page" w:hAnchor="margin" w:xAlign="center" w:y="3301"/>
                    <w:bidi w:val="0"/>
                    <w:jc w:val="left"/>
                  </w:pPr>
                  <w:r>
                    <w:rPr>
                      <w:sz w:val="16"/>
                    </w:rPr>
                    <w:t>SIMF.MobileEdge / SIMF.Web / SIMF.ControlPanel</w:t>
                  </w:r>
                </w:p>
              </w:tc>
              <w:tc>
                <w:tcPr>
                  <w:tcW w:w="1944" w:type="dxa"/>
                </w:tcPr>
                <w:p w14:paraId="22E64572" w14:textId="77777777" w:rsidR="00B23F52" w:rsidRDefault="00000000">
                  <w:pPr>
                    <w:framePr w:hSpace="180" w:wrap="around" w:vAnchor="page" w:hAnchor="margin" w:xAlign="center" w:y="3301"/>
                    <w:bidi w:val="0"/>
                    <w:jc w:val="left"/>
                  </w:pPr>
                  <w:r>
                    <w:rPr>
                      <w:sz w:val="16"/>
                    </w:rPr>
                    <w:t>API load balancer</w:t>
                  </w:r>
                </w:p>
              </w:tc>
              <w:tc>
                <w:tcPr>
                  <w:tcW w:w="1224" w:type="dxa"/>
                </w:tcPr>
                <w:p w14:paraId="7702F3E3" w14:textId="77777777" w:rsidR="00B23F52" w:rsidRDefault="00000000">
                  <w:pPr>
                    <w:framePr w:hSpace="180" w:wrap="around" w:vAnchor="page" w:hAnchor="margin" w:xAlign="center" w:y="3301"/>
                    <w:bidi w:val="0"/>
                    <w:jc w:val="left"/>
                  </w:pPr>
                  <w:r>
                    <w:rPr>
                      <w:sz w:val="16"/>
                    </w:rPr>
                    <w:t>HTTPS</w:t>
                  </w:r>
                </w:p>
              </w:tc>
              <w:tc>
                <w:tcPr>
                  <w:tcW w:w="648" w:type="dxa"/>
                </w:tcPr>
                <w:p w14:paraId="475344A0" w14:textId="77777777" w:rsidR="00B23F52" w:rsidRDefault="00000000">
                  <w:pPr>
                    <w:framePr w:hSpace="180" w:wrap="around" w:vAnchor="page" w:hAnchor="margin" w:xAlign="center" w:y="3301"/>
                    <w:bidi w:val="0"/>
                    <w:jc w:val="left"/>
                  </w:pPr>
                  <w:r>
                    <w:rPr>
                      <w:sz w:val="16"/>
                    </w:rPr>
                    <w:t>443</w:t>
                  </w:r>
                </w:p>
              </w:tc>
              <w:tc>
                <w:tcPr>
                  <w:tcW w:w="1224" w:type="dxa"/>
                </w:tcPr>
                <w:p w14:paraId="607C7D06" w14:textId="77777777" w:rsidR="00B23F52" w:rsidRDefault="00000000">
                  <w:pPr>
                    <w:framePr w:hSpace="180" w:wrap="around" w:vAnchor="page" w:hAnchor="margin" w:xAlign="center" w:y="3301"/>
                    <w:bidi w:val="0"/>
                    <w:jc w:val="left"/>
                  </w:pPr>
                  <w:r>
                    <w:rPr>
                      <w:sz w:val="16"/>
                    </w:rPr>
                    <w:t>SSA to HSA</w:t>
                  </w:r>
                </w:p>
              </w:tc>
              <w:tc>
                <w:tcPr>
                  <w:tcW w:w="2232" w:type="dxa"/>
                </w:tcPr>
                <w:p w14:paraId="22D53349" w14:textId="77777777" w:rsidR="00B23F52" w:rsidRDefault="00000000">
                  <w:pPr>
                    <w:framePr w:hSpace="180" w:wrap="around" w:vAnchor="page" w:hAnchor="margin" w:xAlign="center" w:y="3301"/>
                    <w:bidi w:val="0"/>
                    <w:jc w:val="left"/>
                  </w:pPr>
                  <w:r>
                    <w:rPr>
                      <w:sz w:val="16"/>
                    </w:rPr>
                    <w:t>Server-to-server typed API client</w:t>
                  </w:r>
                </w:p>
              </w:tc>
            </w:tr>
            <w:tr w:rsidR="00B23F52" w14:paraId="06702CEA" w14:textId="77777777">
              <w:tc>
                <w:tcPr>
                  <w:tcW w:w="1656" w:type="dxa"/>
                </w:tcPr>
                <w:p w14:paraId="45E41DD2" w14:textId="77777777" w:rsidR="00B23F52" w:rsidRDefault="00000000">
                  <w:pPr>
                    <w:framePr w:hSpace="180" w:wrap="around" w:vAnchor="page" w:hAnchor="margin" w:xAlign="center" w:y="3301"/>
                    <w:bidi w:val="0"/>
                    <w:jc w:val="left"/>
                  </w:pPr>
                  <w:r>
                    <w:rPr>
                      <w:sz w:val="16"/>
                    </w:rPr>
                    <w:t>API load balancer</w:t>
                  </w:r>
                </w:p>
              </w:tc>
              <w:tc>
                <w:tcPr>
                  <w:tcW w:w="1944" w:type="dxa"/>
                </w:tcPr>
                <w:p w14:paraId="5B58DC7A" w14:textId="77777777" w:rsidR="00B23F52" w:rsidRDefault="00000000">
                  <w:pPr>
                    <w:framePr w:hSpace="180" w:wrap="around" w:vAnchor="page" w:hAnchor="margin" w:xAlign="center" w:y="3301"/>
                    <w:bidi w:val="0"/>
                    <w:jc w:val="left"/>
                  </w:pPr>
                  <w:r>
                    <w:rPr>
                      <w:sz w:val="16"/>
                    </w:rPr>
                    <w:t>SIMF.Api</w:t>
                  </w:r>
                </w:p>
              </w:tc>
              <w:tc>
                <w:tcPr>
                  <w:tcW w:w="1224" w:type="dxa"/>
                </w:tcPr>
                <w:p w14:paraId="7B0F1054" w14:textId="77777777" w:rsidR="00B23F52" w:rsidRDefault="00000000">
                  <w:pPr>
                    <w:framePr w:hSpace="180" w:wrap="around" w:vAnchor="page" w:hAnchor="margin" w:xAlign="center" w:y="3301"/>
                    <w:bidi w:val="0"/>
                    <w:jc w:val="left"/>
                  </w:pPr>
                  <w:r>
                    <w:rPr>
                      <w:sz w:val="16"/>
                    </w:rPr>
                    <w:t>HTTPS</w:t>
                  </w:r>
                </w:p>
              </w:tc>
              <w:tc>
                <w:tcPr>
                  <w:tcW w:w="648" w:type="dxa"/>
                </w:tcPr>
                <w:p w14:paraId="0BF268D2" w14:textId="77777777" w:rsidR="00B23F52" w:rsidRDefault="00000000">
                  <w:pPr>
                    <w:framePr w:hSpace="180" w:wrap="around" w:vAnchor="page" w:hAnchor="margin" w:xAlign="center" w:y="3301"/>
                    <w:bidi w:val="0"/>
                    <w:jc w:val="left"/>
                  </w:pPr>
                  <w:r>
                    <w:rPr>
                      <w:sz w:val="16"/>
                    </w:rPr>
                    <w:t>443</w:t>
                  </w:r>
                </w:p>
              </w:tc>
              <w:tc>
                <w:tcPr>
                  <w:tcW w:w="1224" w:type="dxa"/>
                </w:tcPr>
                <w:p w14:paraId="6DABEEF8" w14:textId="77777777" w:rsidR="00B23F52" w:rsidRDefault="00000000">
                  <w:pPr>
                    <w:framePr w:hSpace="180" w:wrap="around" w:vAnchor="page" w:hAnchor="margin" w:xAlign="center" w:y="3301"/>
                    <w:bidi w:val="0"/>
                    <w:jc w:val="left"/>
                  </w:pPr>
                  <w:r>
                    <w:rPr>
                      <w:sz w:val="16"/>
                    </w:rPr>
                    <w:t>Internal, HSA</w:t>
                  </w:r>
                </w:p>
              </w:tc>
              <w:tc>
                <w:tcPr>
                  <w:tcW w:w="2232" w:type="dxa"/>
                </w:tcPr>
                <w:p w14:paraId="77FB8026" w14:textId="77777777" w:rsidR="00B23F52" w:rsidRDefault="00000000">
                  <w:pPr>
                    <w:framePr w:hSpace="180" w:wrap="around" w:vAnchor="page" w:hAnchor="margin" w:xAlign="center" w:y="3301"/>
                    <w:bidi w:val="0"/>
                    <w:jc w:val="left"/>
                  </w:pPr>
                  <w:r>
                    <w:rPr>
                      <w:sz w:val="16"/>
                    </w:rPr>
                    <w:t>Distribution across the four API nodes</w:t>
                  </w:r>
                </w:p>
              </w:tc>
            </w:tr>
            <w:tr w:rsidR="00B23F52" w14:paraId="5E7DB6F4" w14:textId="77777777">
              <w:tc>
                <w:tcPr>
                  <w:tcW w:w="1656" w:type="dxa"/>
                </w:tcPr>
                <w:p w14:paraId="1877D145" w14:textId="77777777" w:rsidR="00B23F52" w:rsidRDefault="00000000">
                  <w:pPr>
                    <w:framePr w:hSpace="180" w:wrap="around" w:vAnchor="page" w:hAnchor="margin" w:xAlign="center" w:y="3301"/>
                    <w:bidi w:val="0"/>
                    <w:jc w:val="left"/>
                  </w:pPr>
                  <w:r>
                    <w:rPr>
                      <w:sz w:val="16"/>
                    </w:rPr>
                    <w:t>SIMF.Api</w:t>
                  </w:r>
                </w:p>
              </w:tc>
              <w:tc>
                <w:tcPr>
                  <w:tcW w:w="1944" w:type="dxa"/>
                </w:tcPr>
                <w:p w14:paraId="47A409C0" w14:textId="77777777" w:rsidR="00B23F52" w:rsidRDefault="00000000">
                  <w:pPr>
                    <w:framePr w:hSpace="180" w:wrap="around" w:vAnchor="page" w:hAnchor="margin" w:xAlign="center" w:y="3301"/>
                    <w:bidi w:val="0"/>
                    <w:jc w:val="left"/>
                  </w:pPr>
                  <w:r>
                    <w:rPr>
                      <w:sz w:val="16"/>
                    </w:rPr>
                    <w:t>LLM server (GPT OSS 120B)</w:t>
                  </w:r>
                </w:p>
              </w:tc>
              <w:tc>
                <w:tcPr>
                  <w:tcW w:w="1224" w:type="dxa"/>
                </w:tcPr>
                <w:p w14:paraId="7B16E1BD" w14:textId="77777777" w:rsidR="00B23F52" w:rsidRDefault="00000000">
                  <w:pPr>
                    <w:framePr w:hSpace="180" w:wrap="around" w:vAnchor="page" w:hAnchor="margin" w:xAlign="center" w:y="3301"/>
                    <w:bidi w:val="0"/>
                    <w:jc w:val="left"/>
                  </w:pPr>
                  <w:r>
                    <w:rPr>
                      <w:sz w:val="16"/>
                    </w:rPr>
                    <w:t>HTTPS</w:t>
                  </w:r>
                </w:p>
              </w:tc>
              <w:tc>
                <w:tcPr>
                  <w:tcW w:w="648" w:type="dxa"/>
                </w:tcPr>
                <w:p w14:paraId="37DF0B71" w14:textId="77777777" w:rsidR="00B23F52" w:rsidRDefault="00000000">
                  <w:pPr>
                    <w:framePr w:hSpace="180" w:wrap="around" w:vAnchor="page" w:hAnchor="margin" w:xAlign="center" w:y="3301"/>
                    <w:bidi w:val="0"/>
                    <w:jc w:val="left"/>
                  </w:pPr>
                  <w:r>
                    <w:rPr>
                      <w:sz w:val="16"/>
                    </w:rPr>
                    <w:t>443</w:t>
                  </w:r>
                </w:p>
              </w:tc>
              <w:tc>
                <w:tcPr>
                  <w:tcW w:w="1224" w:type="dxa"/>
                </w:tcPr>
                <w:p w14:paraId="02C6CA97" w14:textId="77777777" w:rsidR="00B23F52" w:rsidRDefault="00000000">
                  <w:pPr>
                    <w:framePr w:hSpace="180" w:wrap="around" w:vAnchor="page" w:hAnchor="margin" w:xAlign="center" w:y="3301"/>
                    <w:bidi w:val="0"/>
                    <w:jc w:val="left"/>
                  </w:pPr>
                  <w:r>
                    <w:rPr>
                      <w:sz w:val="16"/>
                    </w:rPr>
                    <w:t>Internal, HSA</w:t>
                  </w:r>
                </w:p>
              </w:tc>
              <w:tc>
                <w:tcPr>
                  <w:tcW w:w="2232" w:type="dxa"/>
                </w:tcPr>
                <w:p w14:paraId="1F56C2D9" w14:textId="77777777" w:rsidR="00B23F52" w:rsidRDefault="00000000">
                  <w:pPr>
                    <w:framePr w:hSpace="180" w:wrap="around" w:vAnchor="page" w:hAnchor="margin" w:xAlign="center" w:y="3301"/>
                    <w:bidi w:val="0"/>
                    <w:jc w:val="left"/>
                  </w:pPr>
                  <w:r>
                    <w:rPr>
                      <w:sz w:val="16"/>
                    </w:rPr>
                    <w:t>Inference over an OpenAI-compatible API</w:t>
                  </w:r>
                </w:p>
              </w:tc>
            </w:tr>
            <w:tr w:rsidR="00B23F52" w14:paraId="7A747F89" w14:textId="77777777">
              <w:tc>
                <w:tcPr>
                  <w:tcW w:w="1656" w:type="dxa"/>
                </w:tcPr>
                <w:p w14:paraId="17E0A15C" w14:textId="77777777" w:rsidR="00B23F52" w:rsidRDefault="00000000">
                  <w:pPr>
                    <w:framePr w:hSpace="180" w:wrap="around" w:vAnchor="page" w:hAnchor="margin" w:xAlign="center" w:y="3301"/>
                    <w:bidi w:val="0"/>
                    <w:jc w:val="left"/>
                  </w:pPr>
                  <w:r>
                    <w:rPr>
                      <w:sz w:val="16"/>
                    </w:rPr>
                    <w:t>SIMF.Api</w:t>
                  </w:r>
                </w:p>
              </w:tc>
              <w:tc>
                <w:tcPr>
                  <w:tcW w:w="1944" w:type="dxa"/>
                </w:tcPr>
                <w:p w14:paraId="1F9AFD6C" w14:textId="77777777" w:rsidR="00B23F52" w:rsidRDefault="00000000">
                  <w:pPr>
                    <w:framePr w:hSpace="180" w:wrap="around" w:vAnchor="page" w:hAnchor="margin" w:xAlign="center" w:y="3301"/>
                    <w:bidi w:val="0"/>
                    <w:jc w:val="left"/>
                  </w:pPr>
                  <w:r>
                    <w:rPr>
                      <w:sz w:val="16"/>
                    </w:rPr>
                    <w:t>Mail server</w:t>
                  </w:r>
                </w:p>
              </w:tc>
              <w:tc>
                <w:tcPr>
                  <w:tcW w:w="1224" w:type="dxa"/>
                </w:tcPr>
                <w:p w14:paraId="17F8D827" w14:textId="77777777" w:rsidR="00B23F52" w:rsidRDefault="00000000">
                  <w:pPr>
                    <w:framePr w:hSpace="180" w:wrap="around" w:vAnchor="page" w:hAnchor="margin" w:xAlign="center" w:y="3301"/>
                    <w:bidi w:val="0"/>
                    <w:jc w:val="left"/>
                  </w:pPr>
                  <w:r>
                    <w:rPr>
                      <w:sz w:val="16"/>
                    </w:rPr>
                    <w:t>SMTP / STARTTLS</w:t>
                  </w:r>
                </w:p>
              </w:tc>
              <w:tc>
                <w:tcPr>
                  <w:tcW w:w="648" w:type="dxa"/>
                </w:tcPr>
                <w:p w14:paraId="40890152" w14:textId="77777777" w:rsidR="00B23F52" w:rsidRDefault="00000000">
                  <w:pPr>
                    <w:framePr w:hSpace="180" w:wrap="around" w:vAnchor="page" w:hAnchor="margin" w:xAlign="center" w:y="3301"/>
                    <w:bidi w:val="0"/>
                    <w:jc w:val="left"/>
                  </w:pPr>
                  <w:r>
                    <w:rPr>
                      <w:sz w:val="16"/>
                    </w:rPr>
                    <w:t>587</w:t>
                  </w:r>
                </w:p>
              </w:tc>
              <w:tc>
                <w:tcPr>
                  <w:tcW w:w="1224" w:type="dxa"/>
                </w:tcPr>
                <w:p w14:paraId="6304869F" w14:textId="77777777" w:rsidR="00B23F52" w:rsidRDefault="00000000">
                  <w:pPr>
                    <w:framePr w:hSpace="180" w:wrap="around" w:vAnchor="page" w:hAnchor="margin" w:xAlign="center" w:y="3301"/>
                    <w:bidi w:val="0"/>
                    <w:jc w:val="left"/>
                  </w:pPr>
                  <w:r>
                    <w:rPr>
                      <w:sz w:val="16"/>
                    </w:rPr>
                    <w:t>Internal, HSA</w:t>
                  </w:r>
                </w:p>
              </w:tc>
              <w:tc>
                <w:tcPr>
                  <w:tcW w:w="2232" w:type="dxa"/>
                </w:tcPr>
                <w:p w14:paraId="3FAD67D0" w14:textId="77777777" w:rsidR="00B23F52" w:rsidRDefault="00000000">
                  <w:pPr>
                    <w:framePr w:hSpace="180" w:wrap="around" w:vAnchor="page" w:hAnchor="margin" w:xAlign="center" w:y="3301"/>
                    <w:bidi w:val="0"/>
                    <w:jc w:val="left"/>
                  </w:pPr>
                  <w:r>
                    <w:rPr>
                      <w:sz w:val="16"/>
                    </w:rPr>
                    <w:t>Transactional e-mail dispatch</w:t>
                  </w:r>
                </w:p>
              </w:tc>
            </w:tr>
            <w:tr w:rsidR="00B23F52" w14:paraId="410BA166" w14:textId="77777777">
              <w:tc>
                <w:tcPr>
                  <w:tcW w:w="1656" w:type="dxa"/>
                </w:tcPr>
                <w:p w14:paraId="624D96F7" w14:textId="77777777" w:rsidR="00B23F52" w:rsidRDefault="00000000">
                  <w:pPr>
                    <w:framePr w:hSpace="180" w:wrap="around" w:vAnchor="page" w:hAnchor="margin" w:xAlign="center" w:y="3301"/>
                    <w:bidi w:val="0"/>
                    <w:jc w:val="left"/>
                  </w:pPr>
                  <w:r>
                    <w:rPr>
                      <w:sz w:val="16"/>
                    </w:rPr>
                    <w:t>SIMF.Api</w:t>
                  </w:r>
                </w:p>
              </w:tc>
              <w:tc>
                <w:tcPr>
                  <w:tcW w:w="1944" w:type="dxa"/>
                </w:tcPr>
                <w:p w14:paraId="55A566A8" w14:textId="77777777" w:rsidR="00B23F52" w:rsidRDefault="00000000">
                  <w:pPr>
                    <w:framePr w:hSpace="180" w:wrap="around" w:vAnchor="page" w:hAnchor="margin" w:xAlign="center" w:y="3301"/>
                    <w:bidi w:val="0"/>
                    <w:jc w:val="left"/>
                  </w:pPr>
                  <w:r>
                    <w:rPr>
                      <w:sz w:val="16"/>
                    </w:rPr>
                    <w:t>SQL Server (AG listener)</w:t>
                  </w:r>
                </w:p>
              </w:tc>
              <w:tc>
                <w:tcPr>
                  <w:tcW w:w="1224" w:type="dxa"/>
                </w:tcPr>
                <w:p w14:paraId="45602E92" w14:textId="77777777" w:rsidR="00B23F52" w:rsidRDefault="00000000">
                  <w:pPr>
                    <w:framePr w:hSpace="180" w:wrap="around" w:vAnchor="page" w:hAnchor="margin" w:xAlign="center" w:y="3301"/>
                    <w:bidi w:val="0"/>
                    <w:jc w:val="left"/>
                  </w:pPr>
                  <w:r>
                    <w:rPr>
                      <w:sz w:val="16"/>
                    </w:rPr>
                    <w:t>TCP / TDS</w:t>
                  </w:r>
                </w:p>
              </w:tc>
              <w:tc>
                <w:tcPr>
                  <w:tcW w:w="648" w:type="dxa"/>
                </w:tcPr>
                <w:p w14:paraId="15E77454" w14:textId="77777777" w:rsidR="00B23F52" w:rsidRDefault="00000000">
                  <w:pPr>
                    <w:framePr w:hSpace="180" w:wrap="around" w:vAnchor="page" w:hAnchor="margin" w:xAlign="center" w:y="3301"/>
                    <w:bidi w:val="0"/>
                    <w:jc w:val="left"/>
                  </w:pPr>
                  <w:r>
                    <w:rPr>
                      <w:sz w:val="16"/>
                    </w:rPr>
                    <w:t>1433</w:t>
                  </w:r>
                </w:p>
              </w:tc>
              <w:tc>
                <w:tcPr>
                  <w:tcW w:w="1224" w:type="dxa"/>
                </w:tcPr>
                <w:p w14:paraId="6B667375"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4685181" w14:textId="77777777" w:rsidR="00B23F52" w:rsidRDefault="00000000">
                  <w:pPr>
                    <w:framePr w:hSpace="180" w:wrap="around" w:vAnchor="page" w:hAnchor="margin" w:xAlign="center" w:y="3301"/>
                    <w:bidi w:val="0"/>
                    <w:jc w:val="left"/>
                  </w:pPr>
                  <w:r>
                    <w:rPr>
                      <w:sz w:val="16"/>
                    </w:rPr>
                    <w:t>Data access (SIMF_Identity + SIMF_App)</w:t>
                  </w:r>
                </w:p>
              </w:tc>
            </w:tr>
            <w:tr w:rsidR="00B23F52" w14:paraId="4238ACB2" w14:textId="77777777">
              <w:tc>
                <w:tcPr>
                  <w:tcW w:w="1656" w:type="dxa"/>
                </w:tcPr>
                <w:p w14:paraId="763B903B" w14:textId="77777777" w:rsidR="00B23F52" w:rsidRDefault="00000000">
                  <w:pPr>
                    <w:framePr w:hSpace="180" w:wrap="around" w:vAnchor="page" w:hAnchor="margin" w:xAlign="center" w:y="3301"/>
                    <w:bidi w:val="0"/>
                    <w:jc w:val="left"/>
                  </w:pPr>
                  <w:r>
                    <w:rPr>
                      <w:sz w:val="16"/>
                    </w:rPr>
                    <w:t>SIMF.Api</w:t>
                  </w:r>
                </w:p>
              </w:tc>
              <w:tc>
                <w:tcPr>
                  <w:tcW w:w="1944" w:type="dxa"/>
                </w:tcPr>
                <w:p w14:paraId="661920E4" w14:textId="77777777" w:rsidR="00B23F52" w:rsidRDefault="00000000">
                  <w:pPr>
                    <w:framePr w:hSpace="180" w:wrap="around" w:vAnchor="page" w:hAnchor="margin" w:xAlign="center" w:y="3301"/>
                    <w:bidi w:val="0"/>
                    <w:jc w:val="left"/>
                  </w:pPr>
                  <w:r>
                    <w:rPr>
                      <w:sz w:val="16"/>
                    </w:rPr>
                    <w:t>MinIO</w:t>
                  </w:r>
                </w:p>
              </w:tc>
              <w:tc>
                <w:tcPr>
                  <w:tcW w:w="1224" w:type="dxa"/>
                </w:tcPr>
                <w:p w14:paraId="6D0FB599" w14:textId="77777777" w:rsidR="00B23F52" w:rsidRDefault="00000000">
                  <w:pPr>
                    <w:framePr w:hSpace="180" w:wrap="around" w:vAnchor="page" w:hAnchor="margin" w:xAlign="center" w:y="3301"/>
                    <w:bidi w:val="0"/>
                    <w:jc w:val="left"/>
                  </w:pPr>
                  <w:r>
                    <w:rPr>
                      <w:sz w:val="16"/>
                    </w:rPr>
                    <w:t>HTTPS / S3 API</w:t>
                  </w:r>
                </w:p>
              </w:tc>
              <w:tc>
                <w:tcPr>
                  <w:tcW w:w="648" w:type="dxa"/>
                </w:tcPr>
                <w:p w14:paraId="0EB6A892" w14:textId="77777777" w:rsidR="00B23F52" w:rsidRDefault="00000000">
                  <w:pPr>
                    <w:framePr w:hSpace="180" w:wrap="around" w:vAnchor="page" w:hAnchor="margin" w:xAlign="center" w:y="3301"/>
                    <w:bidi w:val="0"/>
                    <w:jc w:val="left"/>
                  </w:pPr>
                  <w:r>
                    <w:rPr>
                      <w:sz w:val="16"/>
                    </w:rPr>
                    <w:t>443</w:t>
                  </w:r>
                </w:p>
              </w:tc>
              <w:tc>
                <w:tcPr>
                  <w:tcW w:w="1224" w:type="dxa"/>
                </w:tcPr>
                <w:p w14:paraId="106D916E"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670D8C4" w14:textId="77777777" w:rsidR="00B23F52" w:rsidRDefault="00000000">
                  <w:pPr>
                    <w:framePr w:hSpace="180" w:wrap="around" w:vAnchor="page" w:hAnchor="margin" w:xAlign="center" w:y="3301"/>
                    <w:bidi w:val="0"/>
                    <w:jc w:val="left"/>
                  </w:pPr>
                  <w:r>
                    <w:rPr>
                      <w:sz w:val="16"/>
                    </w:rPr>
                    <w:t>Stored files</w:t>
                  </w:r>
                </w:p>
              </w:tc>
            </w:tr>
            <w:tr w:rsidR="00B23F52" w14:paraId="2D6468FD" w14:textId="77777777">
              <w:tc>
                <w:tcPr>
                  <w:tcW w:w="1656" w:type="dxa"/>
                </w:tcPr>
                <w:p w14:paraId="13460C2C" w14:textId="77777777" w:rsidR="00B23F52" w:rsidRDefault="00000000">
                  <w:pPr>
                    <w:framePr w:hSpace="180" w:wrap="around" w:vAnchor="page" w:hAnchor="margin" w:xAlign="center" w:y="3301"/>
                    <w:bidi w:val="0"/>
                    <w:jc w:val="left"/>
                  </w:pPr>
                  <w:r>
                    <w:rPr>
                      <w:sz w:val="16"/>
                    </w:rPr>
                    <w:t>SQL replica to SQL replica</w:t>
                  </w:r>
                </w:p>
              </w:tc>
              <w:tc>
                <w:tcPr>
                  <w:tcW w:w="1944" w:type="dxa"/>
                </w:tcPr>
                <w:p w14:paraId="014DAFDB" w14:textId="77777777" w:rsidR="00B23F52" w:rsidRDefault="00000000">
                  <w:pPr>
                    <w:framePr w:hSpace="180" w:wrap="around" w:vAnchor="page" w:hAnchor="margin" w:xAlign="center" w:y="3301"/>
                    <w:bidi w:val="0"/>
                    <w:jc w:val="left"/>
                  </w:pPr>
                  <w:r>
                    <w:rPr>
                      <w:sz w:val="16"/>
                    </w:rPr>
                    <w:t>SQL Server (AlwaysOn AG)</w:t>
                  </w:r>
                </w:p>
              </w:tc>
              <w:tc>
                <w:tcPr>
                  <w:tcW w:w="1224" w:type="dxa"/>
                </w:tcPr>
                <w:p w14:paraId="1C601D0F" w14:textId="77777777" w:rsidR="00B23F52" w:rsidRDefault="00000000">
                  <w:pPr>
                    <w:framePr w:hSpace="180" w:wrap="around" w:vAnchor="page" w:hAnchor="margin" w:xAlign="center" w:y="3301"/>
                    <w:bidi w:val="0"/>
                    <w:jc w:val="left"/>
                  </w:pPr>
                  <w:r>
                    <w:rPr>
                      <w:sz w:val="16"/>
                    </w:rPr>
                    <w:t>TCP</w:t>
                  </w:r>
                </w:p>
              </w:tc>
              <w:tc>
                <w:tcPr>
                  <w:tcW w:w="648" w:type="dxa"/>
                </w:tcPr>
                <w:p w14:paraId="2E477A47" w14:textId="77777777" w:rsidR="00B23F52" w:rsidRDefault="00000000">
                  <w:pPr>
                    <w:framePr w:hSpace="180" w:wrap="around" w:vAnchor="page" w:hAnchor="margin" w:xAlign="center" w:y="3301"/>
                    <w:bidi w:val="0"/>
                    <w:jc w:val="left"/>
                  </w:pPr>
                  <w:r>
                    <w:rPr>
                      <w:sz w:val="16"/>
                    </w:rPr>
                    <w:t>5022</w:t>
                  </w:r>
                </w:p>
              </w:tc>
              <w:tc>
                <w:tcPr>
                  <w:tcW w:w="1224" w:type="dxa"/>
                </w:tcPr>
                <w:p w14:paraId="072AD31F" w14:textId="77777777" w:rsidR="00B23F52" w:rsidRDefault="00000000">
                  <w:pPr>
                    <w:framePr w:hSpace="180" w:wrap="around" w:vAnchor="page" w:hAnchor="margin" w:xAlign="center" w:y="3301"/>
                    <w:bidi w:val="0"/>
                    <w:jc w:val="left"/>
                  </w:pPr>
                  <w:r>
                    <w:rPr>
                      <w:sz w:val="16"/>
                    </w:rPr>
                    <w:t>Internal, HSA</w:t>
                  </w:r>
                </w:p>
              </w:tc>
              <w:tc>
                <w:tcPr>
                  <w:tcW w:w="2232" w:type="dxa"/>
                </w:tcPr>
                <w:p w14:paraId="10F1F583" w14:textId="77777777" w:rsidR="00B23F52" w:rsidRDefault="00000000">
                  <w:pPr>
                    <w:framePr w:hSpace="180" w:wrap="around" w:vAnchor="page" w:hAnchor="margin" w:xAlign="center" w:y="3301"/>
                    <w:bidi w:val="0"/>
                    <w:jc w:val="left"/>
                  </w:pPr>
                  <w:r>
                    <w:rPr>
                      <w:sz w:val="16"/>
                    </w:rPr>
                    <w:t>Availability Group replication</w:t>
                  </w:r>
                </w:p>
              </w:tc>
            </w:tr>
            <w:tr w:rsidR="00B23F52" w14:paraId="4BCC4974" w14:textId="77777777">
              <w:tc>
                <w:tcPr>
                  <w:tcW w:w="1656" w:type="dxa"/>
                </w:tcPr>
                <w:p w14:paraId="001C6B32" w14:textId="77777777" w:rsidR="00B23F52" w:rsidRDefault="00000000">
                  <w:pPr>
                    <w:framePr w:hSpace="180" w:wrap="around" w:vAnchor="page" w:hAnchor="margin" w:xAlign="center" w:y="3301"/>
                    <w:bidi w:val="0"/>
                    <w:jc w:val="left"/>
                  </w:pPr>
                  <w:r>
                    <w:rPr>
                      <w:sz w:val="16"/>
                    </w:rPr>
                    <w:t>SIMF.ControlPanel</w:t>
                  </w:r>
                </w:p>
              </w:tc>
              <w:tc>
                <w:tcPr>
                  <w:tcW w:w="1944" w:type="dxa"/>
                </w:tcPr>
                <w:p w14:paraId="5D491E9D" w14:textId="77777777" w:rsidR="00B23F52" w:rsidRDefault="00000000">
                  <w:pPr>
                    <w:framePr w:hSpace="180" w:wrap="around" w:vAnchor="page" w:hAnchor="margin" w:xAlign="center" w:y="3301"/>
                    <w:bidi w:val="0"/>
                    <w:jc w:val="left"/>
                  </w:pPr>
                  <w:r>
                    <w:rPr>
                      <w:sz w:val="16"/>
                    </w:rPr>
                    <w:t>YouTube caption hosts</w:t>
                  </w:r>
                </w:p>
              </w:tc>
              <w:tc>
                <w:tcPr>
                  <w:tcW w:w="1224" w:type="dxa"/>
                </w:tcPr>
                <w:p w14:paraId="59284D22" w14:textId="77777777" w:rsidR="00B23F52" w:rsidRDefault="00000000">
                  <w:pPr>
                    <w:framePr w:hSpace="180" w:wrap="around" w:vAnchor="page" w:hAnchor="margin" w:xAlign="center" w:y="3301"/>
                    <w:bidi w:val="0"/>
                    <w:jc w:val="left"/>
                  </w:pPr>
                  <w:r>
                    <w:rPr>
                      <w:sz w:val="16"/>
                    </w:rPr>
                    <w:t>HTTPS</w:t>
                  </w:r>
                </w:p>
              </w:tc>
              <w:tc>
                <w:tcPr>
                  <w:tcW w:w="648" w:type="dxa"/>
                </w:tcPr>
                <w:p w14:paraId="7A23E498" w14:textId="77777777" w:rsidR="00B23F52" w:rsidRDefault="00000000">
                  <w:pPr>
                    <w:framePr w:hSpace="180" w:wrap="around" w:vAnchor="page" w:hAnchor="margin" w:xAlign="center" w:y="3301"/>
                    <w:bidi w:val="0"/>
                    <w:jc w:val="left"/>
                  </w:pPr>
                  <w:r>
                    <w:rPr>
                      <w:sz w:val="16"/>
                    </w:rPr>
                    <w:t>443</w:t>
                  </w:r>
                </w:p>
              </w:tc>
              <w:tc>
                <w:tcPr>
                  <w:tcW w:w="1224" w:type="dxa"/>
                </w:tcPr>
                <w:p w14:paraId="4E0593DA" w14:textId="77777777" w:rsidR="00B23F52" w:rsidRDefault="00000000">
                  <w:pPr>
                    <w:framePr w:hSpace="180" w:wrap="around" w:vAnchor="page" w:hAnchor="margin" w:xAlign="center" w:y="3301"/>
                    <w:bidi w:val="0"/>
                    <w:jc w:val="left"/>
                  </w:pPr>
                  <w:r>
                    <w:rPr>
                      <w:sz w:val="16"/>
                    </w:rPr>
                    <w:t>Outbound</w:t>
                  </w:r>
                </w:p>
              </w:tc>
              <w:tc>
                <w:tcPr>
                  <w:tcW w:w="2232" w:type="dxa"/>
                </w:tcPr>
                <w:p w14:paraId="4705FD1E" w14:textId="77777777" w:rsidR="00B23F52" w:rsidRDefault="00000000">
                  <w:pPr>
                    <w:framePr w:hSpace="180" w:wrap="around" w:vAnchor="page" w:hAnchor="margin" w:xAlign="center" w:y="3301"/>
                    <w:bidi w:val="0"/>
                    <w:jc w:val="left"/>
                  </w:pPr>
                  <w:r>
                    <w:rPr>
                      <w:sz w:val="16"/>
                    </w:rPr>
                    <w:t>Caption import, public video id only.</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All application hosts</w:t>
                  </w:r>
                </w:p>
              </w:tc>
              <w:tc>
                <w:tcPr>
                  <w:tcW w:w="1944" w:type="dxa"/>
                </w:tcPr>
                <w:p w14:paraId="41144E02" w14:textId="77777777" w:rsidR="00B23F52" w:rsidRDefault="00000000">
                  <w:pPr>
                    <w:framePr w:hSpace="180" w:wrap="around" w:vAnchor="page" w:hAnchor="margin" w:xAlign="center" w:y="3301"/>
                    <w:bidi w:val="0"/>
                    <w:jc w:val="left"/>
                  </w:pPr>
                  <w:r>
                    <w:rPr>
                      <w:sz w:val="16"/>
                    </w:rPr>
                    <w:t>Ministry log collector</w:t>
                  </w:r>
                </w:p>
              </w:tc>
              <w:tc>
                <w:tcPr>
                  <w:tcW w:w="1224" w:type="dxa"/>
                </w:tcPr>
                <w:p w14:paraId="4301712D" w14:textId="77777777" w:rsidR="00B23F52" w:rsidRDefault="00000000">
                  <w:pPr>
                    <w:framePr w:hSpace="180" w:wrap="around" w:vAnchor="page" w:hAnchor="margin" w:xAlign="center" w:y="3301"/>
                    <w:bidi w:val="0"/>
                    <w:jc w:val="left"/>
                  </w:pPr>
                  <w:r>
                    <w:rPr>
                      <w:sz w:val="16"/>
                    </w:rPr>
                    <w:t>Syslog / TLS</w:t>
                  </w:r>
                </w:p>
              </w:tc>
              <w:tc>
                <w:tcPr>
                  <w:tcW w:w="648" w:type="dxa"/>
                </w:tcPr>
                <w:p w14:paraId="295FAC02" w14:textId="77777777" w:rsidR="00B23F52" w:rsidRDefault="00000000">
                  <w:pPr>
                    <w:framePr w:hSpace="180" w:wrap="around" w:vAnchor="page" w:hAnchor="margin" w:xAlign="center" w:y="3301"/>
                    <w:bidi w:val="0"/>
                    <w:jc w:val="left"/>
                  </w:pPr>
                  <w:r>
                    <w:rPr>
                      <w:sz w:val="16"/>
                    </w:rPr>
                    <w:t>6514</w:t>
                  </w:r>
                </w:p>
              </w:tc>
              <w:tc>
                <w:tcPr>
                  <w:tcW w:w="1224" w:type="dxa"/>
                </w:tcPr>
                <w:p w14:paraId="56568857" w14:textId="77777777" w:rsidR="00B23F52" w:rsidRDefault="00000000">
                  <w:pPr>
                    <w:framePr w:hSpace="180" w:wrap="around" w:vAnchor="page" w:hAnchor="margin" w:xAlign="center" w:y="3301"/>
                    <w:bidi w:val="0"/>
                    <w:jc w:val="left"/>
                  </w:pPr>
                  <w:r>
                    <w:rPr>
                      <w:sz w:val="16"/>
                    </w:rPr>
                    <w:t>Outbound</w:t>
                  </w:r>
                </w:p>
              </w:tc>
              <w:tc>
                <w:tcPr>
                  <w:tcW w:w="2232" w:type="dxa"/>
                </w:tcPr>
                <w:p w14:paraId="50B9539C" w14:textId="77777777" w:rsidR="00B23F52" w:rsidRDefault="00000000">
                  <w:pPr>
                    <w:framePr w:hSpace="180" w:wrap="around" w:vAnchor="page" w:hAnchor="margin" w:xAlign="center" w:y="3301"/>
                    <w:bidi w:val="0"/>
                    <w:jc w:val="left"/>
                  </w:pPr>
                  <w:r>
                    <w:rPr>
                      <w:sz w:val="16"/>
                    </w:rPr>
                    <w:t>Centralised structured logging</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Attendee device (Internet)</w:t>
                  </w:r>
                </w:p>
              </w:tc>
              <w:tc>
                <w:tcPr>
                  <w:tcW w:w="1944" w:type="dxa"/>
                </w:tcPr>
                <w:p w14:paraId="41144E02" w14:textId="77777777" w:rsidR="00B23F52" w:rsidRDefault="00000000">
                  <w:pPr>
                    <w:framePr w:hSpace="180" w:wrap="around" w:vAnchor="page" w:hAnchor="margin" w:xAlign="center" w:y="3301"/>
                    <w:bidi w:val="0"/>
                    <w:jc w:val="left"/>
                  </w:pPr>
                  <w:r>
                    <w:rPr>
                      <w:sz w:val="16"/>
                    </w:rPr>
                    <w:t>YouTube</w:t>
                  </w:r>
                </w:p>
              </w:tc>
              <w:tc>
                <w:tcPr>
                  <w:tcW w:w="1224" w:type="dxa"/>
                </w:tcPr>
                <w:p w14:paraId="4301712D" w14:textId="77777777" w:rsidR="00B23F52" w:rsidRDefault="00000000">
                  <w:pPr>
                    <w:framePr w:hSpace="180" w:wrap="around" w:vAnchor="page" w:hAnchor="margin" w:xAlign="center" w:y="3301"/>
                    <w:bidi w:val="0"/>
                    <w:jc w:val="left"/>
                  </w:pPr>
                  <w:r>
                    <w:rPr>
                      <w:sz w:val="16"/>
                    </w:rPr>
                    <w:t>HTTPS</w:t>
                  </w:r>
                </w:p>
              </w:tc>
              <w:tc>
                <w:tcPr>
                  <w:tcW w:w="648" w:type="dxa"/>
                </w:tcPr>
                <w:p w14:paraId="295FAC02" w14:textId="77777777" w:rsidR="00B23F52" w:rsidRDefault="00000000">
                  <w:pPr>
                    <w:framePr w:hSpace="180" w:wrap="around" w:vAnchor="page" w:hAnchor="margin" w:xAlign="center" w:y="3301"/>
                    <w:bidi w:val="0"/>
                    <w:jc w:val="left"/>
                  </w:pPr>
                  <w:r>
                    <w:rPr>
                      <w:sz w:val="16"/>
                    </w:rPr>
                    <w:t>443</w:t>
                  </w:r>
                </w:p>
              </w:tc>
              <w:tc>
                <w:tcPr>
                  <w:tcW w:w="1224" w:type="dxa"/>
                </w:tcPr>
                <w:p w14:paraId="56568857" w14:textId="77777777" w:rsidR="00B23F52" w:rsidRDefault="00000000">
                  <w:pPr>
                    <w:framePr w:hSpace="180" w:wrap="around" w:vAnchor="page" w:hAnchor="margin" w:xAlign="center" w:y="3301"/>
                    <w:bidi w:val="0"/>
                    <w:jc w:val="left"/>
                  </w:pPr>
                  <w:r>
                    <w:rPr>
                      <w:sz w:val="16"/>
                    </w:rPr>
                    <w:t>Client-side</w:t>
                  </w:r>
                </w:p>
              </w:tc>
              <w:tc>
                <w:tcPr>
                  <w:tcW w:w="2232" w:type="dxa"/>
                </w:tcPr>
                <w:p w14:paraId="50B9539C" w14:textId="77777777" w:rsidR="00B23F52" w:rsidRDefault="00000000">
                  <w:pPr>
                    <w:framePr w:hSpace="180" w:wrap="around" w:vAnchor="page" w:hAnchor="margin" w:xAlign="center" w:y="3301"/>
                    <w:bidi w:val="0"/>
                    <w:jc w:val="left"/>
                  </w:pPr>
                  <w:r>
                    <w:rPr>
                      <w:sz w:val="16"/>
                    </w:rPr>
                    <w:t>Live session playback (does not traverse SIMF)</w:t>
                  </w:r>
                </w:p>
              </w:tc>
            </w:tr>
          </w:tbl>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118D498A"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Authorization: role-based access control with per-page / per-action permissions. Permission codes live in a single catalogue, are seeded idempotently, are baked into the JWT and are enforced on both the API and the Control Panel; Administrator holds a wildcard. Tests, run before each push, fail when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E381FE6" w14:textId="77777777" w:rsidR="00B23F52" w:rsidRDefault="00000000">
            <w:pPr>
              <w:bidi w:val="0"/>
              <w:spacing w:after="80"/>
              <w:jc w:val="left"/>
            </w:pPr>
            <w:r>
              <w:rPr>
                <w:b/>
                <w:sz w:val="24"/>
              </w:rPr>
              <w:t>Encryption at rest. Identity-document images and the other encrypted file categories use AES-256-GCM envelope encryption: a fresh data key for each file, sealed under a key-encryption key. Personal-data columns (national ID, Iqama, passport and mobile numbers) are encrypted with AES-256-GCM under their own key. Both keys are supplied through environment variables.</w:t>
            </w:r>
          </w:p>
          <w:p w14:paraId="4A2CB0B7"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2F84478E"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00B9DBB8" w14:textId="77777777" w:rsidR="00B23F52" w:rsidRDefault="00000000">
            <w:pPr>
              <w:bidi w:val="0"/>
              <w:spacing w:after="80"/>
              <w:jc w:val="left"/>
            </w:pPr>
            <w:r>
              <w:rPr>
                <w:b/>
                <w:sz w:val="24"/>
              </w:rPr>
              <w:t>Audit: two append-only trails. OperationLog records security-relevant business events with an actor snapshot, source IP, user agent and correlation ID. RowAudit records row-level before / after images with an actor snapshot and correlation ID.</w:t>
            </w:r>
          </w:p>
          <w:p w14:paraId="752EE01B"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w:t>
            </w:r>
            <w:r>
              <w:rPr>
                <w:sz w:val="24"/>
              </w:rPr>
            </w:r>
          </w:p>
          <w:p w14:paraId="752EE01B"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data is sent to a cloud artificial-intelligence service. The on-site model receives session content to summarise and question text to filter. The call carries no account identifier.</w:t>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and commission an independent penetration test.</w:t>
            </w:r>
          </w:p>
          <w:p w14:paraId="2C4D8A6D"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2C4D8A6D"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1FEA89F0"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1FEA89F0"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FEA89F0" w14:textId="77777777" w:rsidR="00B23F52" w:rsidRDefault="00000000">
            <w:pPr>
              <w:bidi w:val="0"/>
              <w:spacing w:after="80"/>
              <w:jc w:val="left"/>
            </w:pPr>
            <w:r>
              <w:rPr>
                <w:sz w:val="24"/>
              </w:rPr>
              <w:t>Administrator accounts created by invitation receive a single-use six-digit code, valid for seven days. The code is stored hashed and is consumed on first use. The invitee opens the Control Panel, enters the code and sets their own password, so no shared or temporary password is ever transmitted.</w:t>
            </w:r>
          </w:p>
          <w:p w14:paraId="1FEA89F0" w14:textId="77777777" w:rsidR="00B23F52" w:rsidRDefault="00000000">
            <w:pPr>
              <w:bidi w:val="0"/>
              <w:spacing w:after="80"/>
              <w:jc w:val="left"/>
            </w:pPr>
            <w:r>
              <w:rPr>
                <w:sz w:val="24"/>
              </w:rPr>
              <w:t>Forced change is implemented and enforced. When an account carries the PasswordChangeRequired flag, which is set when a password passes the configured maximum password age, every token-issuing path is blocked (initial password step, second-factor verify, recovery-code verify, one-time-code verify and refresh) until the user sets a new password through the reset flow.</w:t>
            </w:r>
          </w:p>
          <w:p w14:paraId="2C4D8A6D"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2C4D8A6D"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FEA89F0"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FEA89F0" w14:textId="77777777" w:rsidR="00B23F52" w:rsidRDefault="00000000">
            <w:pPr>
              <w:bidi w:val="0"/>
              <w:spacing w:after="80"/>
              <w:jc w:val="left"/>
            </w:pPr>
            <w:r>
              <w:rPr>
                <w:sz w:val="24"/>
              </w:rPr>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1FEA89F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FEA89F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FEA89F0"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Database tier. High availability comes from the SQL Server 2022 Enterprise AlwaysOn Availability Group.</w:t>
            </w:r>
          </w:p>
          <w:p w14:paraId="43898BAC"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uses a witness configured with the site.</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Application tier. Adding API nodes adds capacity with no redesign, because the API holds no session state.</w:t>
            </w:r>
          </w:p>
          <w:p w14:paraId="4CFC277E" w14:textId="77777777" w:rsidR="00B23F52" w:rsidRDefault="00000000">
            <w:pPr>
              <w:bidi w:val="0"/>
              <w:spacing w:after="80"/>
              <w:jc w:val="left"/>
            </w:pPr>
            <w:r>
              <w:rPr>
                <w:b/>
                <w:sz w:val="24"/>
              </w:rPr>
              <w:t>Operational availability: /health is a readiness probe used by the load balancer and monitors to pull unhealthy instances out of rotation. It reports the in-process scheduled jobs from their heartbeat registry: healthy when every job is up, degraded when one has missed its schedule, unhealthy when one has faulted. Rollback restores the last known-good binaries, re-checks health and re-runs the smoke test. The three forum days are the critical availability window, and an outage during them cannot be rescheduled.</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Syslog / SIEM integration: the API, the Control Panel and the website write structured Serilog events to rolling files on each host. The events cover authentication events, authorisation denials, access logs, business actions, rate-limit rejections and system errors. Every event carries a correlation ID for end-to-end tracing. Section 2.7 records how the files reach the ministry log collector.</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Health and performance monitoring: the /health endpoint reports readiness. The monitoring toolchain collects system health metrics (CPU, memory, response time, throughput) and database query performance, and alerts on thresholds so degradation is detected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Background-services monitor: the scheduled background jobs report a heartbeat to an in-process registry. The Control Panel "Background services" page reads the registry of the API node that answers the request and lists that node's workers with their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31E8AD2" w14:textId="77777777" w:rsidR="00B23F52" w:rsidRDefault="00000000">
            <w:pPr>
              <w:bidi w:val="0"/>
              <w:spacing w:after="80"/>
              <w:ind w:left="360"/>
              <w:jc w:val="left"/>
            </w:pPr>
            <w:r>
              <w:rPr>
                <w:sz w:val="24"/>
              </w:rPr>
              <w:t>•  Database tier: the database nodes scale vertically (more CPU, RAM and faster storage). Development and test use a single Standard node.</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rather than filtering in memory. Each list resource declares its own default page size and its own maximum, and a request for more rows than the maximum is clamped to it.</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use client polling on a bounded interval. No server-push transport ships in this build.</w:t>
            </w:r>
          </w:p>
          <w:p w14:paraId="7FF538E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7D95A91F" w14:textId="77777777" w:rsidR="00B23F52" w:rsidRDefault="00000000">
            <w:pPr>
              <w:bidi w:val="0"/>
              <w:spacing w:after="80"/>
              <w:jc w:val="left"/>
            </w:pPr>
            <w:r>
              <w:rPr>
                <w:b/>
                <w:sz w:val="24"/>
              </w:rPr>
              <w:t>Load testing and scaling: peak-shaped load tests run in staging before the event, covering registration surge, live-session concurrency, scan bursts, notification fan-out and mixed steady state. No tier scales itself. Capacity is added by deploying another node.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Mitigation Strategies: per-page / per-action permission gating enforced on both the API and the Control Panel, with tests, run before each push, that fail when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owner and operations actions listed in section 2.9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Mitigation Strategies: the event-day architecture, a WAF and load balancer, a stateless multi-node API tier, and the Enterprise AlwaysOn Availability Group for high availability.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the scaling, query, e-mail and caching measures set out in the Solution Sizing and Performance View above, and the staging load test that runs before the event.</w:t>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Potential Impact: the caption import depends on outbound internet access. If egress is not approved, subtitle import does not operate and the administrator pastes or uploads the transcript instead. The AI features are not affected, because inference runs on the on-site model inside HSA and needs no egress at all. A misconfigured egress rule would widen the attack surface, which is why the only internet destination permitted is the YouTube caption host and the only source permitted to reach it is the Control Panel. The application hosts hold one further outbound route, syslog over TLS on TCP 6514 to the ministry log collector.</w:t>
            </w:r>
          </w:p>
          <w:p w14:paraId="5387135F"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Mitigation Strategies: four-stage promotion (Development, then Test, then Staging, then Production) with no skipping. Trunk-based development with pull-request review and a zero-warnings Release build. A build warning or a vulnerable dependency fails the pipeline and stops promotion. The unit, integration and end-to-end suites sit in the pipeline behind a switch that is off by owner decision, so they are run on the developer's machine before a push and a failing test does not stop the build. A per-page end-to-end test-case catalogue is maintained as the regression record.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Mitigation Strategies: 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p>
      <w:pPr>
        <w:bidi w:val="0"/>
        <w:spacing w:before="240" w:after="120"/>
        <w:pageBreakBefore/>
        <w:shd w:val="clear" w:fill="1F3864"/>
        <w:jc w:val="left"/>
      </w:pPr>
      <w:r>
        <w:rPr>
          <w:rFonts w:ascii="Sakkal Majalla" w:hAnsi="Sakkal Majalla" w:cs="Sakkal Majalla"/>
          <w:b/>
          <w:color w:val="FFFFFF"/>
          <w:sz w:val="28"/>
        </w:rPr>
        <w:t>Annex A. Technical review, summary of responses</w:t>
      </w:r>
    </w:p>
    <w:p>
      <w:pPr>
        <w:bidi w:val="0"/>
        <w:spacing w:before="0" w:after="160"/>
        <w:jc w:val="left"/>
      </w:pPr>
      <w:r>
        <w:rPr>
          <w:rFonts w:ascii="Sakkal Majalla" w:hAnsi="Sakkal Majalla" w:cs="Sakkal Majalla"/>
          <w:b w:val="0"/>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type="auto" w:w="0"/>
        <w:tblLayout w:type="fixed"/>
        <w:tblLook w:firstColumn="1" w:firstRow="1" w:lastColumn="0" w:lastRow="0" w:noHBand="0" w:noVBand="1" w:val="04A0"/>
        <w:tblLayout w:type="fixed"/>
      </w:tblPr>
      <w:tblGrid>
        <w:gridCol w:w="648"/>
        <w:gridCol w:w="2088"/>
        <w:gridCol w:w="4608"/>
        <w:gridCol w:w="2016"/>
      </w:tblGrid>
      <w:tr>
        <w:trPr>
          <w:tblHeader/>
        </w:trPr>
        <w:tc>
          <w:tcPr>
            <w:tcW w:type="dxa" w:w="648"/>
            <w:shd w:val="clear" w:fill="1F3864"/>
          </w:tcPr>
          <w:p>
            <w:pPr>
              <w:bidi w:val="0"/>
              <w:spacing w:before="20" w:after="20"/>
              <w:jc w:val="left"/>
            </w:pPr>
            <w:r>
              <w:rPr>
                <w:rFonts w:ascii="Sakkal Majalla" w:hAnsi="Sakkal Majalla" w:cs="Sakkal Majalla"/>
                <w:b/>
                <w:color w:val="FFFFFF"/>
                <w:sz w:val="18"/>
              </w:rPr>
              <w:t>Point</w:t>
            </w:r>
          </w:p>
        </w:tc>
        <w:tc>
          <w:tcPr>
            <w:tcW w:type="dxa" w:w="2088"/>
            <w:shd w:val="clear" w:fill="1F3864"/>
          </w:tcPr>
          <w:p>
            <w:pPr>
              <w:bidi w:val="0"/>
              <w:spacing w:before="20" w:after="20"/>
              <w:jc w:val="left"/>
            </w:pPr>
            <w:r>
              <w:rPr>
                <w:rFonts w:ascii="Sakkal Majalla" w:hAnsi="Sakkal Majalla" w:cs="Sakkal Majalla"/>
                <w:b/>
                <w:color w:val="FFFFFF"/>
                <w:sz w:val="18"/>
              </w:rPr>
              <w:t>Subject</w:t>
            </w:r>
          </w:p>
        </w:tc>
        <w:tc>
          <w:tcPr>
            <w:tcW w:type="dxa" w:w="4608"/>
            <w:shd w:val="clear" w:fill="1F3864"/>
          </w:tcPr>
          <w:p>
            <w:pPr>
              <w:bidi w:val="0"/>
              <w:spacing w:before="20" w:after="20"/>
              <w:jc w:val="left"/>
            </w:pPr>
            <w:r>
              <w:rPr>
                <w:rFonts w:ascii="Sakkal Majalla" w:hAnsi="Sakkal Majalla" w:cs="Sakkal Majalla"/>
                <w:b/>
                <w:color w:val="FFFFFF"/>
                <w:sz w:val="18"/>
              </w:rPr>
              <w:t>Response in one line</w:t>
            </w:r>
          </w:p>
        </w:tc>
        <w:tc>
          <w:tcPr>
            <w:tcW w:type="dxa" w:w="2016"/>
            <w:shd w:val="clear" w:fill="1F3864"/>
          </w:tcPr>
          <w:p>
            <w:pPr>
              <w:bidi w:val="0"/>
              <w:spacing w:before="20" w:after="20"/>
              <w:jc w:val="left"/>
            </w:pPr>
            <w:r>
              <w:rPr>
                <w:rFonts w:ascii="Sakkal Majalla" w:hAnsi="Sakkal Majalla" w:cs="Sakkal Majalla"/>
                <w:b/>
                <w:color w:val="FFFFFF"/>
                <w:sz w:val="18"/>
              </w:rPr>
              <w:t>Answered in</w:t>
            </w:r>
          </w:p>
        </w:tc>
      </w:tr>
      <w:tr>
        <w:tc>
          <w:tcPr>
            <w:tcW w:type="dxa" w:w="648"/>
          </w:tcPr>
          <w:p>
            <w:pPr>
              <w:bidi w:val="0"/>
              <w:spacing w:before="20" w:after="20"/>
              <w:jc w:val="left"/>
            </w:pPr>
            <w:r>
              <w:rPr>
                <w:rFonts w:ascii="Sakkal Majalla" w:hAnsi="Sakkal Majalla" w:cs="Sakkal Majalla"/>
                <w:b w:val="0"/>
                <w:sz w:val="18"/>
              </w:rPr>
              <w:t>1</w:t>
            </w:r>
          </w:p>
        </w:tc>
        <w:tc>
          <w:tcPr>
            <w:tcW w:type="dxa" w:w="2088"/>
          </w:tcPr>
          <w:p>
            <w:pPr>
              <w:bidi w:val="0"/>
              <w:spacing w:before="20" w:after="20"/>
              <w:jc w:val="left"/>
            </w:pPr>
            <w:r>
              <w:rPr>
                <w:rFonts w:ascii="Sakkal Majalla" w:hAnsi="Sakkal Majalla" w:cs="Sakkal Majalla"/>
                <w:b w:val="0"/>
                <w:sz w:val="18"/>
              </w:rPr>
              <w:t>Two tier or three tier, and tier deployment</w:t>
            </w:r>
          </w:p>
        </w:tc>
        <w:tc>
          <w:tcPr>
            <w:tcW w:type="dxa" w:w="4608"/>
          </w:tcPr>
          <w:p>
            <w:pPr>
              <w:bidi w:val="0"/>
              <w:spacing w:before="20" w:after="20"/>
              <w:jc w:val="left"/>
            </w:pPr>
            <w:r>
              <w:rPr>
                <w:rFonts w:ascii="Sakkal Majalla" w:hAnsi="Sakkal Majalla" w:cs="Sakkal Majalla"/>
                <w:b w:val="0"/>
                <w:sz w:val="18"/>
              </w:rPr>
              <w:t>Three tier. Presentation, application and data tiers are separate servers in production.</w:t>
            </w:r>
          </w:p>
        </w:tc>
        <w:tc>
          <w:tcPr>
            <w:tcW w:type="dxa" w:w="2016"/>
          </w:tcPr>
          <w:p>
            <w:pPr>
              <w:bidi w:val="0"/>
              <w:spacing w:before="20" w:after="20"/>
              <w:jc w:val="left"/>
            </w:pPr>
            <w:r>
              <w:rPr>
                <w:rFonts w:ascii="Sakkal Majalla" w:hAnsi="Sakkal Majalla" w:cs="Sakkal Majalla"/>
                <w:b w:val="0"/>
                <w:sz w:val="18"/>
              </w:rPr>
              <w:t>2.1 Architecture Overview</w:t>
            </w:r>
          </w:p>
        </w:tc>
      </w:tr>
      <w:tr>
        <w:tc>
          <w:tcPr>
            <w:tcW w:type="dxa" w:w="648"/>
          </w:tcPr>
          <w:p>
            <w:pPr>
              <w:bidi w:val="0"/>
              <w:spacing w:before="20" w:after="20"/>
              <w:jc w:val="left"/>
            </w:pPr>
            <w:r>
              <w:rPr>
                <w:rFonts w:ascii="Sakkal Majalla" w:hAnsi="Sakkal Majalla" w:cs="Sakkal Majalla"/>
                <w:b w:val="0"/>
                <w:sz w:val="18"/>
              </w:rPr>
              <w:t>2</w:t>
            </w:r>
          </w:p>
        </w:tc>
        <w:tc>
          <w:tcPr>
            <w:tcW w:type="dxa" w:w="2088"/>
          </w:tcPr>
          <w:p>
            <w:pPr>
              <w:bidi w:val="0"/>
              <w:spacing w:before="20" w:after="20"/>
              <w:jc w:val="left"/>
            </w:pPr>
            <w:r>
              <w:rPr>
                <w:rFonts w:ascii="Sakkal Majalla" w:hAnsi="Sakkal Majalla" w:cs="Sakkal Majalla"/>
                <w:b w:val="0"/>
                <w:sz w:val="18"/>
              </w:rPr>
              <w:t>YouTube live stream flow</w:t>
            </w:r>
          </w:p>
        </w:tc>
        <w:tc>
          <w:tcPr>
            <w:tcW w:type="dxa" w:w="4608"/>
          </w:tcPr>
          <w:p>
            <w:pPr>
              <w:bidi w:val="0"/>
              <w:spacing w:before="20" w:after="20"/>
              <w:jc w:val="left"/>
            </w:pPr>
            <w:r>
              <w:rPr>
                <w:rFonts w:ascii="Sakkal Majalla" w:hAnsi="Sakkal Majalla" w:cs="Sakkal Majalla"/>
                <w:b w:val="0"/>
                <w:sz w:val="18"/>
              </w:rPr>
              <w:t>Delivered directly from YouTube to the device. It is not routed through the backend.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3</w:t>
            </w:r>
          </w:p>
        </w:tc>
        <w:tc>
          <w:tcPr>
            <w:tcW w:type="dxa" w:w="2088"/>
          </w:tcPr>
          <w:p>
            <w:pPr>
              <w:bidi w:val="0"/>
              <w:spacing w:before="20" w:after="20"/>
              <w:jc w:val="left"/>
            </w:pPr>
            <w:r>
              <w:rPr>
                <w:rFonts w:ascii="Sakkal Majalla" w:hAnsi="Sakkal Majalla" w:cs="Sakkal Majalla"/>
                <w:b w:val="0"/>
                <w:sz w:val="18"/>
              </w:rPr>
              <w:t>Embed only, or YouTube APIs</w:t>
            </w:r>
          </w:p>
        </w:tc>
        <w:tc>
          <w:tcPr>
            <w:tcW w:type="dxa" w:w="4608"/>
          </w:tcPr>
          <w:p>
            <w:pPr>
              <w:bidi w:val="0"/>
              <w:spacing w:before="20" w:after="20"/>
              <w:jc w:val="left"/>
            </w:pPr>
            <w:r>
              <w:rPr>
                <w:rFonts w:ascii="Sakkal Majalla" w:hAnsi="Sakkal Majalla" w:cs="Sakkal Majalla"/>
                <w:b w:val="0"/>
                <w:sz w:val="18"/>
              </w:rPr>
              <w:t>Embed only, plus one caption retrieval call. SIMF creates and manages no stream.</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4</w:t>
            </w:r>
          </w:p>
        </w:tc>
        <w:tc>
          <w:tcPr>
            <w:tcW w:type="dxa" w:w="2088"/>
          </w:tcPr>
          <w:p>
            <w:pPr>
              <w:bidi w:val="0"/>
              <w:spacing w:before="20" w:after="20"/>
              <w:jc w:val="left"/>
            </w:pPr>
            <w:r>
              <w:rPr>
                <w:rFonts w:ascii="Sakkal Majalla" w:hAnsi="Sakkal Majalla" w:cs="Sakkal Majalla"/>
                <w:b w:val="0"/>
                <w:sz w:val="18"/>
              </w:rPr>
              <w:t>AI and caption API outbound flow</w:t>
            </w:r>
          </w:p>
        </w:tc>
        <w:tc>
          <w:tcPr>
            <w:tcW w:type="dxa" w:w="4608"/>
          </w:tcPr>
          <w:p>
            <w:pPr>
              <w:bidi w:val="0"/>
              <w:spacing w:before="20" w:after="20"/>
              <w:jc w:val="left"/>
            </w:pPr>
            <w:r>
              <w:rPr>
                <w:rFonts w:ascii="Sakkal Majalla" w:hAnsi="Sakkal Majalla" w:cs="Sakkal Majalla"/>
                <w:b w:val="0"/>
                <w:sz w:val="18"/>
              </w:rPr>
              <w:t>The AI runs on site inside HSA, so no AI traffic leaves. Only the caption call goes out, from the Control Panel, carrying a public video id.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5</w:t>
            </w:r>
          </w:p>
        </w:tc>
        <w:tc>
          <w:tcPr>
            <w:tcW w:type="dxa" w:w="2088"/>
          </w:tcPr>
          <w:p>
            <w:pPr>
              <w:bidi w:val="0"/>
              <w:spacing w:before="20" w:after="20"/>
              <w:jc w:val="left"/>
            </w:pPr>
            <w:r>
              <w:rPr>
                <w:rFonts w:ascii="Sakkal Majalla" w:hAnsi="Sakkal Majalla" w:cs="Sakkal Majalla"/>
                <w:b w:val="0"/>
                <w:sz w:val="18"/>
              </w:rPr>
              <w:t>Authentication and e-mailed passwords</w:t>
            </w:r>
          </w:p>
        </w:tc>
        <w:tc>
          <w:tcPr>
            <w:tcW w:type="dxa" w:w="4608"/>
          </w:tcPr>
          <w:p>
            <w:pPr>
              <w:bidi w:val="0"/>
              <w:spacing w:before="20" w:after="20"/>
              <w:jc w:val="left"/>
            </w:pPr>
            <w:r>
              <w:rPr>
                <w:rFonts w:ascii="Sakkal Majalla" w:hAnsi="Sakkal Majalla" w:cs="Sakkal Majalla"/>
                <w:b w:val="0"/>
                <w:sz w:val="18"/>
              </w:rPr>
              <w:t>Passwords are stored as PBKDF2 hashes. No password is ever e-mailed. Forced change is enforced.</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6</w:t>
            </w:r>
          </w:p>
        </w:tc>
        <w:tc>
          <w:tcPr>
            <w:tcW w:type="dxa" w:w="2088"/>
          </w:tcPr>
          <w:p>
            <w:pPr>
              <w:bidi w:val="0"/>
              <w:spacing w:before="20" w:after="20"/>
              <w:jc w:val="left"/>
            </w:pPr>
            <w:r>
              <w:rPr>
                <w:rFonts w:ascii="Sakkal Majalla" w:hAnsi="Sakkal Majalla" w:cs="Sakkal Majalla"/>
                <w:b w:val="0"/>
                <w:sz w:val="18"/>
              </w:rPr>
              <w:t>Purpose and content of the file storage</w:t>
            </w:r>
          </w:p>
        </w:tc>
        <w:tc>
          <w:tcPr>
            <w:tcW w:type="dxa" w:w="4608"/>
          </w:tcPr>
          <w:p>
            <w:pPr>
              <w:bidi w:val="0"/>
              <w:spacing w:before="20" w:after="20"/>
              <w:jc w:val="left"/>
            </w:pPr>
            <w:r>
              <w:rPr>
                <w:rFonts w:ascii="Sakkal Majalla" w:hAnsi="Sakkal Majalla" w:cs="Sakkal Majalla"/>
                <w:b w:val="0"/>
                <w:sz w:val="18"/>
              </w:rPr>
              <w:t>Binary content the database must not hold. 25 categories, 4 tiers, 4 encrypted at rest.</w:t>
            </w:r>
          </w:p>
        </w:tc>
        <w:tc>
          <w:tcPr>
            <w:tcW w:type="dxa" w:w="2016"/>
          </w:tcPr>
          <w:p>
            <w:pPr>
              <w:bidi w:val="0"/>
              <w:spacing w:before="20" w:after="20"/>
              <w:jc w:val="left"/>
            </w:pPr>
            <w:r>
              <w:rPr>
                <w:rFonts w:ascii="Sakkal Majalla" w:hAnsi="Sakkal Majalla" w:cs="Sakkal Majalla"/>
                <w:b w:val="0"/>
                <w:sz w:val="18"/>
              </w:rPr>
              <w:t>2.8 Data Architecture View</w:t>
            </w:r>
          </w:p>
        </w:tc>
      </w:tr>
      <w:tr>
        <w:tc>
          <w:tcPr>
            <w:tcW w:type="dxa" w:w="648"/>
          </w:tcPr>
          <w:p>
            <w:pPr>
              <w:bidi w:val="0"/>
              <w:spacing w:before="20" w:after="20"/>
              <w:jc w:val="left"/>
            </w:pPr>
            <w:r>
              <w:rPr>
                <w:rFonts w:ascii="Sakkal Majalla" w:hAnsi="Sakkal Majalla" w:cs="Sakkal Majalla"/>
                <w:b w:val="0"/>
                <w:sz w:val="18"/>
              </w:rPr>
              <w:t>7</w:t>
            </w:r>
          </w:p>
        </w:tc>
        <w:tc>
          <w:tcPr>
            <w:tcW w:type="dxa" w:w="2088"/>
          </w:tcPr>
          <w:p>
            <w:pPr>
              <w:bidi w:val="0"/>
              <w:spacing w:before="20" w:after="20"/>
              <w:jc w:val="left"/>
            </w:pPr>
            <w:r>
              <w:rPr>
                <w:rFonts w:ascii="Sakkal Majalla" w:hAnsi="Sakkal Majalla" w:cs="Sakkal Majalla"/>
                <w:b w:val="0"/>
                <w:sz w:val="18"/>
              </w:rPr>
              <w:t>Sequence diagrams</w:t>
            </w:r>
          </w:p>
        </w:tc>
        <w:tc>
          <w:tcPr>
            <w:tcW w:type="dxa" w:w="4608"/>
          </w:tcPr>
          <w:p>
            <w:pPr>
              <w:bidi w:val="0"/>
              <w:spacing w:before="20" w:after="20"/>
              <w:jc w:val="left"/>
            </w:pPr>
            <w:r>
              <w:rPr>
                <w:rFonts w:ascii="Sakkal Majalla" w:hAnsi="Sakkal Majalla" w:cs="Sakkal Majalla"/>
                <w:b w:val="0"/>
                <w:sz w:val="18"/>
              </w:rPr>
              <w:t>Figure 2 shows the components and their interactions. Figure 3 shows the system and data flow.</w:t>
            </w:r>
          </w:p>
        </w:tc>
        <w:tc>
          <w:tcPr>
            <w:tcW w:type="dxa" w:w="2016"/>
          </w:tcPr>
          <w:p>
            <w:pPr>
              <w:bidi w:val="0"/>
              <w:spacing w:before="20" w:after="20"/>
              <w:jc w:val="left"/>
            </w:pPr>
            <w:r>
              <w:rPr>
                <w:rFonts w:ascii="Sakkal Majalla" w:hAnsi="Sakkal Majalla" w:cs="Sakkal Majalla"/>
                <w:b w:val="0"/>
                <w:sz w:val="18"/>
              </w:rPr>
              <w:t>2.3 System Workflow, Figures 2 and 3</w:t>
            </w:r>
          </w:p>
        </w:tc>
      </w:tr>
      <w:tr>
        <w:tc>
          <w:tcPr>
            <w:tcW w:type="dxa" w:w="648"/>
          </w:tcPr>
          <w:p>
            <w:pPr>
              <w:bidi w:val="0"/>
              <w:spacing w:before="20" w:after="20"/>
              <w:jc w:val="left"/>
            </w:pPr>
            <w:r>
              <w:rPr>
                <w:rFonts w:ascii="Sakkal Majalla" w:hAnsi="Sakkal Majalla" w:cs="Sakkal Majalla"/>
                <w:b w:val="0"/>
                <w:sz w:val="18"/>
              </w:rPr>
              <w:t>8</w:t>
            </w:r>
          </w:p>
        </w:tc>
        <w:tc>
          <w:tcPr>
            <w:tcW w:type="dxa" w:w="2088"/>
          </w:tcPr>
          <w:p>
            <w:pPr>
              <w:bidi w:val="0"/>
              <w:spacing w:before="20" w:after="20"/>
              <w:jc w:val="left"/>
            </w:pPr>
            <w:r>
              <w:rPr>
                <w:rFonts w:ascii="Sakkal Majalla" w:hAnsi="Sakkal Majalla" w:cs="Sakkal Majalla"/>
                <w:b w:val="0"/>
                <w:sz w:val="18"/>
              </w:rPr>
              <w:t>Mobile enrolment and the ES256 key</w:t>
            </w:r>
          </w:p>
        </w:tc>
        <w:tc>
          <w:tcPr>
            <w:tcW w:type="dxa" w:w="4608"/>
          </w:tcPr>
          <w:p>
            <w:pPr>
              <w:bidi w:val="0"/>
              <w:spacing w:before="20" w:after="20"/>
              <w:jc w:val="left"/>
            </w:pPr>
            <w:r>
              <w:rPr>
                <w:rFonts w:ascii="Sakkal Majalla" w:hAnsi="Sakkal Majalla" w:cs="Sakkal Majalla"/>
                <w:b w:val="0"/>
                <w:sz w:val="18"/>
              </w:rPr>
              <w:t>Key pair generated on the device, only the public key registered, challenge signed, revocable.</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9</w:t>
            </w:r>
          </w:p>
        </w:tc>
        <w:tc>
          <w:tcPr>
            <w:tcW w:type="dxa" w:w="2088"/>
          </w:tcPr>
          <w:p>
            <w:pPr>
              <w:bidi w:val="0"/>
              <w:spacing w:before="20" w:after="20"/>
              <w:jc w:val="left"/>
            </w:pPr>
            <w:r>
              <w:rPr>
                <w:rFonts w:ascii="Sakkal Majalla" w:hAnsi="Sakkal Majalla" w:cs="Sakkal Majalla"/>
                <w:b w:val="0"/>
                <w:sz w:val="18"/>
              </w:rPr>
              <w:t>Data shared with external services</w:t>
            </w:r>
          </w:p>
        </w:tc>
        <w:tc>
          <w:tcPr>
            <w:tcW w:type="dxa" w:w="4608"/>
          </w:tcPr>
          <w:p>
            <w:pPr>
              <w:bidi w:val="0"/>
              <w:spacing w:before="20" w:after="20"/>
              <w:jc w:val="left"/>
            </w:pPr>
            <w:r>
              <w:rPr>
                <w:rFonts w:ascii="Sakkal Majalla" w:hAnsi="Sakkal Majalla" w:cs="Sakkal Majalla"/>
                <w:b w:val="0"/>
                <w:sz w:val="18"/>
              </w:rPr>
              <w:t>Only YouTube, and only a public video id. Nothing is sent to an external AI provider.</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10</w:t>
            </w:r>
          </w:p>
        </w:tc>
        <w:tc>
          <w:tcPr>
            <w:tcW w:type="dxa" w:w="2088"/>
          </w:tcPr>
          <w:p>
            <w:pPr>
              <w:bidi w:val="0"/>
              <w:spacing w:before="20" w:after="20"/>
              <w:jc w:val="left"/>
            </w:pPr>
            <w:r>
              <w:rPr>
                <w:rFonts w:ascii="Sakkal Majalla" w:hAnsi="Sakkal Majalla" w:cs="Sakkal Majalla"/>
                <w:b w:val="0"/>
                <w:sz w:val="18"/>
              </w:rPr>
              <w:t>SIEM and SMTP in the diagram</w:t>
            </w:r>
          </w:p>
        </w:tc>
        <w:tc>
          <w:tcPr>
            <w:tcW w:type="dxa" w:w="4608"/>
          </w:tcPr>
          <w:p>
            <w:pPr>
              <w:bidi w:val="0"/>
              <w:spacing w:before="20" w:after="20"/>
              <w:jc w:val="left"/>
            </w:pPr>
            <w:r>
              <w:rPr>
                <w:rFonts w:ascii="Sakkal Majalla" w:hAnsi="Sakkal Majalla" w:cs="Sakkal Majalla"/>
                <w:b w:val="0"/>
                <w:sz w:val="18"/>
              </w:rPr>
              <w:t>The SMTP relay is an on-site server in HSA, on 587. The log collector is an operational service rather than a SIMF hosting server, reached on 6514. The matrix is updated.</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11</w:t>
            </w:r>
          </w:p>
        </w:tc>
        <w:tc>
          <w:tcPr>
            <w:tcW w:type="dxa" w:w="2088"/>
          </w:tcPr>
          <w:p>
            <w:pPr>
              <w:bidi w:val="0"/>
              <w:spacing w:before="20" w:after="20"/>
              <w:jc w:val="left"/>
            </w:pPr>
            <w:r>
              <w:rPr>
                <w:rFonts w:ascii="Sakkal Majalla" w:hAnsi="Sakkal Majalla" w:cs="Sakkal Majalla"/>
                <w:b w:val="0"/>
                <w:sz w:val="18"/>
              </w:rPr>
              <w:t>Load balancer to AI connection</w:t>
            </w:r>
          </w:p>
        </w:tc>
        <w:tc>
          <w:tcPr>
            <w:tcW w:type="dxa" w:w="4608"/>
          </w:tcPr>
          <w:p>
            <w:pPr>
              <w:bidi w:val="0"/>
              <w:spacing w:before="20" w:after="20"/>
              <w:jc w:val="left"/>
            </w:pPr>
            <w:r>
              <w:rPr>
                <w:rFonts w:ascii="Sakkal Majalla" w:hAnsi="Sakkal Majalla" w:cs="Sakkal Majalla"/>
                <w:b w:val="0"/>
                <w:sz w:val="18"/>
              </w:rPr>
              <w:t>No such connection. It was a diagram error and is removed. Only SIMF.Api calls the AI endpoint.</w:t>
            </w:r>
          </w:p>
        </w:tc>
        <w:tc>
          <w:tcPr>
            <w:tcW w:type="dxa" w:w="2016"/>
          </w:tcPr>
          <w:p>
            <w:pPr>
              <w:bidi w:val="0"/>
              <w:spacing w:before="20" w:after="20"/>
              <w:jc w:val="left"/>
            </w:pPr>
            <w:r>
              <w:rPr>
                <w:rFonts w:ascii="Sakkal Majalla" w:hAnsi="Sakkal Majalla" w:cs="Sakkal Majalla"/>
                <w:b w:val="0"/>
                <w:sz w:val="18"/>
              </w:rPr>
              <w:t>2.1 Architecture Overview, Figure 1</w:t>
            </w:r>
          </w:p>
        </w:tc>
      </w:tr>
      <w:tr>
        <w:tc>
          <w:tcPr>
            <w:tcW w:type="dxa" w:w="648"/>
          </w:tcPr>
          <w:p>
            <w:pPr>
              <w:bidi w:val="0"/>
              <w:spacing w:before="20" w:after="20"/>
              <w:jc w:val="left"/>
            </w:pPr>
            <w:r>
              <w:rPr>
                <w:rFonts w:ascii="Sakkal Majalla" w:hAnsi="Sakkal Majalla" w:cs="Sakkal Majalla"/>
                <w:b w:val="0"/>
                <w:sz w:val="18"/>
              </w:rPr>
              <w:t>12</w:t>
            </w:r>
          </w:p>
        </w:tc>
        <w:tc>
          <w:tcPr>
            <w:tcW w:type="dxa" w:w="2088"/>
          </w:tcPr>
          <w:p>
            <w:pPr>
              <w:bidi w:val="0"/>
              <w:spacing w:before="20" w:after="20"/>
              <w:jc w:val="left"/>
            </w:pPr>
            <w:r>
              <w:rPr>
                <w:rFonts w:ascii="Sakkal Majalla" w:hAnsi="Sakkal Majalla" w:cs="Sakkal Majalla"/>
                <w:b w:val="0"/>
                <w:sz w:val="18"/>
              </w:rPr>
              <w:t>Outbound path from the AI service</w:t>
            </w:r>
          </w:p>
        </w:tc>
        <w:tc>
          <w:tcPr>
            <w:tcW w:type="dxa" w:w="4608"/>
          </w:tcPr>
          <w:p>
            <w:pPr>
              <w:bidi w:val="0"/>
              <w:spacing w:before="20" w:after="20"/>
              <w:jc w:val="left"/>
            </w:pPr>
            <w:r>
              <w:rPr>
                <w:rFonts w:ascii="Sakkal Majalla" w:hAnsi="Sakkal Majalla" w:cs="Sakkal Majalla"/>
                <w:b w:val="0"/>
                <w:sz w:val="18"/>
              </w:rPr>
              <w:t>Agreed, and no AI egress is possible. The on-site AI endpoint in HSA holds no outbound route. The one outbound call is the caption import, made by the Control Panel in SSA through the perimeter firewall.</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13</w:t>
            </w:r>
          </w:p>
        </w:tc>
        <w:tc>
          <w:tcPr>
            <w:tcW w:type="dxa" w:w="2088"/>
          </w:tcPr>
          <w:p>
            <w:pPr>
              <w:bidi w:val="0"/>
              <w:spacing w:before="20" w:after="20"/>
              <w:jc w:val="left"/>
            </w:pPr>
            <w:r>
              <w:rPr>
                <w:rFonts w:ascii="Sakkal Majalla" w:hAnsi="Sakkal Majalla" w:cs="Sakkal Majalla"/>
                <w:b w:val="0"/>
                <w:sz w:val="18"/>
              </w:rPr>
              <w:t>Hosting server per component</w:t>
            </w:r>
          </w:p>
        </w:tc>
        <w:tc>
          <w:tcPr>
            <w:tcW w:type="dxa" w:w="4608"/>
          </w:tcPr>
          <w:p>
            <w:pPr>
              <w:bidi w:val="0"/>
              <w:spacing w:before="20" w:after="20"/>
              <w:jc w:val="left"/>
            </w:pPr>
            <w:r>
              <w:rPr>
                <w:rFonts w:ascii="Sakkal Majalla" w:hAnsi="Sakkal Majalla" w:cs="Sakkal Majalla"/>
                <w:b w:val="0"/>
                <w:sz w:val="18"/>
              </w:rPr>
              <w:t>Done. Figure 1 shows one box per hosting server, and the matrix is updated to match.</w:t>
            </w:r>
          </w:p>
        </w:tc>
        <w:tc>
          <w:tcPr>
            <w:tcW w:type="dxa" w:w="2016"/>
          </w:tcPr>
          <w:p>
            <w:pPr>
              <w:bidi w:val="0"/>
              <w:spacing w:before="20" w:after="20"/>
              <w:jc w:val="left"/>
            </w:pPr>
            <w:r>
              <w:rPr>
                <w:rFonts w:ascii="Sakkal Majalla" w:hAnsi="Sakkal Majalla" w:cs="Sakkal Majalla"/>
                <w:b w:val="0"/>
                <w:sz w:val="18"/>
              </w:rPr>
              <w:t>2.1 Architecture Overview, Figure 1</w:t>
            </w:r>
          </w:p>
        </w:tc>
      </w:tr>
    </w:tbl>
    <w:p>
      <w:pPr>
        <w:bidi w:val="0"/>
        <w:spacing w:before="0" w:after="0"/>
        <w:jc w:val="left"/>
      </w:pPr>
      <w:r>
        <w:rPr>
          <w:rFonts w:ascii="Sakkal Majalla" w:hAnsi="Sakkal Majalla" w:cs="Sakkal Majalla"/>
          <w:b w:val="0"/>
          <w:sz w:val="12"/>
        </w:rPr>
      </w: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