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The forum is open to the general public and international in attendance: registration is not restricted to Ministry of Defense personnel and not restricted to Saudi nationals. Scope: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External (outbound only, via the controlled egress point): two integrations. YouTube, for live session streaming and for the server-to-server caption import, which sends the public video id only. Google Gemini (generativelanguage.googleapis.com), the intended artificial-intelligence provider, for session summaries, attendee-question filtering and visitor assistance. Both require an approved firewall exception permitting outbound HTTPS 443 from the application zone to those hosts. The internal network blocks that egress today, so the delivered configuration answers the AI features from a local stub and the caption import falls back to manual paste or upload. Enabling the providers is a ministry decision; until it is taken, no AI request, session content or credential leaves the ministry network.</w:t>
            </w:r>
            <w:r>
              <w:rPr>
                <w:sz w:val="24"/>
              </w:rPr>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Compliance: aligned to the NCA Secure Application Development Standard (ECC / OWASP baselines) and to the Saudi Personal Data Protection Law (PDPL).</w:t>
            </w:r>
            <w:r>
              <w:rPr>
                <w:sz w:val="24"/>
              </w:rPr>
            </w:r>
          </w:p>
          <w:p w14:paraId="179BAEB9" w14:textId="77777777" w:rsidR="00B23F52" w:rsidRDefault="00000000">
            <w:pPr>
              <w:bidi w:val="0"/>
              <w:spacing w:after="80"/>
              <w:jc w:val="left"/>
            </w:pPr>
            <w:r>
              <w:rPr>
                <w:b/>
                <w:sz w:val="24"/>
              </w:rPr>
              <w:t>Data classification: the platform holds no classified and no militarily sensitive material. Its content is unclassified and falls into three groups: personal data of visitors, speakers and exhibitors; open scientific material (sessions and workshops); and administrative data for exhibition and programme management. Only the first group carries PDPL obligations, and it is the group protected by the encryption, access-control and audit measures above.</w:t>
            </w:r>
            <w:r>
              <w:rPr>
                <w:sz w:val="24"/>
              </w:rPr>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p w14:paraId="51179AB3" w14:textId="77777777" w:rsidR="00B23F52" w:rsidRDefault="00000000">
            <w:pPr>
              <w:bidi w:val="0"/>
              <w:spacing w:after="80"/>
              <w:ind w:left="360"/>
              <w:jc w:val="left"/>
            </w:pPr>
            <w:r>
              <w:rPr>
                <w:sz w:val="24"/>
              </w:rPr>
              <w:t>•  The two external integrations, YouTube and the Google Gemini API, depend on an approved outbound firewall exception. Until it is granted, the AI features run against a local stub, subtitles are entered manually, and live streaming is unavailable.</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with the per-tier node counts and the CPU, RAM and storage, is part of the deferred scale-out and is confirmed with the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The forum is open to the general public and international in attendance: it is not restricted to Ministry of Defense personnel and not restricted to Saudi nationals, and any member of the public may register subject to administrator approval.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drawn from the general public and from international participants,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The website carries no registration; visitors register in the mobile app.</w:t>
            </w:r>
          </w:p>
          <w:p w14:paraId="2097DE9A" w14:textId="77777777" w:rsidR="00B23F52" w:rsidRDefault="00000000">
            <w:pPr>
              <w:bidi w:val="0"/>
              <w:spacing w:after="80"/>
              <w:ind w:left="360"/>
              <w:jc w:val="left"/>
            </w:pPr>
            <w:r>
              <w:rPr>
                <w:sz w:val="24"/>
              </w:rPr>
              <w:t>•  Administrators / organisers / scientific committee / public relations, staffed by Royal Saudi Naval Forces personnel and by the organising company, use the Control Panel, reached on a separate hostname (the administrator is the "Backend user" in the SITE reference topology of section 2.1). Each administrator holds a named role whose permissions are restricted per page and per action.</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Google Gemini (generativelanguage.googleapis.com), the intended artificial-intelligence provider for session summaries, attendee-question filtering and visitor assistance. It is disabled in the delivered configuration and its egress is blocked, so it is not yet an active external entity; activating it requires an approved firewall exception.</w:t>
            </w:r>
          </w:p>
          <w:p w14:paraId="5B8980A0" w14:textId="77777777" w:rsidR="00B23F52" w:rsidRDefault="00000000">
            <w:pPr>
              <w:bidi w:val="0"/>
              <w:spacing w:after="80"/>
              <w:ind w:left="360"/>
              <w:jc w:val="left"/>
            </w:pPr>
            <w:r>
              <w:rPr>
                <w:sz w:val="24"/>
              </w:rPr>
              <w:t>•  YouTube, live session streaming and the server-to-server caption import that feeds the AI summary drafter; the import sends the public video id only. It requires the same approved firewall exception, and without it the paste or upload path is used.</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AI endpoint, serves the inference features (session minutes, question filtering, visitor assistance and translation). SIMF.Api is its only caller. The provider is a configuration value; the intended provider is Google Gemini, and the delivered value is a local stub that answers without calling anything, so no inference leaves the network until the firewall exception is approved.</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target three-tier deployment and network architecture. One box per hosting server, with its zone, firewall, protocol and port. The diagram is reproduced at full page size on the landscape pages that follow section 2.3.</w:t>
            </w:r>
          </w:p>
          <w:p w14:paraId="099CF049"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an outbound call to one external service only: the YouTube caption API. No artificial-intelligence provider is enabled in the delivered configuration, so AI generates no traffic at all. Authentication uses e-mail one-time passwords, so there is no SMS or NAFATH dependency.</w:t>
            </w:r>
          </w:p>
          <w:p w14:paraId="64BACB87"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internal SMTP relay, the log collector, and the single controlled egress point for the two outbound calls.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lastRenderedPageBreak/>
              <w:t xml:space="preserve">HSA Zone (data). </w:t>
            </w:r>
            <w:r>
              <w:rPr>
                <w:sz w:val="24"/>
              </w:rPr>
              <w:t>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The zone also holds the shared file store, which keeps every uploaded file, including identity documents, encrypted at rest, and the scheduled backups.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WebSocket-aware, health probes; tuned for tens of thousands of long-lived connections.</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 SignalR. about 10,000 WebSocket connections/node, about a 40k ceiling; PBKDF2 auth is CPU-bound; per-node in-memory cache (section A.1).</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C4D8A6D"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2C4D8A6D"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1FEA89F0" w14:textId="77777777" w:rsidR="00B23F52" w:rsidRDefault="00000000">
            <w:pPr>
              <w:bidi w:val="0"/>
              <w:spacing w:after="80"/>
              <w:jc w:val="left"/>
            </w:pPr>
            <w:r>
              <w:rPr>
                <w:sz w:val="24"/>
              </w:rPr>
              <w:t>Presentation tier: SIMF.Web (Blazor SSR) on two web hosts, and SIMF.ControlPanel (Blazor Server) on two admin hosts with session affinity. Application tier: SIMF.Api on four stateless API hosts. Data tier: SQL Server 2022 in the HSA zone.</w:t>
            </w:r>
          </w:p>
          <w:p w14:paraId="1FEA89F0"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FEA89F0"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2C4D8A6D"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2C4D8A6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1FEA89F0" w14:textId="77777777" w:rsidR="00B23F52" w:rsidRDefault="00000000">
            <w:pPr>
              <w:bidi w:val="0"/>
              <w:spacing w:after="80"/>
              <w:jc w:val="left"/>
            </w:pPr>
            <w:r>
              <w:rPr>
                <w:sz w:val="24"/>
              </w:rPr>
              <w:t>AI requests are made only by the main application. SIMF.Api, through its infrastructure layer, calls the configured AI endpoint. There is no other caller and no other path, whatever provider is configured.</w:t>
            </w:r>
          </w:p>
          <w:p w14:paraId="1FEA89F0" w14:textId="77777777" w:rsidR="00B23F52" w:rsidRDefault="00000000">
            <w:pPr>
              <w:bidi w:val="0"/>
              <w:spacing w:after="80"/>
              <w:jc w:val="left"/>
            </w:pPr>
            <w:r>
              <w:rPr>
                <w:sz w:val="24"/>
              </w:rPr>
              <w:t>The load balancer carries no AI traffic of any kind. Its role is limited to terminating client TLS, filtering against the OWASP rule set and distributing client requests across the application tiers.</w:t>
            </w:r>
          </w:p>
          <w:p w14:paraId="1FEA89F0" w14:textId="77777777" w:rsidR="00B23F52" w:rsidRDefault="00000000">
            <w:pPr>
              <w:bidi w:val="0"/>
              <w:spacing w:after="80"/>
              <w:jc w:val="left"/>
            </w:pPr>
            <w:r>
              <w:rPr>
                <w:sz w:val="24"/>
              </w:rPr>
              <w:t>Figure 1 states this on the drawing itself. The single AI path is specified in section 2.4 under "API to the AI endpoint": SIMF.Api is the only caller and the load balancer carries no AI traffic.</w:t>
            </w:r>
          </w:p>
          <w:p w14:paraId="2C4D8A6D"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C4D8A6D"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1FEA89F0" w14:textId="77777777" w:rsidR="00B23F52" w:rsidRDefault="00000000">
            <w:pPr>
              <w:bidi w:val="0"/>
              <w:spacing w:after="80"/>
              <w:jc w:val="left"/>
            </w:pPr>
            <w:r>
              <w:rPr>
                <w:sz w:val="24"/>
              </w:rPr>
              <w:t>Internet zone: attendee mobile device, public website browser, administrator browser, and YouTube. No SIMF server is hosted here.</w:t>
            </w:r>
          </w:p>
          <w:p w14:paraId="1FEA89F0" w14:textId="77777777" w:rsidR="00B23F52" w:rsidRDefault="00000000">
            <w:pPr>
              <w:bidi w:val="0"/>
              <w:spacing w:after="80"/>
              <w:jc w:val="left"/>
            </w:pPr>
            <w:r>
              <w:rPr>
                <w:sz w:val="24"/>
              </w:rPr>
              <w:t>SSA zone: WAF and load balancer (active and standby), API hosts (four), web hosts (two), admin hosts (two), worker host, AI endpoint, SMTP relay host, log collector and SIEM host, and the controlled egress point host.</w:t>
            </w:r>
          </w:p>
          <w:p w14:paraId="1FEA89F0" w14:textId="77777777" w:rsidR="00B23F52" w:rsidRDefault="00000000">
            <w:pPr>
              <w:bidi w:val="0"/>
              <w:spacing w:after="80"/>
              <w:jc w:val="left"/>
            </w:pPr>
            <w:r>
              <w:rPr>
                <w:sz w:val="24"/>
              </w:rPr>
              <w:t>HSA zone: database host running the AlwaysOn primary, database hosts running the two readable secondaries, the file store host and the file-share witness host.</w:t>
            </w:r>
          </w:p>
          <w:p w14:paraId="1FEA89F0" w14:textId="77777777" w:rsidR="00B23F52" w:rsidRDefault="00000000">
            <w:pPr>
              <w:bidi w:val="0"/>
              <w:spacing w:after="80"/>
              <w:jc w:val="left"/>
            </w:pPr>
            <w:r>
              <w:rPr>
                <w:sz w:val="24"/>
              </w:rPr>
              <w:t>The Communication Requirements Matrix in section 2.8 has been updated row by row to match, including the removal of the outbound AI row and its replacement by an internal SSA-zone row.</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static informational content about the forum and its programme. It has no sign-in, registration or account page and stores no personal data; registration and all visitor data live in the mobile app and the Control Panel. Two deliberate exceptions: the website assistant passes the visitor’s question text to the AI service without storing identity, and the meeting-confirmation page opens from a private per-speaker link.</w:t>
            </w:r>
          </w:p>
          <w:p w14:paraId="5A7FF417" w14:textId="77777777" w:rsidR="00B23F52" w:rsidRDefault="00000000">
            <w:pPr>
              <w:bidi w:val="0"/>
              <w:spacing w:after="80"/>
              <w:ind w:left="360"/>
              <w:jc w:val="left"/>
            </w:pPr>
            <w:r>
              <w:rPr>
                <w:sz w:val="24"/>
              </w:rPr>
              <w:t>•  Badge desk (SIMF.BadgeDesk, WinForms), an on-site desk tool used by staff to print and issue badges at the venue. It is drawn in Figure 2 alongside the three main clients.</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subtitle import from the session video (with manual paste or upload), session-summary drafting for the minutes, attendee-question filtering before questions reach the moderator queue, and the in-app and website assistants. Each summary is produced as an automatic draft that the scientific committee reviews, approves and publishes before attendees see it. Live sessions additionally carry broadcast translation and a sign-language feed.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clients call the same API. The API exposes two route-prefixed surfaces from one process, /api/v1/app/* for the mobile app and the public website, and /api/v1/admin/* for the Control Panel and the badge desk,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p w14:paraId="2C4D8A6D"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C4D8A6D" w14:textId="77777777" w:rsidR="00B23F52" w:rsidRDefault="00000000">
            <w:pPr>
              <w:bidi w:val="0"/>
              <w:spacing w:after="80"/>
              <w:jc w:val="left"/>
            </w:pPr>
            <w:r>
              <w:rPr>
                <w:b/>
                <w:sz w:val="24"/>
              </w:rPr>
              <w:t xml:space="preserve">SIMF response. </w:t>
            </w:r>
            <w:r>
              <w:rPr>
                <w:sz w:val="24"/>
              </w:rPr>
              <w:t>Provided at full page size, as Figure 2 and Figure 3.</w:t>
            </w:r>
          </w:p>
          <w:p w14:paraId="1FEA89F0" w14:textId="77777777" w:rsidR="00B23F52" w:rsidRDefault="00000000">
            <w:pPr>
              <w:bidi w:val="0"/>
              <w:spacing w:after="80"/>
              <w:jc w:val="left"/>
            </w:pPr>
            <w:r>
              <w:rPr>
                <w:sz w:val="24"/>
              </w:rPr>
              <w:t>Figure 2, component and interaction view, shows every component (four clients, the four internal layers of the SIMF.Api process, the background worker, the shared libraries, the log collector, the two databases and the file store) and labels every call with its protocol and port. The AI service, the SMTP relay and the controlled egress point are integration endpoints rather than components designed as part of this solution, so they appear in the data flow of Figure 3 and in the Communication Requirements Matrix in section 2.8, and deliberately not in the component view.</w:t>
            </w:r>
          </w:p>
          <w:p w14:paraId="1FEA89F0" w14:textId="77777777" w:rsidR="00B23F52" w:rsidRDefault="00000000">
            <w:pPr>
              <w:bidi w:val="0"/>
              <w:spacing w:after="80"/>
              <w:jc w:val="left"/>
            </w:pPr>
            <w:r>
              <w:rPr>
                <w:sz w:val="24"/>
              </w:rPr>
              <w:t>The end-to-end sequence runs across four participants (attendee, SIMF.Api, administrator and Scientific Committee, and data and internal services): sign-up, e-mail verification, profile storage, approval or rejection, badge issue, sign-in with second factor, seat reservation, gate scan, live session, question and moderation, subtitle import, minutes drafting and approval, and rating and feedback. Figure 3 shows the same activity as a data flow, in a level 0 context view with its level 1 decomposition.</w:t>
            </w:r>
          </w:p>
          <w:p w14:paraId="1FEA89F0" w14:textId="77777777" w:rsidR="00B23F52" w:rsidRDefault="00000000">
            <w:pPr>
              <w:bidi w:val="0"/>
              <w:spacing w:after="80"/>
              <w:jc w:val="left"/>
            </w:pPr>
            <w:r>
              <w:rPr>
                <w:sz w:val="24"/>
              </w:rPr>
              <w:t>Labels in the figures are taken from the Communication Requirements Matrix in section 2.8, so the diagrams and the matrix cannot disagree.</w:t>
            </w:r>
          </w:p>
        </w:tc>
      </w:tr>
    </w:tbl>
    <w:p>
      <w:pPr>
        <w:spacing w:before="0" w:after="0" w:line="20" w:lineRule="exact"/>
        <w:sectPr w:rsidR="005569FB" w:rsidSect="00E453E8">
          <w:headerReference w:type="even" r:id="rId8"/>
          <w:headerReference w:type="default" r:id="rId9"/>
          <w:footerReference w:type="default" r:id="rId10"/>
          <w:headerReference w:type="first" r:id="rId11"/>
          <w:type w:val="nextPage"/>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p>
      <w:pPr>
        <w:bidi w:val="0"/>
        <w:spacing w:before="0" w:after="80"/>
        <w:jc w:val="left"/>
      </w:pPr>
      <w:r>
        <w:rPr>
          <w:rFonts w:ascii="Sakkal Majalla" w:hAnsi="Sakkal Majalla" w:cs="Sakkal Majalla"/>
          <w:b/>
          <w:color w:val="1F3864"/>
          <w:sz w:val="20"/>
        </w:rPr>
        <w:t>Figure 1. SIMF target deployment, security areas and internet egress. A UML deployment diagram: one box per hosting server, with its zone, firewall, protocol and port. The zones are grouped into two security areas, HSA holding the database and file server and carrying internal traffic only, and SSA holding the remaining zones and reaching the internet. The API's two outbound calls, to YouTube for session captions and to the Google Gemini API for the AI assistant, cross both firewalls. Outbound access to YouTube is requested and not yet granted. Answers technical review points 10, 11, 12 and 13.</w:t>
      </w:r>
    </w:p>
    <w:p>
      <w:pPr>
        <w:bidi w:val="0"/>
        <w:spacing w:before="0" w:after="0"/>
        <w:jc w:val="center"/>
      </w:pPr>
      <w:r>
        <w:drawing>
          <wp:inline xmlns:a="http://schemas.openxmlformats.org/drawingml/2006/main" xmlns:pic="http://schemas.openxmlformats.org/drawingml/2006/picture">
            <wp:extent cx="7198046"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7198046"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2. SIMF component and interaction view. Every component, and how each one communicates with the others. Answers technical review points 1 and 7.</w:t>
      </w:r>
    </w:p>
    <w:p>
      <w:pPr>
        <w:bidi w:val="0"/>
        <w:spacing w:before="0" w:after="0"/>
        <w:jc w:val="center"/>
      </w:pPr>
      <w:r>
        <w:drawing>
          <wp:inline xmlns:a="http://schemas.openxmlformats.org/drawingml/2006/main" xmlns:pic="http://schemas.openxmlformats.org/drawingml/2006/picture">
            <wp:extent cx="8491553"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491553"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3. SIMF system and data flow. A data flow diagram in Gane and Sarson notation: a level 0 context view and a level 1 decomposition that balances with it. Answers technical review point 7.</w:t>
      </w:r>
    </w:p>
    <w:p>
      <w:pPr>
        <w:bidi w:val="0"/>
        <w:spacing w:before="0" w:after="0"/>
        <w:jc w:val="center"/>
      </w:pPr>
      <w:r>
        <w:drawing>
          <wp:inline xmlns:a="http://schemas.openxmlformats.org/drawingml/2006/main" xmlns:pic="http://schemas.openxmlformats.org/drawingml/2006/picture">
            <wp:extent cx="8633079"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633079" cy="6240780"/>
                    </a:xfrm>
                    <a:prstGeom prst="rect"/>
                  </pic:spPr>
                </pic:pic>
              </a:graphicData>
            </a:graphic>
          </wp:inline>
        </w:drawing>
      </w:r>
    </w:p>
    <w:p>
      <w:pPr>
        <w:spacing w:before="0" w:after="0" w:line="20" w:lineRule="exact"/>
        <w:sectPr w:rsidR="005569FB" w:rsidSect="00E453E8">
          <w:headerReference w:type="first" r:id="rId16"/>
          <w:headerReference w:type="even" r:id="rId16"/>
          <w:footerReference w:type="default" r:id="rId10"/>
          <w:headerReference w:type="default" r:id="rId16"/>
          <w:type w:val="nextPage"/>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231744C9" w14:textId="77777777" w:rsidR="00B23F52" w:rsidRDefault="00000000">
            <w:pPr>
              <w:bidi w:val="0"/>
              <w:spacing w:after="80"/>
              <w:jc w:val="left"/>
            </w:pPr>
            <w:r>
              <w:rPr>
                <w:b/>
                <w:sz w:val="24"/>
              </w:rPr>
              <w:t>API to the AI endpoint: SIMF.Api is the only caller and the load balancer carries no AI traffic. The endpoint is selected by configuration; the intended provider is Google Gemini, reached through the controlled egress point, and an on-premises endpoint would keep the call inside the SSA zone. The delivered value is a local stub, so no provider is active until the firewall exception is approved. Every invocation is logged and rate-limited per administrator.</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Google Gemini API (generativelanguage.googleapis.com): the intended artificial-intelligence provider for session summaries, attendee-question filtering and visitor assistance. It requires an approved firewall exception for outbound HTTPS 443. The internal network blocks it today, so the delivered configuration answers from a local stub and no session content or credential leaves the ministry network. When it is enabled, no personal data and no operational record accompany the call: the payload is the session content to summarise or the question text to filter, without attendee identity.</w:t>
            </w:r>
            <w:r>
              <w:rPr>
                <w:sz w:val="24"/>
              </w:rPr>
            </w:r>
          </w:p>
          <w:p w14:paraId="739E9688" w14:textId="77777777" w:rsidR="00B23F52" w:rsidRDefault="00000000">
            <w:pPr>
              <w:bidi w:val="0"/>
              <w:spacing w:after="80"/>
              <w:jc w:val="left"/>
            </w:pPr>
            <w:r>
              <w:rPr>
                <w:b/>
                <w:sz w:val="24"/>
              </w:rPr>
              <w:t>YouTube caption API: server-to-server subtitle import from youtubei.googleapis.com and www.youtube.com. The returned caption host is re-validated before the second request and a no-redirect HTTP client is used (SSRF hardening). This requires the same approved firewall exception; until it is granted the feature degrades gracefully to paste or upload.</w:t>
            </w:r>
            <w:r>
              <w:rPr>
                <w:sz w:val="24"/>
              </w:rPr>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YouTube live playback: the attendee device plays the configured stream URL directly. The platform stores only the URL, and this traffic does not traverse the SIMF backend.</w:t>
            </w:r>
            <w:r>
              <w:rPr>
                <w:sz w:val="24"/>
              </w:rPr>
            </w:r>
          </w:p>
          <w:p w14:paraId="2CCA6503" w14:textId="77777777" w:rsidR="00B23F52" w:rsidRDefault="00000000">
            <w:pPr>
              <w:bidi w:val="0"/>
              <w:spacing w:after="80"/>
              <w:jc w:val="left"/>
            </w:pPr>
            <w:r>
              <w:rPr>
                <w:b/>
                <w:sz w:val="24"/>
              </w:rPr>
              <w:t>Video storage and the video library: SIMF stores video links only and holds no video files; images are the only media uploaded into the file store. The public video library is published on the forum’s YouTube channel and surfaced in SIMF as links, so it needs no additional storage, encoding or bandwidth on ministry servers and does not change the hardware specification. It depends on the same approved firewall exception.</w:t>
            </w:r>
            <w:r>
              <w:rPr>
                <w:sz w:val="24"/>
              </w:rPr>
            </w:r>
          </w:p>
          <w:p w14:paraId="6B91F276" w14:textId="77777777" w:rsidR="00B23F52" w:rsidRDefault="00000000">
            <w:pPr>
              <w:bidi w:val="0"/>
              <w:spacing w:after="80"/>
              <w:jc w:val="left"/>
            </w:pPr>
            <w:r>
              <w:rPr>
                <w:i/>
                <w:color w:val="444444"/>
                <w:sz w:val="22"/>
              </w:rPr>
              <w:t>No inbound interface is exposed to any external entity.</w:t>
            </w:r>
          </w:p>
          <w:p w14:paraId="2C4D8A6D" w14:textId="77777777" w:rsidR="00B23F52" w:rsidRDefault="00000000">
            <w:pPr>
              <w:bidi w:val="0"/>
              <w:spacing w:after="80"/>
              <w:jc w:val="left"/>
            </w:pPr>
            <w:r>
              <w:rPr>
                <w:b/>
                <w:sz w:val="24"/>
              </w:rPr>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2C4D8A6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1FEA89F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1FEA89F0"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holds no media content.</w:t>
            </w:r>
          </w:p>
          <w:p w14:paraId="2C4D8A6D"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2C4D8A6D"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1FEA89F0"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1FEA89F0"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2C4D8A6D"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2C4D8A6D"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1FEA89F0" w14:textId="77777777" w:rsidR="00B23F52" w:rsidRDefault="00000000">
            <w:pPr>
              <w:bidi w:val="0"/>
              <w:spacing w:after="80"/>
              <w:jc w:val="left"/>
            </w:pPr>
            <w:r>
              <w:rPr>
                <w:sz w:val="24"/>
              </w:rPr>
              <w:t>Artificial intelligence: in the configuration delivered for the forum no AI provider is enabled, so no AI request leaves the ministry network and no inference is performed at all. Inference sits behind a single abstraction and the provider is a configuration value; the delivered value is a local stub that answers without calling anything. SIMF.Api is the only caller in every case, and the load balancer carries no AI traffic.</w:t>
            </w:r>
          </w:p>
          <w:p w14:paraId="1FEA89F0" w14:textId="77777777" w:rsidR="00B23F52" w:rsidRDefault="00000000">
            <w:pPr>
              <w:bidi w:val="0"/>
              <w:spacing w:after="80"/>
              <w:jc w:val="left"/>
            </w:pPr>
            <w:r>
              <w:rPr>
                <w:sz w:val="24"/>
              </w:rPr>
              <w:t>Enabling a provider is an explicit ministry decision, and that is the point at which the data question arises. An on-premises inference endpoint keeps every request inside the SSA zone and produces no egress. An external provider would send the fields listed in the table below Point 9 out through the controlled egress point, authenticated with that provider's API-key or bearer-token header, and would require a data-residency decision first. The codebase carries clients for three external providers, each of which accepts a configurable base URL, so the same client addresses an on-premises endpoint without a code change. No on-premises inference service is in place today.</w:t>
            </w:r>
          </w:p>
          <w:p w14:paraId="1FEA89F0"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1FEA89F0" w14:textId="77777777" w:rsidR="00B23F52" w:rsidRDefault="00000000">
            <w:pPr>
              <w:bidi w:val="0"/>
              <w:spacing w:after="80"/>
              <w:jc w:val="left"/>
            </w:pPr>
            <w:r>
              <w:rPr>
                <w:sz w:val="24"/>
              </w:rPr>
              <w:t>Path: SIMF.Api to the controlled egress point host (both in the SSA zone), which applies an FQDN allow-list and logs every request, then out through the edge firewall. The returned caption host is re-validated before the second request, and the HTTP client does not follow redirects.</w:t>
            </w:r>
          </w:p>
          <w:p w14:paraId="2C4D8A6D"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2C4D8A6D"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1FEA89F0"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1FEA89F0"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1FEA89F0" w14:textId="77777777" w:rsidR="00B23F52" w:rsidRDefault="00000000">
            <w:pPr>
              <w:bidi w:val="0"/>
              <w:spacing w:after="80"/>
              <w:jc w:val="left"/>
            </w:pPr>
            <w:r>
              <w:rPr>
                <w:sz w:val="24"/>
              </w:rPr>
              <w:t>Artificial intelligence sends nothing today, because no provider is enabled. The table below is the complete field-level inventory of what each AI feature would receive once a provider is enabled. If that provider is an on-premises endpoint the data stays inside the SSA zone; if it is an external provider the same fields would leave through the controlled egress point, which is why enabling one requires a data-residency decision first.</w:t>
            </w:r>
          </w:p>
          <w:p w14:paraId="1FEA89F0" w14:textId="77777777" w:rsidR="00B23F52" w:rsidRDefault="00000000">
            <w:pPr>
              <w:bidi w:val="0"/>
              <w:spacing w:after="80"/>
              <w:jc w:val="left"/>
            </w:pPr>
            <w:r>
              <w:rPr>
                <w:sz w:val="24"/>
              </w:rPr>
              <w:t>Data sent to the AI endpoint once a provider is enabled, by feature.</w:t>
            </w:r>
          </w:p>
          <w:tbl>
            <w:tblPr>
              <w:tblStyle w:val="TableGrid"/>
              <w:tblW w:type="auto" w:w="0"/>
              <w:tblLayout w:type="fixed"/>
              <w:tblLook w:firstColumn="1" w:firstRow="1" w:lastColumn="0" w:lastRow="0" w:noHBand="0" w:noVBand="1" w:val="04A0"/>
              <w:tblLayout w:type="fixed"/>
            </w:tblPr>
            <w:tblGrid>
              <w:gridCol w:w="1656"/>
              <w:gridCol w:w="3600"/>
              <w:gridCol w:w="1584"/>
              <w:gridCol w:w="1944"/>
            </w:tblGrid>
            <w:tr>
              <w:trPr>
                <w:tblHeader/>
              </w:trPr>
              <w:tc>
                <w:tcPr>
                  <w:tcW w:type="dxa" w:w="1656"/>
                </w:tcPr>
                <w:p>
                  <w:pPr>
                    <w:bidi w:val="0"/>
                    <w:spacing w:before="20" w:after="20"/>
                    <w:jc w:val="left"/>
                  </w:pPr>
                  <w:r>
                    <w:rPr>
                      <w:rFonts w:ascii="Sakkal Majalla" w:hAnsi="Sakkal Majalla" w:cs="Sakkal Majalla"/>
                      <w:b/>
                      <w:sz w:val="18"/>
                    </w:rPr>
                    <w:t>AI feature</w:t>
                  </w:r>
                </w:p>
              </w:tc>
              <w:tc>
                <w:tcPr>
                  <w:tcW w:type="dxa" w:w="3600"/>
                </w:tcPr>
                <w:p>
                  <w:pPr>
                    <w:bidi w:val="0"/>
                    <w:spacing w:before="20" w:after="20"/>
                    <w:jc w:val="left"/>
                  </w:pPr>
                  <w:r>
                    <w:rPr>
                      <w:rFonts w:ascii="Sakkal Majalla" w:hAnsi="Sakkal Majalla" w:cs="Sakkal Majalla"/>
                      <w:b/>
                      <w:sz w:val="18"/>
                    </w:rPr>
                    <w:t>Fields sent once a provider is enabled</w:t>
                  </w:r>
                </w:p>
              </w:tc>
              <w:tc>
                <w:tcPr>
                  <w:tcW w:type="dxa" w:w="1584"/>
                </w:tcPr>
                <w:p>
                  <w:pPr>
                    <w:bidi w:val="0"/>
                    <w:spacing w:before="20" w:after="20"/>
                    <w:jc w:val="left"/>
                  </w:pPr>
                  <w:r>
                    <w:rPr>
                      <w:rFonts w:ascii="Sakkal Majalla" w:hAnsi="Sakkal Majalla" w:cs="Sakkal Majalla"/>
                      <w:b/>
                      <w:sz w:val="18"/>
                    </w:rPr>
                    <w:t>Personal data</w:t>
                  </w:r>
                </w:p>
              </w:tc>
              <w:tc>
                <w:tcPr>
                  <w:tcW w:type="dxa" w:w="1944"/>
                </w:tcPr>
                <w:p>
                  <w:pPr>
                    <w:bidi w:val="0"/>
                    <w:spacing w:before="20" w:after="20"/>
                    <w:jc w:val="left"/>
                  </w:pPr>
                  <w:r>
                    <w:rPr>
                      <w:rFonts w:ascii="Sakkal Majalla" w:hAnsi="Sakkal Majalla" w:cs="Sakkal Majalla"/>
                      <w:b/>
                      <w:sz w:val="18"/>
                    </w:rPr>
                    <w:t>Destination</w:t>
                  </w:r>
                </w:p>
              </w:tc>
            </w:tr>
            <w:tr>
              <w:tc>
                <w:tcPr>
                  <w:tcW w:type="dxa" w:w="1656"/>
                </w:tcPr>
                <w:p>
                  <w:pPr>
                    <w:bidi w:val="0"/>
                    <w:spacing w:before="20" w:after="20"/>
                    <w:jc w:val="left"/>
                  </w:pPr>
                  <w:r>
                    <w:rPr>
                      <w:rFonts w:ascii="Sakkal Majalla" w:hAnsi="Sakkal Majalla" w:cs="Sakkal Majalla"/>
                      <w:b w:val="0"/>
                      <w:sz w:val="18"/>
                    </w:rPr>
                    <w:t>Question filter</w:t>
                  </w:r>
                </w:p>
              </w:tc>
              <w:tc>
                <w:tcPr>
                  <w:tcW w:type="dxa" w:w="3600"/>
                </w:tcPr>
                <w:p>
                  <w:pPr>
                    <w:bidi w:val="0"/>
                    <w:spacing w:before="20" w:after="20"/>
                    <w:jc w:val="left"/>
                  </w:pPr>
                  <w:r>
                    <w:rPr>
                      <w:rFonts w:ascii="Sakkal Majalla" w:hAnsi="Sakkal Majalla" w:cs="Sakkal Majalla"/>
                      <w:b w:val="0"/>
                      <w:sz w:val="18"/>
                    </w:rPr>
                    <w:t>the question text only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FAQ answer</w:t>
                  </w:r>
                </w:p>
              </w:tc>
              <w:tc>
                <w:tcPr>
                  <w:tcW w:type="dxa" w:w="3600"/>
                </w:tcPr>
                <w:p>
                  <w:pPr>
                    <w:bidi w:val="0"/>
                    <w:spacing w:before="20" w:after="20"/>
                    <w:jc w:val="left"/>
                  </w:pPr>
                  <w:r>
                    <w:rPr>
                      <w:rFonts w:ascii="Sakkal Majalla" w:hAnsi="Sakkal Majalla" w:cs="Sakkal Majalla"/>
                      <w:b w:val="0"/>
                      <w:sz w:val="18"/>
                    </w:rPr>
                    <w:t>the visitor question and the published FAQ entries</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Assistance</w:t>
                  </w:r>
                </w:p>
              </w:tc>
              <w:tc>
                <w:tcPr>
                  <w:tcW w:type="dxa" w:w="3600"/>
                </w:tcPr>
                <w:p>
                  <w:pPr>
                    <w:bidi w:val="0"/>
                    <w:spacing w:before="20" w:after="20"/>
                    <w:jc w:val="left"/>
                  </w:pPr>
                  <w:r>
                    <w:rPr>
                      <w:rFonts w:ascii="Sakkal Majalla" w:hAnsi="Sakkal Majalla" w:cs="Sakkal Majalla"/>
                      <w:b w:val="0"/>
                      <w:sz w:val="18"/>
                    </w:rPr>
                    <w:t>the visitor question and the public programme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Translation</w:t>
                  </w:r>
                </w:p>
              </w:tc>
              <w:tc>
                <w:tcPr>
                  <w:tcW w:type="dxa" w:w="3600"/>
                </w:tcPr>
                <w:p>
                  <w:pPr>
                    <w:bidi w:val="0"/>
                    <w:spacing w:before="20" w:after="20"/>
                    <w:jc w:val="left"/>
                  </w:pPr>
                  <w:r>
                    <w:rPr>
                      <w:rFonts w:ascii="Sakkal Majalla" w:hAnsi="Sakkal Majalla" w:cs="Sakkal Majalla"/>
                      <w:b w:val="0"/>
                      <w:sz w:val="18"/>
                    </w:rPr>
                    <w:t>the source text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translation</w:t>
                  </w:r>
                </w:p>
              </w:tc>
              <w:tc>
                <w:tcPr>
                  <w:tcW w:type="dxa" w:w="3600"/>
                </w:tcPr>
                <w:p>
                  <w:pPr>
                    <w:bidi w:val="0"/>
                    <w:spacing w:before="20" w:after="20"/>
                    <w:jc w:val="left"/>
                  </w:pPr>
                  <w:r>
                    <w:rPr>
                      <w:rFonts w:ascii="Sakkal Majalla" w:hAnsi="Sakkal Majalla" w:cs="Sakkal Majalla"/>
                      <w:b w:val="0"/>
                      <w:sz w:val="18"/>
                    </w:rPr>
                    <w:t>the live caption line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sign language</w:t>
                  </w:r>
                </w:p>
              </w:tc>
              <w:tc>
                <w:tcPr>
                  <w:tcW w:type="dxa" w:w="3600"/>
                </w:tcPr>
                <w:p>
                  <w:pPr>
                    <w:bidi w:val="0"/>
                    <w:spacing w:before="20" w:after="20"/>
                    <w:jc w:val="left"/>
                  </w:pPr>
                  <w:r>
                    <w:rPr>
                      <w:rFonts w:ascii="Sakkal Majalla" w:hAnsi="Sakkal Majalla" w:cs="Sakkal Majalla"/>
                      <w:b w:val="0"/>
                      <w:sz w:val="18"/>
                    </w:rPr>
                    <w:t>the live caption line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Session minutes</w:t>
                  </w:r>
                </w:p>
              </w:tc>
              <w:tc>
                <w:tcPr>
                  <w:tcW w:type="dxa" w:w="3600"/>
                </w:tcPr>
                <w:p>
                  <w:pPr>
                    <w:bidi w:val="0"/>
                    <w:spacing w:before="20" w:after="20"/>
                    <w:jc w:val="left"/>
                  </w:pPr>
                  <w:r>
                    <w:rPr>
                      <w:rFonts w:ascii="Sakkal Majalla" w:hAnsi="Sakkal Majalla" w:cs="Sakkal Majalla"/>
                      <w:b w:val="0"/>
                      <w:sz w:val="18"/>
                    </w:rPr>
                    <w:t>session title, speaker display names, abstract, and the subtitle transcript in English and Arabic</w:t>
                  </w:r>
                </w:p>
              </w:tc>
              <w:tc>
                <w:tcPr>
                  <w:tcW w:type="dxa" w:w="1584"/>
                </w:tcPr>
                <w:p>
                  <w:pPr>
                    <w:bidi w:val="0"/>
                    <w:spacing w:before="20" w:after="20"/>
                    <w:jc w:val="left"/>
                  </w:pPr>
                  <w:r>
                    <w:rPr>
                      <w:rFonts w:ascii="Sakkal Majalla" w:hAnsi="Sakkal Majalla" w:cs="Sakkal Majalla"/>
                      <w:b w:val="0"/>
                      <w:sz w:val="18"/>
                    </w:rPr>
                    <w:t>Yes, speaker display names</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Control Panel assistant</w:t>
                  </w:r>
                </w:p>
              </w:tc>
              <w:tc>
                <w:tcPr>
                  <w:tcW w:type="dxa" w:w="3600"/>
                </w:tcPr>
                <w:p>
                  <w:pPr>
                    <w:bidi w:val="0"/>
                    <w:spacing w:before="20" w:after="20"/>
                    <w:jc w:val="left"/>
                  </w:pPr>
                  <w:r>
                    <w:rPr>
                      <w:rFonts w:ascii="Sakkal Majalla" w:hAnsi="Sakkal Majalla" w:cs="Sakkal Majalla"/>
                      <w:b w:val="0"/>
                      <w:sz w:val="18"/>
                    </w:rPr>
                    <w:t>the administrator question and the Control Panel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bl>
          <w:p w14:paraId="1FEA89F0"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1FEA89F0" w14:textId="77777777" w:rsidR="00B23F52" w:rsidRDefault="00000000">
            <w:pPr>
              <w:bidi w:val="0"/>
              <w:spacing w:after="80"/>
              <w:jc w:val="left"/>
            </w:pPr>
            <w:r>
              <w:rPr>
                <w:sz w:val="24"/>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1FEA89F0"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1FEA89F0" w14:textId="77777777" w:rsidR="00B23F52" w:rsidRDefault="00000000">
            <w:pPr>
              <w:bidi w:val="0"/>
              <w:spacing w:after="80"/>
              <w:jc w:val="left"/>
            </w:pPr>
            <w:r>
              <w:rPr>
                <w:sz w:val="24"/>
              </w:rPr>
              <w:t>No provider is enabled in the delivered configuration, so none of these fields is sent anywhere today. The table states what each feature would send once the ministry enables a provider.</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It has no sign-in, registration or account page and stores no personal data. The only interactive elements are the visitor assistant and the meeting-confirmation page, which opens from a private per-speaker link.</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single outbound external service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the internal SMTP relay and log collector; and the AI endpoint when an on-premises provider is configured.</w:t>
            </w:r>
          </w:p>
          <w:p w14:paraId="1EBA66C5" w14:textId="77777777" w:rsidR="00B23F52" w:rsidRDefault="00000000">
            <w:pPr>
              <w:bidi w:val="0"/>
              <w:spacing w:after="80"/>
              <w:ind w:left="360"/>
              <w:jc w:val="left"/>
            </w:pPr>
            <w:r>
              <w:rPr>
                <w:sz w:val="24"/>
              </w:rPr>
              <w:t>•  HSA Zone, the database Availability Group,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YouTube caption hosts only. No other outbound destination is required.</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2C4D8A6D"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2C4D8A6D" w14:textId="77777777" w:rsidR="00B23F52" w:rsidRDefault="00000000">
            <w:pPr>
              <w:bidi w:val="0"/>
              <w:spacing w:after="80"/>
              <w:jc w:val="left"/>
            </w:pPr>
            <w:r>
              <w:rPr>
                <w:b/>
                <w:sz w:val="24"/>
              </w:rPr>
              <w:t>SIMF response. Both are internal and both are hosted in the SSA zone. They are internal services rather than deployed application tiers, so each is listed in the communication requirements matrix with its protocol and port rather than drawn as its own hosting server.</w:t>
            </w:r>
            <w:r>
              <w:rPr>
                <w:sz w:val="24"/>
              </w:rPr>
            </w:r>
          </w:p>
          <w:p w14:paraId="1FEA89F0" w14:textId="77777777" w:rsidR="00B23F52" w:rsidRDefault="00000000">
            <w:pPr>
              <w:bidi w:val="0"/>
              <w:spacing w:after="80"/>
              <w:jc w:val="left"/>
            </w:pPr>
            <w:r>
              <w:rPr>
                <w:sz w:val="24"/>
              </w:rPr>
              <w:t>SMTP relay: an internal relay in the SSA zone, reached from SIMF.Api and the worker host over SMTP with STARTTLS on TCP 587. It is the only e-mail path, it is internal, and it does not use the edge gateway; mail is queued and dispatched asynchronously.</w:t>
            </w:r>
          </w:p>
          <w:p w14:paraId="1FEA89F0" w14:textId="77777777" w:rsidR="00B23F52" w:rsidRDefault="00000000">
            <w:pPr>
              <w:bidi w:val="0"/>
              <w:spacing w:after="80"/>
              <w:jc w:val="left"/>
            </w:pPr>
            <w:r>
              <w:rPr>
                <w:sz w:val="24"/>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FEA89F0" w14:textId="77777777" w:rsidR="00B23F52" w:rsidRDefault="00000000">
            <w:pPr>
              <w:bidi w:val="0"/>
              <w:spacing w:after="80"/>
              <w:jc w:val="left"/>
            </w:pPr>
            <w:r>
              <w:rPr>
                <w:sz w:val="24"/>
              </w:rPr>
              <w:t>Neither component traverses the edge firewall or any Internet gateway. The Communication Requirements Matrix in section 2.8 has been updated for both.</w:t>
            </w:r>
          </w:p>
          <w:p w14:paraId="2C4D8A6D" w14:textId="77777777" w:rsidR="00B23F52" w:rsidRDefault="00000000">
            <w:pPr>
              <w:bidi w:val="0"/>
              <w:spacing w:after="80"/>
              <w:jc w:val="left"/>
            </w:pPr>
            <w:r>
              <w:rPr>
                <w:b/>
                <w:sz w:val="24"/>
              </w:rPr>
              <w:t xml:space="preserve">Technical review, point 12. </w:t>
            </w:r>
            <w:r>
              <w:rPr>
                <w:i/>
                <w:sz w:val="24"/>
              </w:rPr>
              <w:t>Clarify the outbound communication path from SIMF.ai to the external services, including the firewall , gateway and network zone . SIMF.ai shouldn't connect directly .</w:t>
            </w:r>
          </w:p>
          <w:p w14:paraId="2C4D8A6D" w14:textId="77777777" w:rsidR="00B23F52" w:rsidRDefault="00000000">
            <w:pPr>
              <w:bidi w:val="0"/>
              <w:spacing w:after="80"/>
              <w:jc w:val="left"/>
            </w:pPr>
            <w:r>
              <w:rPr>
                <w:b/>
                <w:sz w:val="24"/>
              </w:rPr>
              <w:t>SIMF response. Agreed, and it does not. The AI provider is disabled in the delivered configuration, so there is no AI egress at all, and no application host except the egress point holds an outbound route. When the ministry approves the firewall exception and enables Google Gemini, that traffic takes the same single controlled path as the caption import, never a direct connection from the AI component. The AI endpoint is a configuration value rather than a deployed host, so it is not drawn as a node.</w:t>
            </w:r>
            <w:r>
              <w:rPr>
                <w:sz w:val="24"/>
              </w:rPr>
            </w:r>
          </w:p>
          <w:p w14:paraId="1FEA89F0" w14:textId="77777777" w:rsidR="00B23F52" w:rsidRDefault="00000000">
            <w:pPr>
              <w:bidi w:val="0"/>
              <w:spacing w:after="80"/>
              <w:jc w:val="left"/>
            </w:pPr>
            <w:r>
              <w:rPr>
                <w:sz w:val="24"/>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14:paraId="1FEA89F0" w14:textId="77777777" w:rsidR="00B23F52" w:rsidRDefault="00000000">
            <w:pPr>
              <w:bidi w:val="0"/>
              <w:spacing w:after="80"/>
              <w:jc w:val="left"/>
            </w:pPr>
            <w:r>
              <w:rPr>
                <w:sz w:val="24"/>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AI inference is performed by the configured AI endpoint when one is enabled, and the outbound caption call leaves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2C4D8A6D" w14:textId="77777777" w:rsidR="00B23F52" w:rsidRDefault="00000000">
            <w:pPr>
              <w:bidi w:val="0"/>
              <w:spacing w:after="80"/>
              <w:jc w:val="left"/>
            </w:pPr>
            <w:r>
              <w:rPr>
                <w:b/>
                <w:sz w:val="24"/>
              </w:rPr>
              <w:t xml:space="preserve">Technical review, point 6. </w:t>
            </w:r>
            <w:r>
              <w:rPr>
                <w:i/>
                <w:sz w:val="24"/>
              </w:rPr>
              <w:t>Clarify the purpose of the file share storage and specify the type of files and data that will be stored in it.</w:t>
            </w:r>
          </w:p>
          <w:p w14:paraId="2C4D8A6D" w14:textId="77777777" w:rsidR="00B23F52" w:rsidRDefault="00000000">
            <w:pPr>
              <w:bidi w:val="0"/>
              <w:spacing w:after="80"/>
              <w:jc w:val="left"/>
            </w:pPr>
            <w:r>
              <w:rPr>
                <w:b/>
                <w:sz w:val="24"/>
              </w:rPr>
              <w:t xml:space="preserve">SIMF response. </w:t>
            </w:r>
            <w:r>
              <w:rPr>
                <w:sz w:val="24"/>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1FEA89F0" w14:textId="77777777" w:rsidR="00B23F52" w:rsidRDefault="00000000">
            <w:pPr>
              <w:bidi w:val="0"/>
              <w:spacing w:after="80"/>
              <w:jc w:val="left"/>
            </w:pPr>
            <w:r>
              <w:rPr>
                <w:sz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1FEA89F0"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1FEA89F0"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SIMF.Web</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w:t>
                  </w:r>
                </w:p>
              </w:tc>
              <w:tc>
                <w:tcPr>
                  <w:tcW w:w="2232" w:type="dxa"/>
                </w:tcPr>
                <w:p w14:paraId="39AC7435"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SIMF.Api</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w:t>
                  </w:r>
                </w:p>
              </w:tc>
              <w:tc>
                <w:tcPr>
                  <w:tcW w:w="2232" w:type="dxa"/>
                </w:tcPr>
                <w:p w14:paraId="1109DB6A" w14:textId="77777777" w:rsidR="00B23F52" w:rsidRDefault="00000000">
                  <w:pPr>
                    <w:framePr w:hSpace="180" w:wrap="around" w:vAnchor="page" w:hAnchor="margin" w:xAlign="center" w:y="3301"/>
                    <w:bidi w:val="0"/>
                    <w:jc w:val="left"/>
                  </w:pPr>
                  <w:r>
                    <w:rPr>
                      <w:sz w:val="16"/>
                    </w:rPr>
                    <w:t>API to the mobile app (stateless, round-robin)</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SIMF.Web / SIMF.ControlPanel</w:t>
                  </w:r>
                </w:p>
              </w:tc>
              <w:tc>
                <w:tcPr>
                  <w:tcW w:w="1944" w:type="dxa"/>
                </w:tcPr>
                <w:p w14:paraId="43636061" w14:textId="77777777" w:rsidR="00B23F52" w:rsidRDefault="00000000">
                  <w:pPr>
                    <w:framePr w:hSpace="180" w:wrap="around" w:vAnchor="page" w:hAnchor="margin" w:xAlign="center" w:y="3301"/>
                    <w:bidi w:val="0"/>
                    <w:jc w:val="left"/>
                  </w:pPr>
                  <w:r>
                    <w:rPr>
                      <w:sz w:val="16"/>
                    </w:rPr>
                    <w:t>SIMF.Api</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w:t>
                  </w:r>
                </w:p>
              </w:tc>
              <w:tc>
                <w:tcPr>
                  <w:tcW w:w="2232" w:type="dxa"/>
                </w:tcPr>
                <w:p w14:paraId="0BF33650" w14:textId="77777777" w:rsidR="00B23F52" w:rsidRDefault="00000000">
                  <w:pPr>
                    <w:framePr w:hSpace="180" w:wrap="around" w:vAnchor="page" w:hAnchor="margin" w:xAlign="center" w:y="3301"/>
                    <w:bidi w:val="0"/>
                    <w:jc w:val="left"/>
                  </w:pPr>
                  <w:r>
                    <w:rPr>
                      <w:sz w:val="16"/>
                    </w:rPr>
                    <w:t>Server-to-server typed API client</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22E64572"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7702F3E3" w14:textId="77777777" w:rsidR="00B23F52" w:rsidRDefault="00000000">
                  <w:pPr>
                    <w:framePr w:hSpace="180" w:wrap="around" w:vAnchor="page" w:hAnchor="margin" w:xAlign="center" w:y="3301"/>
                    <w:bidi w:val="0"/>
                    <w:jc w:val="left"/>
                  </w:pPr>
                  <w:r>
                    <w:rPr>
                      <w:sz w:val="16"/>
                    </w:rPr>
                    <w:t>TCP / TDS</w:t>
                  </w:r>
                </w:p>
              </w:tc>
              <w:tc>
                <w:tcPr>
                  <w:tcW w:w="648" w:type="dxa"/>
                </w:tcPr>
                <w:p w14:paraId="475344A0" w14:textId="77777777" w:rsidR="00B23F52" w:rsidRDefault="00000000">
                  <w:pPr>
                    <w:framePr w:hSpace="180" w:wrap="around" w:vAnchor="page" w:hAnchor="margin" w:xAlign="center" w:y="3301"/>
                    <w:bidi w:val="0"/>
                    <w:jc w:val="left"/>
                  </w:pPr>
                  <w:r>
                    <w:rPr>
                      <w:sz w:val="16"/>
                    </w:rPr>
                    <w:t>1433</w:t>
                  </w:r>
                </w:p>
              </w:tc>
              <w:tc>
                <w:tcPr>
                  <w:tcW w:w="1224" w:type="dxa"/>
                </w:tcPr>
                <w:p w14:paraId="607C7D06" w14:textId="77777777" w:rsidR="00B23F52" w:rsidRDefault="00000000">
                  <w:pPr>
                    <w:framePr w:hSpace="180" w:wrap="around" w:vAnchor="page" w:hAnchor="margin" w:xAlign="center" w:y="3301"/>
                    <w:bidi w:val="0"/>
                    <w:jc w:val="left"/>
                  </w:pPr>
                  <w:r>
                    <w:rPr>
                      <w:sz w:val="16"/>
                    </w:rPr>
                    <w:t>Internal</w:t>
                  </w:r>
                </w:p>
              </w:tc>
              <w:tc>
                <w:tcPr>
                  <w:tcW w:w="2232" w:type="dxa"/>
                </w:tcPr>
                <w:p w14:paraId="22D53349" w14:textId="77777777" w:rsidR="00B23F52" w:rsidRDefault="00000000">
                  <w:pPr>
                    <w:framePr w:hSpace="180" w:wrap="around" w:vAnchor="page" w:hAnchor="margin" w:xAlign="center" w:y="3301"/>
                    <w:bidi w:val="0"/>
                    <w:jc w:val="left"/>
                  </w:pPr>
                  <w:r>
                    <w:rPr>
                      <w:sz w:val="16"/>
                    </w:rPr>
                    <w:t>Data access (SIMF.Identity + SIMF.App)</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5B58DC7A"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7B0F1054" w14:textId="77777777" w:rsidR="00B23F52" w:rsidRDefault="00000000">
                  <w:pPr>
                    <w:framePr w:hSpace="180" w:wrap="around" w:vAnchor="page" w:hAnchor="margin" w:xAlign="center" w:y="3301"/>
                    <w:bidi w:val="0"/>
                    <w:jc w:val="left"/>
                  </w:pPr>
                  <w:r>
                    <w:rPr>
                      <w:sz w:val="16"/>
                    </w:rPr>
                    <w:t>TCP</w:t>
                  </w:r>
                </w:p>
              </w:tc>
              <w:tc>
                <w:tcPr>
                  <w:tcW w:w="648" w:type="dxa"/>
                </w:tcPr>
                <w:p w14:paraId="0BF268D2" w14:textId="77777777" w:rsidR="00B23F52" w:rsidRDefault="00000000">
                  <w:pPr>
                    <w:framePr w:hSpace="180" w:wrap="around" w:vAnchor="page" w:hAnchor="margin" w:xAlign="center" w:y="3301"/>
                    <w:bidi w:val="0"/>
                    <w:jc w:val="left"/>
                  </w:pPr>
                  <w:r>
                    <w:rPr>
                      <w:sz w:val="16"/>
                    </w:rPr>
                    <w:t>5022</w:t>
                  </w:r>
                </w:p>
              </w:tc>
              <w:tc>
                <w:tcPr>
                  <w:tcW w:w="1224" w:type="dxa"/>
                </w:tcPr>
                <w:p w14:paraId="6DABEEF8" w14:textId="77777777" w:rsidR="00B23F52" w:rsidRDefault="00000000">
                  <w:pPr>
                    <w:framePr w:hSpace="180" w:wrap="around" w:vAnchor="page" w:hAnchor="margin" w:xAlign="center" w:y="3301"/>
                    <w:bidi w:val="0"/>
                    <w:jc w:val="left"/>
                  </w:pPr>
                  <w:r>
                    <w:rPr>
                      <w:sz w:val="16"/>
                    </w:rPr>
                    <w:t>Internal</w:t>
                  </w:r>
                </w:p>
              </w:tc>
              <w:tc>
                <w:tcPr>
                  <w:tcW w:w="2232" w:type="dxa"/>
                </w:tcPr>
                <w:p w14:paraId="77FB8026" w14:textId="77777777" w:rsidR="00B23F52" w:rsidRDefault="00000000">
                  <w:pPr>
                    <w:framePr w:hSpace="180" w:wrap="around" w:vAnchor="page" w:hAnchor="margin" w:xAlign="center" w:y="3301"/>
                    <w:bidi w:val="0"/>
                    <w:jc w:val="left"/>
                  </w:pPr>
                  <w:r>
                    <w:rPr>
                      <w:sz w:val="16"/>
                    </w:rPr>
                    <w:t>Availability Group replication</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47A409C0" w14:textId="77777777" w:rsidR="00B23F52" w:rsidRDefault="00000000">
                  <w:pPr>
                    <w:framePr w:hSpace="180" w:wrap="around" w:vAnchor="page" w:hAnchor="margin" w:xAlign="center" w:y="3301"/>
                    <w:bidi w:val="0"/>
                    <w:jc w:val="left"/>
                  </w:pPr>
                  <w:r>
                    <w:rPr>
                      <w:sz w:val="16"/>
                    </w:rPr>
                    <w:t>SMTP relay</w:t>
                  </w:r>
                </w:p>
              </w:tc>
              <w:tc>
                <w:tcPr>
                  <w:tcW w:w="1224" w:type="dxa"/>
                </w:tcPr>
                <w:p w14:paraId="7B16E1BD" w14:textId="77777777" w:rsidR="00B23F52" w:rsidRDefault="00000000">
                  <w:pPr>
                    <w:framePr w:hSpace="180" w:wrap="around" w:vAnchor="page" w:hAnchor="margin" w:xAlign="center" w:y="3301"/>
                    <w:bidi w:val="0"/>
                    <w:jc w:val="left"/>
                  </w:pPr>
                  <w:r>
                    <w:rPr>
                      <w:sz w:val="16"/>
                    </w:rPr>
                    <w:t>SMTP / TLS</w:t>
                  </w:r>
                </w:p>
              </w:tc>
              <w:tc>
                <w:tcPr>
                  <w:tcW w:w="648" w:type="dxa"/>
                </w:tcPr>
                <w:p w14:paraId="37DF0B71" w14:textId="77777777" w:rsidR="00B23F52" w:rsidRDefault="00000000">
                  <w:pPr>
                    <w:framePr w:hSpace="180" w:wrap="around" w:vAnchor="page" w:hAnchor="margin" w:xAlign="center" w:y="3301"/>
                    <w:bidi w:val="0"/>
                    <w:jc w:val="left"/>
                  </w:pPr>
                  <w:r>
                    <w:rPr>
                      <w:sz w:val="16"/>
                    </w:rPr>
                    <w:t>587</w:t>
                  </w:r>
                </w:p>
              </w:tc>
              <w:tc>
                <w:tcPr>
                  <w:tcW w:w="1224" w:type="dxa"/>
                </w:tcPr>
                <w:p w14:paraId="02C6CA97" w14:textId="77777777" w:rsidR="00B23F52" w:rsidRDefault="00000000">
                  <w:pPr>
                    <w:framePr w:hSpace="180" w:wrap="around" w:vAnchor="page" w:hAnchor="margin" w:xAlign="center" w:y="3301"/>
                    <w:bidi w:val="0"/>
                    <w:jc w:val="left"/>
                  </w:pPr>
                  <w:r>
                    <w:rPr>
                      <w:sz w:val="16"/>
                    </w:rPr>
                    <w:t>Internal</w:t>
                  </w:r>
                </w:p>
              </w:tc>
              <w:tc>
                <w:tcPr>
                  <w:tcW w:w="2232" w:type="dxa"/>
                </w:tcPr>
                <w:p w14:paraId="1F56C2D9" w14:textId="77777777" w:rsidR="00B23F52" w:rsidRDefault="00000000">
                  <w:pPr>
                    <w:framePr w:hSpace="180" w:wrap="around" w:vAnchor="page" w:hAnchor="margin" w:xAlign="center" w:y="3301"/>
                    <w:bidi w:val="0"/>
                    <w:jc w:val="left"/>
                  </w:pPr>
                  <w:r>
                    <w:rPr>
                      <w:sz w:val="16"/>
                    </w:rPr>
                    <w:t>Transactional e-mail dispatch, internal relay, no Internet gateway</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1F9AFD6C" w14:textId="77777777" w:rsidR="00B23F52" w:rsidRDefault="00000000">
                  <w:pPr>
                    <w:framePr w:hSpace="180" w:wrap="around" w:vAnchor="page" w:hAnchor="margin" w:xAlign="center" w:y="3301"/>
                    <w:bidi w:val="0"/>
                    <w:jc w:val="left"/>
                  </w:pPr>
                  <w:r>
                    <w:rPr>
                      <w:sz w:val="16"/>
                    </w:rPr>
                    <w:t>Log collector / SIEM</w:t>
                  </w:r>
                </w:p>
              </w:tc>
              <w:tc>
                <w:tcPr>
                  <w:tcW w:w="1224" w:type="dxa"/>
                </w:tcPr>
                <w:p w14:paraId="17F8D827" w14:textId="77777777" w:rsidR="00B23F52" w:rsidRDefault="00000000">
                  <w:pPr>
                    <w:framePr w:hSpace="180" w:wrap="around" w:vAnchor="page" w:hAnchor="margin" w:xAlign="center" w:y="3301"/>
                    <w:bidi w:val="0"/>
                    <w:jc w:val="left"/>
                  </w:pPr>
                  <w:r>
                    <w:rPr>
                      <w:sz w:val="16"/>
                    </w:rPr>
                    <w:t>Syslog / TLS</w:t>
                  </w:r>
                </w:p>
              </w:tc>
              <w:tc>
                <w:tcPr>
                  <w:tcW w:w="648" w:type="dxa"/>
                </w:tcPr>
                <w:p w14:paraId="40890152" w14:textId="77777777" w:rsidR="00B23F52" w:rsidRDefault="00000000">
                  <w:pPr>
                    <w:framePr w:hSpace="180" w:wrap="around" w:vAnchor="page" w:hAnchor="margin" w:xAlign="center" w:y="3301"/>
                    <w:bidi w:val="0"/>
                    <w:jc w:val="left"/>
                  </w:pPr>
                  <w:r>
                    <w:rPr>
                      <w:sz w:val="16"/>
                    </w:rPr>
                    <w:t>6514</w:t>
                  </w:r>
                </w:p>
              </w:tc>
              <w:tc>
                <w:tcPr>
                  <w:tcW w:w="1224" w:type="dxa"/>
                </w:tcPr>
                <w:p w14:paraId="6304869F" w14:textId="77777777" w:rsidR="00B23F52" w:rsidRDefault="00000000">
                  <w:pPr>
                    <w:framePr w:hSpace="180" w:wrap="around" w:vAnchor="page" w:hAnchor="margin" w:xAlign="center" w:y="3301"/>
                    <w:bidi w:val="0"/>
                    <w:jc w:val="left"/>
                  </w:pPr>
                  <w:r>
                    <w:rPr>
                      <w:sz w:val="16"/>
                    </w:rPr>
                    <w:t>Internal</w:t>
                  </w:r>
                </w:p>
              </w:tc>
              <w:tc>
                <w:tcPr>
                  <w:tcW w:w="2232" w:type="dxa"/>
                </w:tcPr>
                <w:p w14:paraId="3FAD67D0" w14:textId="77777777" w:rsidR="00B23F52" w:rsidRDefault="00000000">
                  <w:pPr>
                    <w:framePr w:hSpace="180" w:wrap="around" w:vAnchor="page" w:hAnchor="margin" w:xAlign="center" w:y="3301"/>
                    <w:bidi w:val="0"/>
                    <w:jc w:val="left"/>
                  </w:pPr>
                  <w:r>
                    <w:rPr>
                      <w:sz w:val="16"/>
                    </w:rPr>
                    <w:t>Centralised structured logging, forwarded by a host log shipper</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Shared file store</w:t>
                  </w:r>
                </w:p>
              </w:tc>
              <w:tc>
                <w:tcPr>
                  <w:tcW w:w="1224" w:type="dxa"/>
                </w:tcPr>
                <w:p w14:paraId="45602E92" w14:textId="77777777" w:rsidR="00B23F52" w:rsidRDefault="00000000">
                  <w:pPr>
                    <w:framePr w:hSpace="180" w:wrap="around" w:vAnchor="page" w:hAnchor="margin" w:xAlign="center" w:y="3301"/>
                    <w:bidi w:val="0"/>
                    <w:jc w:val="left"/>
                  </w:pPr>
                  <w:r>
                    <w:rPr>
                      <w:sz w:val="16"/>
                    </w:rPr>
                    <w:t>SMB</w:t>
                  </w:r>
                </w:p>
              </w:tc>
              <w:tc>
                <w:tcPr>
                  <w:tcW w:w="648" w:type="dxa"/>
                </w:tcPr>
                <w:p w14:paraId="15E77454" w14:textId="77777777" w:rsidR="00B23F52" w:rsidRDefault="00000000">
                  <w:pPr>
                    <w:framePr w:hSpace="180" w:wrap="around" w:vAnchor="page" w:hAnchor="margin" w:xAlign="center" w:y="3301"/>
                    <w:bidi w:val="0"/>
                    <w:jc w:val="left"/>
                  </w:pPr>
                  <w:r>
                    <w:rPr>
                      <w:sz w:val="16"/>
                    </w:rPr>
                    <w:t>445</w:t>
                  </w:r>
                </w:p>
              </w:tc>
              <w:tc>
                <w:tcPr>
                  <w:tcW w:w="1224" w:type="dxa"/>
                </w:tcPr>
                <w:p w14:paraId="6B667375" w14:textId="77777777" w:rsidR="00B23F52" w:rsidRDefault="00000000">
                  <w:pPr>
                    <w:framePr w:hSpace="180" w:wrap="around" w:vAnchor="page" w:hAnchor="margin" w:xAlign="center" w:y="3301"/>
                    <w:bidi w:val="0"/>
                    <w:jc w:val="left"/>
                  </w:pPr>
                  <w:r>
                    <w:rPr>
                      <w:sz w:val="16"/>
                    </w:rPr>
                    <w:t>Internal</w:t>
                  </w:r>
                </w:p>
              </w:tc>
              <w:tc>
                <w:tcPr>
                  <w:tcW w:w="2232" w:type="dxa"/>
                </w:tcPr>
                <w:p w14:paraId="54685181" w14:textId="77777777" w:rsidR="00B23F52" w:rsidRDefault="00000000">
                  <w:pPr>
                    <w:framePr w:hSpace="180" w:wrap="around" w:vAnchor="page" w:hAnchor="margin" w:xAlign="center" w:y="3301"/>
                    <w:bidi w:val="0"/>
                    <w:jc w:val="left"/>
                  </w:pPr>
                  <w:r>
                    <w:rPr>
                      <w:sz w:val="16"/>
                    </w:rPr>
                    <w:t>File store access</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6D0FB599" w14:textId="77777777" w:rsidR="00B23F52" w:rsidRDefault="00000000">
                  <w:pPr>
                    <w:framePr w:hSpace="180" w:wrap="around" w:vAnchor="page" w:hAnchor="margin" w:xAlign="center" w:y="3301"/>
                    <w:bidi w:val="0"/>
                    <w:jc w:val="left"/>
                  </w:pPr>
                  <w:r>
                    <w:rPr>
                      <w:sz w:val="16"/>
                    </w:rPr>
                    <w:t>HTTPS</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Outbound</w:t>
                  </w:r>
                </w:p>
              </w:tc>
              <w:tc>
                <w:tcPr>
                  <w:tcW w:w="2232" w:type="dxa"/>
                </w:tcPr>
                <w:p w14:paraId="5670D8C4" w14:textId="77777777" w:rsidR="00B23F52" w:rsidRDefault="00000000">
                  <w:pPr>
                    <w:framePr w:hSpace="180" w:wrap="around" w:vAnchor="page" w:hAnchor="margin" w:xAlign="center" w:y="3301"/>
                    <w:bidi w:val="0"/>
                    <w:jc w:val="left"/>
                  </w:pPr>
                  <w:r>
                    <w:rPr>
                      <w:sz w:val="16"/>
                    </w:rPr>
                    <w:t>Outbound caption import, the only outbound flow</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SIMF.Api</w:t>
                  </w:r>
                </w:p>
              </w:tc>
              <w:tc>
                <w:tcPr>
                  <w:tcW w:w="1944" w:type="dxa"/>
                </w:tcPr>
                <w:p w14:paraId="014DAFDB" w14:textId="77777777" w:rsidR="00B23F52" w:rsidRDefault="00000000">
                  <w:pPr>
                    <w:framePr w:hSpace="180" w:wrap="around" w:vAnchor="page" w:hAnchor="margin" w:xAlign="center" w:y="3301"/>
                    <w:bidi w:val="0"/>
                    <w:jc w:val="left"/>
                  </w:pPr>
                  <w:r>
                    <w:rPr>
                      <w:sz w:val="16"/>
                    </w:rPr>
                    <w:t>AI endpoint (configured)</w:t>
                  </w:r>
                </w:p>
              </w:tc>
              <w:tc>
                <w:tcPr>
                  <w:tcW w:w="1224" w:type="dxa"/>
                </w:tcPr>
                <w:p w14:paraId="1C601D0F" w14:textId="77777777" w:rsidR="00B23F52" w:rsidRDefault="00000000">
                  <w:pPr>
                    <w:framePr w:hSpace="180" w:wrap="around" w:vAnchor="page" w:hAnchor="margin" w:xAlign="center" w:y="3301"/>
                    <w:bidi w:val="0"/>
                    <w:jc w:val="left"/>
                  </w:pPr>
                  <w:r>
                    <w:rPr>
                      <w:sz w:val="16"/>
                    </w:rPr>
                    <w:t>HTTPS</w:t>
                  </w:r>
                </w:p>
              </w:tc>
              <w:tc>
                <w:tcPr>
                  <w:tcW w:w="648" w:type="dxa"/>
                </w:tcPr>
                <w:p w14:paraId="2E477A47" w14:textId="77777777" w:rsidR="00B23F52" w:rsidRDefault="00000000">
                  <w:pPr>
                    <w:framePr w:hSpace="180" w:wrap="around" w:vAnchor="page" w:hAnchor="margin" w:xAlign="center" w:y="3301"/>
                    <w:bidi w:val="0"/>
                    <w:jc w:val="left"/>
                  </w:pPr>
                  <w:r>
                    <w:rPr>
                      <w:sz w:val="16"/>
                    </w:rPr>
                    <w:t>443</w:t>
                  </w:r>
                </w:p>
              </w:tc>
              <w:tc>
                <w:tcPr>
                  <w:tcW w:w="1224" w:type="dxa"/>
                </w:tcPr>
                <w:p w14:paraId="072AD31F" w14:textId="77777777" w:rsidR="00B23F52" w:rsidRDefault="00000000">
                  <w:pPr>
                    <w:framePr w:hSpace="180" w:wrap="around" w:vAnchor="page" w:hAnchor="margin" w:xAlign="center" w:y="3301"/>
                    <w:bidi w:val="0"/>
                    <w:jc w:val="left"/>
                  </w:pPr>
                  <w:r>
                    <w:rPr>
                      <w:sz w:val="16"/>
                    </w:rPr>
                    <w:t>Internal</w:t>
                  </w:r>
                </w:p>
              </w:tc>
              <w:tc>
                <w:tcPr>
                  <w:tcW w:w="2232" w:type="dxa"/>
                </w:tcPr>
                <w:p w14:paraId="10F1F583" w14:textId="77777777" w:rsidR="00B23F52" w:rsidRDefault="00000000">
                  <w:pPr>
                    <w:framePr w:hSpace="180" w:wrap="around" w:vAnchor="page" w:hAnchor="margin" w:xAlign="center" w:y="3301"/>
                    <w:bidi w:val="0"/>
                    <w:jc w:val="left"/>
                  </w:pPr>
                  <w:r>
                    <w:rPr>
                      <w:sz w:val="16"/>
                    </w:rPr>
                    <w:t>AI inference. No provider enabled in this delivery</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t>Compliance: aligned to the NCA Secure Application Development Standard, with ECC and OWASP baselines, and to the Saudi Personal Data Protection Law (PDPL). A documented gap analysis drives the remediation programme.</w:t>
            </w:r>
            <w:r>
              <w:rPr>
                <w:sz w:val="24"/>
              </w:rPr>
            </w:r>
          </w:p>
          <w:p w14:paraId="752EE01B" w14:textId="77777777" w:rsidR="00B23F52" w:rsidRDefault="00000000">
            <w:pPr>
              <w:bidi w:val="0"/>
              <w:spacing w:after="80"/>
              <w:jc w:val="left"/>
            </w:pPr>
            <w:r>
              <w:rPr>
                <w:b/>
                <w:sz w:val="24"/>
              </w:rPr>
              <w:t>Data classification: the system holds no classified or militarily sensitive information. The data is unclassified but includes personal data of visitors, speakers and exhibitors, which is processed under the PDPL and the National Cybersecurity Authority controls. No personal or operational data is sent to any cloud artificial-intelligence service; what may be sent is session content to summarise and question text to filter, carrying no attendee identity.</w:t>
            </w:r>
            <w:r>
              <w:rPr>
                <w:sz w:val="24"/>
              </w:rPr>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p w14:paraId="2C4D8A6D"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2C4D8A6D"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1FEA89F0"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1FEA89F0"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FEA89F0" w14:textId="77777777" w:rsidR="00B23F52" w:rsidRDefault="00000000">
            <w:pPr>
              <w:bidi w:val="0"/>
              <w:spacing w:after="80"/>
              <w:jc w:val="left"/>
            </w:pPr>
            <w:r>
              <w:rPr>
                <w:sz w:val="24"/>
              </w:rPr>
              <w:t>Administrator accounts created by invitation receive a single-use invitation link valid for exactly seven days. The invitee sets their own password when they use it, and the link is then consumed, so no shared or temporary password is ever transmitted.</w:t>
            </w:r>
          </w:p>
          <w:p w14:paraId="1FEA89F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C4D8A6D"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2C4D8A6D"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FEA89F0"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1FEA89F0" w14:textId="77777777" w:rsidR="00B23F52" w:rsidRDefault="00000000">
            <w:pPr>
              <w:bidi w:val="0"/>
              <w:spacing w:after="80"/>
              <w:jc w:val="left"/>
            </w:pPr>
            <w:r>
              <w:rPr>
                <w:sz w:val="24"/>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1FEA89F0"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FEA89F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FEA89F0"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8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client polling on a bounded interval. No server-push transport ships in this build.</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t>Mitigation Strategies: a stateless API tier for horizontal scale-out; client polling on a bounded interval for live data, with no server-push transport in this build; indexed, projected and server-paged queries; asynchronous e-mail dispatch; and application-layer caching. Load-test to peak shapes in staging and monitor via dashboards, scaling on usage thresholds.</w:t>
            </w:r>
            <w:r>
              <w:rPr>
                <w:sz w:val="24"/>
              </w:rPr>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 xml:space="preserve">Potential Impact: </w:t>
            </w:r>
            <w:r>
              <w:rPr>
                <w:sz w:val="24"/>
              </w:rPr>
              <w:t>the caption import depends on outbound internet access. If egress is not approved, subtitle import does not operate and the administrator pastes or uploads the transcript instead. The AI features are not affected, because inference is performed A misconfigured egress rule could widen the attack surface, and enabling an external AI provider would add a second outbound destination that needs a data-residency decision first.</w:t>
            </w:r>
          </w:p>
          <w:p w14:paraId="5387135F" w14:textId="77777777" w:rsidR="00B23F52" w:rsidRDefault="00000000">
            <w:pPr>
              <w:bidi w:val="0"/>
              <w:spacing w:after="80"/>
              <w:jc w:val="left"/>
            </w:pPr>
            <w:r>
              <w:rPr>
                <w:b/>
                <w:sz w:val="24"/>
              </w:rPr>
              <w:t xml:space="preserve">Mitigation Strategies: </w:t>
            </w:r>
            <w:r>
              <w:rPr>
                <w:sz w:val="24"/>
              </w:rPr>
              <w:t>no AI provider is enabled in the delivered configuration, so there is no live dependency on an external AI provider, no provider credential in use and no provider outage exposure. The provider sits behind one abstraction, so an on-premises endpoint can be adopted by configuration when one becomes available.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p>
      <w:pPr>
        <w:bidi w:val="0"/>
        <w:spacing w:before="240" w:after="120"/>
        <w:pageBreakBefore/>
        <w:shd w:val="clear" w:fill="1F3864"/>
        <w:jc w:val="left"/>
      </w:pPr>
      <w:r>
        <w:rPr>
          <w:rFonts w:ascii="Sakkal Majalla" w:hAnsi="Sakkal Majalla" w:cs="Sakkal Majalla"/>
          <w:b/>
          <w:color w:val="FFFFFF"/>
          <w:sz w:val="28"/>
        </w:rPr>
        <w:t>Annex A. Technical review, summary of responses</w:t>
      </w:r>
    </w:p>
    <w:p>
      <w:pPr>
        <w:bidi w:val="0"/>
        <w:spacing w:before="0" w:after="160"/>
        <w:jc w:val="left"/>
      </w:pPr>
      <w:r>
        <w:rPr>
          <w:rFonts w:ascii="Sakkal Majalla" w:hAnsi="Sakkal Majalla" w:cs="Sakkal Majalla"/>
          <w:b w:val="0"/>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type="auto" w:w="0"/>
        <w:tblLayout w:type="fixed"/>
        <w:tblLook w:firstColumn="1" w:firstRow="1" w:lastColumn="0" w:lastRow="0" w:noHBand="0" w:noVBand="1" w:val="04A0"/>
        <w:tblLayout w:type="fixed"/>
      </w:tblPr>
      <w:tblGrid>
        <w:gridCol w:w="648"/>
        <w:gridCol w:w="2088"/>
        <w:gridCol w:w="4608"/>
        <w:gridCol w:w="2016"/>
      </w:tblGrid>
      <w:tr>
        <w:trPr>
          <w:tblHeader/>
        </w:trPr>
        <w:tc>
          <w:tcPr>
            <w:tcW w:type="dxa" w:w="648"/>
            <w:shd w:val="clear" w:fill="1F3864"/>
          </w:tcPr>
          <w:p>
            <w:pPr>
              <w:bidi w:val="0"/>
              <w:spacing w:before="20" w:after="20"/>
              <w:jc w:val="left"/>
            </w:pPr>
            <w:r>
              <w:rPr>
                <w:rFonts w:ascii="Sakkal Majalla" w:hAnsi="Sakkal Majalla" w:cs="Sakkal Majalla"/>
                <w:b/>
                <w:color w:val="FFFFFF"/>
                <w:sz w:val="18"/>
              </w:rPr>
              <w:t>Point</w:t>
            </w:r>
          </w:p>
        </w:tc>
        <w:tc>
          <w:tcPr>
            <w:tcW w:type="dxa" w:w="2088"/>
            <w:shd w:val="clear" w:fill="1F3864"/>
          </w:tcPr>
          <w:p>
            <w:pPr>
              <w:bidi w:val="0"/>
              <w:spacing w:before="20" w:after="20"/>
              <w:jc w:val="left"/>
            </w:pPr>
            <w:r>
              <w:rPr>
                <w:rFonts w:ascii="Sakkal Majalla" w:hAnsi="Sakkal Majalla" w:cs="Sakkal Majalla"/>
                <w:b/>
                <w:color w:val="FFFFFF"/>
                <w:sz w:val="18"/>
              </w:rPr>
              <w:t>Subject</w:t>
            </w:r>
          </w:p>
        </w:tc>
        <w:tc>
          <w:tcPr>
            <w:tcW w:type="dxa" w:w="4608"/>
            <w:shd w:val="clear" w:fill="1F3864"/>
          </w:tcPr>
          <w:p>
            <w:pPr>
              <w:bidi w:val="0"/>
              <w:spacing w:before="20" w:after="20"/>
              <w:jc w:val="left"/>
            </w:pPr>
            <w:r>
              <w:rPr>
                <w:rFonts w:ascii="Sakkal Majalla" w:hAnsi="Sakkal Majalla" w:cs="Sakkal Majalla"/>
                <w:b/>
                <w:color w:val="FFFFFF"/>
                <w:sz w:val="18"/>
              </w:rPr>
              <w:t>Response in one line</w:t>
            </w:r>
          </w:p>
        </w:tc>
        <w:tc>
          <w:tcPr>
            <w:tcW w:type="dxa" w:w="2016"/>
            <w:shd w:val="clear" w:fill="1F3864"/>
          </w:tcPr>
          <w:p>
            <w:pPr>
              <w:bidi w:val="0"/>
              <w:spacing w:before="20" w:after="20"/>
              <w:jc w:val="left"/>
            </w:pPr>
            <w:r>
              <w:rPr>
                <w:rFonts w:ascii="Sakkal Majalla" w:hAnsi="Sakkal Majalla" w:cs="Sakkal Majalla"/>
                <w:b/>
                <w:color w:val="FFFFFF"/>
                <w:sz w:val="18"/>
              </w:rPr>
              <w:t>Answered in</w:t>
            </w:r>
          </w:p>
        </w:tc>
      </w:tr>
      <w:tr>
        <w:tc>
          <w:tcPr>
            <w:tcW w:type="dxa" w:w="648"/>
          </w:tcPr>
          <w:p>
            <w:pPr>
              <w:bidi w:val="0"/>
              <w:spacing w:before="20" w:after="20"/>
              <w:jc w:val="left"/>
            </w:pPr>
            <w:r>
              <w:rPr>
                <w:rFonts w:ascii="Sakkal Majalla" w:hAnsi="Sakkal Majalla" w:cs="Sakkal Majalla"/>
                <w:b w:val="0"/>
                <w:sz w:val="18"/>
              </w:rPr>
              <w:t>1</w:t>
            </w:r>
          </w:p>
        </w:tc>
        <w:tc>
          <w:tcPr>
            <w:tcW w:type="dxa" w:w="2088"/>
          </w:tcPr>
          <w:p>
            <w:pPr>
              <w:bidi w:val="0"/>
              <w:spacing w:before="20" w:after="20"/>
              <w:jc w:val="left"/>
            </w:pPr>
            <w:r>
              <w:rPr>
                <w:rFonts w:ascii="Sakkal Majalla" w:hAnsi="Sakkal Majalla" w:cs="Sakkal Majalla"/>
                <w:b w:val="0"/>
                <w:sz w:val="18"/>
              </w:rPr>
              <w:t>Two tier or three tier, and tier deployment</w:t>
            </w:r>
          </w:p>
        </w:tc>
        <w:tc>
          <w:tcPr>
            <w:tcW w:type="dxa" w:w="4608"/>
          </w:tcPr>
          <w:p>
            <w:pPr>
              <w:bidi w:val="0"/>
              <w:spacing w:before="20" w:after="20"/>
              <w:jc w:val="left"/>
            </w:pPr>
            <w:r>
              <w:rPr>
                <w:rFonts w:ascii="Sakkal Majalla" w:hAnsi="Sakkal Majalla" w:cs="Sakkal Majalla"/>
                <w:b w:val="0"/>
                <w:sz w:val="18"/>
              </w:rPr>
              <w:t>Three tier. Presentation, application and data tiers are separate servers in production.</w:t>
            </w:r>
          </w:p>
        </w:tc>
        <w:tc>
          <w:tcPr>
            <w:tcW w:type="dxa" w:w="2016"/>
          </w:tcPr>
          <w:p>
            <w:pPr>
              <w:bidi w:val="0"/>
              <w:spacing w:before="20" w:after="20"/>
              <w:jc w:val="left"/>
            </w:pPr>
            <w:r>
              <w:rPr>
                <w:rFonts w:ascii="Sakkal Majalla" w:hAnsi="Sakkal Majalla" w:cs="Sakkal Majalla"/>
                <w:b w:val="0"/>
                <w:sz w:val="18"/>
              </w:rPr>
              <w:t>2.1 Architecture Overview</w:t>
            </w:r>
          </w:p>
        </w:tc>
      </w:tr>
      <w:tr>
        <w:tc>
          <w:tcPr>
            <w:tcW w:type="dxa" w:w="648"/>
          </w:tcPr>
          <w:p>
            <w:pPr>
              <w:bidi w:val="0"/>
              <w:spacing w:before="20" w:after="20"/>
              <w:jc w:val="left"/>
            </w:pPr>
            <w:r>
              <w:rPr>
                <w:rFonts w:ascii="Sakkal Majalla" w:hAnsi="Sakkal Majalla" w:cs="Sakkal Majalla"/>
                <w:b w:val="0"/>
                <w:sz w:val="18"/>
              </w:rPr>
              <w:t>2</w:t>
            </w:r>
          </w:p>
        </w:tc>
        <w:tc>
          <w:tcPr>
            <w:tcW w:type="dxa" w:w="2088"/>
          </w:tcPr>
          <w:p>
            <w:pPr>
              <w:bidi w:val="0"/>
              <w:spacing w:before="20" w:after="20"/>
              <w:jc w:val="left"/>
            </w:pPr>
            <w:r>
              <w:rPr>
                <w:rFonts w:ascii="Sakkal Majalla" w:hAnsi="Sakkal Majalla" w:cs="Sakkal Majalla"/>
                <w:b w:val="0"/>
                <w:sz w:val="18"/>
              </w:rPr>
              <w:t>YouTube live stream flow</w:t>
            </w:r>
          </w:p>
        </w:tc>
        <w:tc>
          <w:tcPr>
            <w:tcW w:type="dxa" w:w="4608"/>
          </w:tcPr>
          <w:p>
            <w:pPr>
              <w:bidi w:val="0"/>
              <w:spacing w:before="20" w:after="20"/>
              <w:jc w:val="left"/>
            </w:pPr>
            <w:r>
              <w:rPr>
                <w:rFonts w:ascii="Sakkal Majalla" w:hAnsi="Sakkal Majalla" w:cs="Sakkal Majalla"/>
                <w:b w:val="0"/>
                <w:sz w:val="18"/>
              </w:rPr>
              <w:t>Delivered directly from YouTube to the device. It is not routed through the backend.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3</w:t>
            </w:r>
          </w:p>
        </w:tc>
        <w:tc>
          <w:tcPr>
            <w:tcW w:type="dxa" w:w="2088"/>
          </w:tcPr>
          <w:p>
            <w:pPr>
              <w:bidi w:val="0"/>
              <w:spacing w:before="20" w:after="20"/>
              <w:jc w:val="left"/>
            </w:pPr>
            <w:r>
              <w:rPr>
                <w:rFonts w:ascii="Sakkal Majalla" w:hAnsi="Sakkal Majalla" w:cs="Sakkal Majalla"/>
                <w:b w:val="0"/>
                <w:sz w:val="18"/>
              </w:rPr>
              <w:t>Embed only, or YouTube APIs</w:t>
            </w:r>
          </w:p>
        </w:tc>
        <w:tc>
          <w:tcPr>
            <w:tcW w:type="dxa" w:w="4608"/>
          </w:tcPr>
          <w:p>
            <w:pPr>
              <w:bidi w:val="0"/>
              <w:spacing w:before="20" w:after="20"/>
              <w:jc w:val="left"/>
            </w:pPr>
            <w:r>
              <w:rPr>
                <w:rFonts w:ascii="Sakkal Majalla" w:hAnsi="Sakkal Majalla" w:cs="Sakkal Majalla"/>
                <w:b w:val="0"/>
                <w:sz w:val="18"/>
              </w:rPr>
              <w:t>Embed only, plus one caption retrieval call. SIMF creates and manages no stream.</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4</w:t>
            </w:r>
          </w:p>
        </w:tc>
        <w:tc>
          <w:tcPr>
            <w:tcW w:type="dxa" w:w="2088"/>
          </w:tcPr>
          <w:p>
            <w:pPr>
              <w:bidi w:val="0"/>
              <w:spacing w:before="20" w:after="20"/>
              <w:jc w:val="left"/>
            </w:pPr>
            <w:r>
              <w:rPr>
                <w:rFonts w:ascii="Sakkal Majalla" w:hAnsi="Sakkal Majalla" w:cs="Sakkal Majalla"/>
                <w:b w:val="0"/>
                <w:sz w:val="18"/>
              </w:rPr>
              <w:t>AI and caption API outbound flow</w:t>
            </w:r>
          </w:p>
        </w:tc>
        <w:tc>
          <w:tcPr>
            <w:tcW w:type="dxa" w:w="4608"/>
          </w:tcPr>
          <w:p>
            <w:pPr>
              <w:bidi w:val="0"/>
              <w:spacing w:before="20" w:after="20"/>
              <w:jc w:val="left"/>
            </w:pPr>
            <w:r>
              <w:rPr>
                <w:rFonts w:ascii="Sakkal Majalla" w:hAnsi="Sakkal Majalla" w:cs="Sakkal Majalla"/>
                <w:b w:val="0"/>
                <w:sz w:val="18"/>
              </w:rPr>
              <w:t>No AI provider is enabled, so no AI traffic leaves. Only the caption call goes out, carrying a public video id.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5</w:t>
            </w:r>
          </w:p>
        </w:tc>
        <w:tc>
          <w:tcPr>
            <w:tcW w:type="dxa" w:w="2088"/>
          </w:tcPr>
          <w:p>
            <w:pPr>
              <w:bidi w:val="0"/>
              <w:spacing w:before="20" w:after="20"/>
              <w:jc w:val="left"/>
            </w:pPr>
            <w:r>
              <w:rPr>
                <w:rFonts w:ascii="Sakkal Majalla" w:hAnsi="Sakkal Majalla" w:cs="Sakkal Majalla"/>
                <w:b w:val="0"/>
                <w:sz w:val="18"/>
              </w:rPr>
              <w:t>Authentication and e-mailed passwords</w:t>
            </w:r>
          </w:p>
        </w:tc>
        <w:tc>
          <w:tcPr>
            <w:tcW w:type="dxa" w:w="4608"/>
          </w:tcPr>
          <w:p>
            <w:pPr>
              <w:bidi w:val="0"/>
              <w:spacing w:before="20" w:after="20"/>
              <w:jc w:val="left"/>
            </w:pPr>
            <w:r>
              <w:rPr>
                <w:rFonts w:ascii="Sakkal Majalla" w:hAnsi="Sakkal Majalla" w:cs="Sakkal Majalla"/>
                <w:b w:val="0"/>
                <w:sz w:val="18"/>
              </w:rPr>
              <w:t>Passwords are stored as PBKDF2 hashes. No password is ever e-mailed. Forced change is enforced.</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6</w:t>
            </w:r>
          </w:p>
        </w:tc>
        <w:tc>
          <w:tcPr>
            <w:tcW w:type="dxa" w:w="2088"/>
          </w:tcPr>
          <w:p>
            <w:pPr>
              <w:bidi w:val="0"/>
              <w:spacing w:before="20" w:after="20"/>
              <w:jc w:val="left"/>
            </w:pPr>
            <w:r>
              <w:rPr>
                <w:rFonts w:ascii="Sakkal Majalla" w:hAnsi="Sakkal Majalla" w:cs="Sakkal Majalla"/>
                <w:b w:val="0"/>
                <w:sz w:val="18"/>
              </w:rPr>
              <w:t>Purpose and content of the file share</w:t>
            </w:r>
          </w:p>
        </w:tc>
        <w:tc>
          <w:tcPr>
            <w:tcW w:type="dxa" w:w="4608"/>
          </w:tcPr>
          <w:p>
            <w:pPr>
              <w:bidi w:val="0"/>
              <w:spacing w:before="20" w:after="20"/>
              <w:jc w:val="left"/>
            </w:pPr>
            <w:r>
              <w:rPr>
                <w:rFonts w:ascii="Sakkal Majalla" w:hAnsi="Sakkal Majalla" w:cs="Sakkal Majalla"/>
                <w:b w:val="0"/>
                <w:sz w:val="18"/>
              </w:rPr>
              <w:t>Binary content the database must not hold. 18 categories, 4 tiers, 4 encrypted at rest.</w:t>
            </w:r>
          </w:p>
        </w:tc>
        <w:tc>
          <w:tcPr>
            <w:tcW w:type="dxa" w:w="2016"/>
          </w:tcPr>
          <w:p>
            <w:pPr>
              <w:bidi w:val="0"/>
              <w:spacing w:before="20" w:after="20"/>
              <w:jc w:val="left"/>
            </w:pPr>
            <w:r>
              <w:rPr>
                <w:rFonts w:ascii="Sakkal Majalla" w:hAnsi="Sakkal Majalla" w:cs="Sakkal Majalla"/>
                <w:b w:val="0"/>
                <w:sz w:val="18"/>
              </w:rPr>
              <w:t>2.8 Data Architecture View</w:t>
            </w:r>
          </w:p>
        </w:tc>
      </w:tr>
      <w:tr>
        <w:tc>
          <w:tcPr>
            <w:tcW w:type="dxa" w:w="648"/>
          </w:tcPr>
          <w:p>
            <w:pPr>
              <w:bidi w:val="0"/>
              <w:spacing w:before="20" w:after="20"/>
              <w:jc w:val="left"/>
            </w:pPr>
            <w:r>
              <w:rPr>
                <w:rFonts w:ascii="Sakkal Majalla" w:hAnsi="Sakkal Majalla" w:cs="Sakkal Majalla"/>
                <w:b w:val="0"/>
                <w:sz w:val="18"/>
              </w:rPr>
              <w:t>7</w:t>
            </w:r>
          </w:p>
        </w:tc>
        <w:tc>
          <w:tcPr>
            <w:tcW w:type="dxa" w:w="2088"/>
          </w:tcPr>
          <w:p>
            <w:pPr>
              <w:bidi w:val="0"/>
              <w:spacing w:before="20" w:after="20"/>
              <w:jc w:val="left"/>
            </w:pPr>
            <w:r>
              <w:rPr>
                <w:rFonts w:ascii="Sakkal Majalla" w:hAnsi="Sakkal Majalla" w:cs="Sakkal Majalla"/>
                <w:b w:val="0"/>
                <w:sz w:val="18"/>
              </w:rPr>
              <w:t>Sequence diagrams</w:t>
            </w:r>
          </w:p>
        </w:tc>
        <w:tc>
          <w:tcPr>
            <w:tcW w:type="dxa" w:w="4608"/>
          </w:tcPr>
          <w:p>
            <w:pPr>
              <w:bidi w:val="0"/>
              <w:spacing w:before="20" w:after="20"/>
              <w:jc w:val="left"/>
            </w:pPr>
            <w:r>
              <w:rPr>
                <w:rFonts w:ascii="Sakkal Majalla" w:hAnsi="Sakkal Majalla" w:cs="Sakkal Majalla"/>
                <w:b w:val="0"/>
                <w:sz w:val="18"/>
              </w:rPr>
              <w:t>Provided. Figure 2 for components and interaction, Figure 3 for the system and data flow.</w:t>
            </w:r>
          </w:p>
        </w:tc>
        <w:tc>
          <w:tcPr>
            <w:tcW w:type="dxa" w:w="2016"/>
          </w:tcPr>
          <w:p>
            <w:pPr>
              <w:bidi w:val="0"/>
              <w:spacing w:before="20" w:after="20"/>
              <w:jc w:val="left"/>
            </w:pPr>
            <w:r>
              <w:rPr>
                <w:rFonts w:ascii="Sakkal Majalla" w:hAnsi="Sakkal Majalla" w:cs="Sakkal Majalla"/>
                <w:b w:val="0"/>
                <w:sz w:val="18"/>
              </w:rPr>
              <w:t>2.3 System Workflow, Figures 2 and 3</w:t>
            </w:r>
          </w:p>
        </w:tc>
      </w:tr>
      <w:tr>
        <w:tc>
          <w:tcPr>
            <w:tcW w:type="dxa" w:w="648"/>
          </w:tcPr>
          <w:p>
            <w:pPr>
              <w:bidi w:val="0"/>
              <w:spacing w:before="20" w:after="20"/>
              <w:jc w:val="left"/>
            </w:pPr>
            <w:r>
              <w:rPr>
                <w:rFonts w:ascii="Sakkal Majalla" w:hAnsi="Sakkal Majalla" w:cs="Sakkal Majalla"/>
                <w:b w:val="0"/>
                <w:sz w:val="18"/>
              </w:rPr>
              <w:t>8</w:t>
            </w:r>
          </w:p>
        </w:tc>
        <w:tc>
          <w:tcPr>
            <w:tcW w:type="dxa" w:w="2088"/>
          </w:tcPr>
          <w:p>
            <w:pPr>
              <w:bidi w:val="0"/>
              <w:spacing w:before="20" w:after="20"/>
              <w:jc w:val="left"/>
            </w:pPr>
            <w:r>
              <w:rPr>
                <w:rFonts w:ascii="Sakkal Majalla" w:hAnsi="Sakkal Majalla" w:cs="Sakkal Majalla"/>
                <w:b w:val="0"/>
                <w:sz w:val="18"/>
              </w:rPr>
              <w:t>Mobile enrolment and the ES256 key</w:t>
            </w:r>
          </w:p>
        </w:tc>
        <w:tc>
          <w:tcPr>
            <w:tcW w:type="dxa" w:w="4608"/>
          </w:tcPr>
          <w:p>
            <w:pPr>
              <w:bidi w:val="0"/>
              <w:spacing w:before="20" w:after="20"/>
              <w:jc w:val="left"/>
            </w:pPr>
            <w:r>
              <w:rPr>
                <w:rFonts w:ascii="Sakkal Majalla" w:hAnsi="Sakkal Majalla" w:cs="Sakkal Majalla"/>
                <w:b w:val="0"/>
                <w:sz w:val="18"/>
              </w:rPr>
              <w:t>Key pair generated on the device, only the public key registered, challenge signed, revocable.</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9</w:t>
            </w:r>
          </w:p>
        </w:tc>
        <w:tc>
          <w:tcPr>
            <w:tcW w:type="dxa" w:w="2088"/>
          </w:tcPr>
          <w:p>
            <w:pPr>
              <w:bidi w:val="0"/>
              <w:spacing w:before="20" w:after="20"/>
              <w:jc w:val="left"/>
            </w:pPr>
            <w:r>
              <w:rPr>
                <w:rFonts w:ascii="Sakkal Majalla" w:hAnsi="Sakkal Majalla" w:cs="Sakkal Majalla"/>
                <w:b w:val="0"/>
                <w:sz w:val="18"/>
              </w:rPr>
              <w:t>Data shared with external services</w:t>
            </w:r>
          </w:p>
        </w:tc>
        <w:tc>
          <w:tcPr>
            <w:tcW w:type="dxa" w:w="4608"/>
          </w:tcPr>
          <w:p>
            <w:pPr>
              <w:bidi w:val="0"/>
              <w:spacing w:before="20" w:after="20"/>
              <w:jc w:val="left"/>
            </w:pPr>
            <w:r>
              <w:rPr>
                <w:rFonts w:ascii="Sakkal Majalla" w:hAnsi="Sakkal Majalla" w:cs="Sakkal Majalla"/>
                <w:b w:val="0"/>
                <w:sz w:val="18"/>
              </w:rPr>
              <w:t>Only YouTube, and only a public video id. Nothing is sent to an AI provider today.</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10</w:t>
            </w:r>
          </w:p>
        </w:tc>
        <w:tc>
          <w:tcPr>
            <w:tcW w:type="dxa" w:w="2088"/>
          </w:tcPr>
          <w:p>
            <w:pPr>
              <w:bidi w:val="0"/>
              <w:spacing w:before="20" w:after="20"/>
              <w:jc w:val="left"/>
            </w:pPr>
            <w:r>
              <w:rPr>
                <w:rFonts w:ascii="Sakkal Majalla" w:hAnsi="Sakkal Majalla" w:cs="Sakkal Majalla"/>
                <w:b w:val="0"/>
                <w:sz w:val="18"/>
              </w:rPr>
              <w:t>SIEM and SMTP in the diagram</w:t>
            </w:r>
          </w:p>
        </w:tc>
        <w:tc>
          <w:tcPr>
            <w:tcW w:type="dxa" w:w="4608"/>
          </w:tcPr>
          <w:p>
            <w:pPr>
              <w:bidi w:val="0"/>
              <w:spacing w:before="20" w:after="20"/>
              <w:jc w:val="left"/>
            </w:pPr>
            <w:r>
              <w:rPr>
                <w:rFonts w:ascii="Sakkal Majalla" w:hAnsi="Sakkal Majalla" w:cs="Sakkal Majalla"/>
                <w:b w:val="0"/>
                <w:sz w:val="18"/>
              </w:rPr>
              <w:t>Both internal to the SSA zone. SMTP on 587, SIEM on 6514. The matrix is updated.</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11</w:t>
            </w:r>
          </w:p>
        </w:tc>
        <w:tc>
          <w:tcPr>
            <w:tcW w:type="dxa" w:w="2088"/>
          </w:tcPr>
          <w:p>
            <w:pPr>
              <w:bidi w:val="0"/>
              <w:spacing w:before="20" w:after="20"/>
              <w:jc w:val="left"/>
            </w:pPr>
            <w:r>
              <w:rPr>
                <w:rFonts w:ascii="Sakkal Majalla" w:hAnsi="Sakkal Majalla" w:cs="Sakkal Majalla"/>
                <w:b w:val="0"/>
                <w:sz w:val="18"/>
              </w:rPr>
              <w:t>Load balancer to AI connection</w:t>
            </w:r>
          </w:p>
        </w:tc>
        <w:tc>
          <w:tcPr>
            <w:tcW w:type="dxa" w:w="4608"/>
          </w:tcPr>
          <w:p>
            <w:pPr>
              <w:bidi w:val="0"/>
              <w:spacing w:before="20" w:after="20"/>
              <w:jc w:val="left"/>
            </w:pPr>
            <w:r>
              <w:rPr>
                <w:rFonts w:ascii="Sakkal Majalla" w:hAnsi="Sakkal Majalla" w:cs="Sakkal Majalla"/>
                <w:b w:val="0"/>
                <w:sz w:val="18"/>
              </w:rPr>
              <w:t>No such connection. It was a diagram error and is removed. Only SIMF.Api calls the AI endpoint.</w:t>
            </w:r>
          </w:p>
        </w:tc>
        <w:tc>
          <w:tcPr>
            <w:tcW w:type="dxa" w:w="2016"/>
          </w:tcPr>
          <w:p>
            <w:pPr>
              <w:bidi w:val="0"/>
              <w:spacing w:before="20" w:after="20"/>
              <w:jc w:val="left"/>
            </w:pPr>
            <w:r>
              <w:rPr>
                <w:rFonts w:ascii="Sakkal Majalla" w:hAnsi="Sakkal Majalla" w:cs="Sakkal Majalla"/>
                <w:b w:val="0"/>
                <w:sz w:val="18"/>
              </w:rPr>
              <w:t>2.1 Architecture Overview, Figure 1</w:t>
            </w:r>
          </w:p>
        </w:tc>
      </w:tr>
      <w:tr>
        <w:tc>
          <w:tcPr>
            <w:tcW w:type="dxa" w:w="648"/>
          </w:tcPr>
          <w:p>
            <w:pPr>
              <w:bidi w:val="0"/>
              <w:spacing w:before="20" w:after="20"/>
              <w:jc w:val="left"/>
            </w:pPr>
            <w:r>
              <w:rPr>
                <w:rFonts w:ascii="Sakkal Majalla" w:hAnsi="Sakkal Majalla" w:cs="Sakkal Majalla"/>
                <w:b w:val="0"/>
                <w:sz w:val="18"/>
              </w:rPr>
              <w:t>12</w:t>
            </w:r>
          </w:p>
        </w:tc>
        <w:tc>
          <w:tcPr>
            <w:tcW w:type="dxa" w:w="2088"/>
          </w:tcPr>
          <w:p>
            <w:pPr>
              <w:bidi w:val="0"/>
              <w:spacing w:before="20" w:after="20"/>
              <w:jc w:val="left"/>
            </w:pPr>
            <w:r>
              <w:rPr>
                <w:rFonts w:ascii="Sakkal Majalla" w:hAnsi="Sakkal Majalla" w:cs="Sakkal Majalla"/>
                <w:b w:val="0"/>
                <w:sz w:val="18"/>
              </w:rPr>
              <w:t>Outbound path from the AI service</w:t>
            </w:r>
          </w:p>
        </w:tc>
        <w:tc>
          <w:tcPr>
            <w:tcW w:type="dxa" w:w="4608"/>
          </w:tcPr>
          <w:p>
            <w:pPr>
              <w:bidi w:val="0"/>
              <w:spacing w:before="20" w:after="20"/>
              <w:jc w:val="left"/>
            </w:pPr>
            <w:r>
              <w:rPr>
                <w:rFonts w:ascii="Sakkal Majalla" w:hAnsi="Sakkal Majalla" w:cs="Sakkal Majalla"/>
                <w:b w:val="0"/>
                <w:sz w:val="18"/>
              </w:rPr>
              <w:t>Agreed. No AI egress exists today. Any egress is via the egress point and edge firewall.</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13</w:t>
            </w:r>
          </w:p>
        </w:tc>
        <w:tc>
          <w:tcPr>
            <w:tcW w:type="dxa" w:w="2088"/>
          </w:tcPr>
          <w:p>
            <w:pPr>
              <w:bidi w:val="0"/>
              <w:spacing w:before="20" w:after="20"/>
              <w:jc w:val="left"/>
            </w:pPr>
            <w:r>
              <w:rPr>
                <w:rFonts w:ascii="Sakkal Majalla" w:hAnsi="Sakkal Majalla" w:cs="Sakkal Majalla"/>
                <w:b w:val="0"/>
                <w:sz w:val="18"/>
              </w:rPr>
              <w:t>Hosting server per component</w:t>
            </w:r>
          </w:p>
        </w:tc>
        <w:tc>
          <w:tcPr>
            <w:tcW w:type="dxa" w:w="4608"/>
          </w:tcPr>
          <w:p>
            <w:pPr>
              <w:bidi w:val="0"/>
              <w:spacing w:before="20" w:after="20"/>
              <w:jc w:val="left"/>
            </w:pPr>
            <w:r>
              <w:rPr>
                <w:rFonts w:ascii="Sakkal Majalla" w:hAnsi="Sakkal Majalla" w:cs="Sakkal Majalla"/>
                <w:b w:val="0"/>
                <w:sz w:val="18"/>
              </w:rPr>
              <w:t>Done. Figure 1 shows one box per hosting server, and the matrix is updated to match.</w:t>
            </w:r>
          </w:p>
        </w:tc>
        <w:tc>
          <w:tcPr>
            <w:tcW w:type="dxa" w:w="2016"/>
          </w:tcPr>
          <w:p>
            <w:pPr>
              <w:bidi w:val="0"/>
              <w:spacing w:before="20" w:after="20"/>
              <w:jc w:val="left"/>
            </w:pPr>
            <w:r>
              <w:rPr>
                <w:rFonts w:ascii="Sakkal Majalla" w:hAnsi="Sakkal Majalla" w:cs="Sakkal Majalla"/>
                <w:b w:val="0"/>
                <w:sz w:val="18"/>
              </w:rPr>
              <w:t>2.1 Architecture Overview, Figure 1</w:t>
            </w:r>
          </w:p>
        </w:tc>
      </w:tr>
    </w:tbl>
    <w:p>
      <w:pPr>
        <w:bidi w:val="0"/>
        <w:spacing w:before="0" w:after="0"/>
        <w:jc w:val="left"/>
      </w:pPr>
      <w:r>
        <w:rPr>
          <w:rFonts w:ascii="Sakkal Majalla" w:hAnsi="Sakkal Majalla" w:cs="Sakkal Majalla"/>
          <w:b w:val="0"/>
          <w:sz w:val="12"/>
        </w:rPr>
      </w: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