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3AE87" w14:textId="77777777" w:rsidR="001D6F4A" w:rsidRDefault="002C1C3A">
      <w:pPr>
        <w:jc w:val="center"/>
      </w:pPr>
      <w:r>
        <w:rPr>
          <w:noProof/>
        </w:rPr>
        <w:drawing>
          <wp:inline distT="0" distB="0" distL="0" distR="0" wp14:anchorId="68CA8831" wp14:editId="3CD7B823">
            <wp:extent cx="2377440" cy="867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377440" cy="867954"/>
                    </a:xfrm>
                    <a:prstGeom prst="rect">
                      <a:avLst/>
                    </a:prstGeom>
                  </pic:spPr>
                </pic:pic>
              </a:graphicData>
            </a:graphic>
          </wp:inline>
        </w:drawing>
      </w:r>
    </w:p>
    <w:p w14:paraId="723B670D" w14:textId="77777777" w:rsidR="001D6F4A" w:rsidRDefault="002C1C3A">
      <w:pPr>
        <w:bidi/>
        <w:jc w:val="center"/>
      </w:pPr>
      <w:r>
        <w:rPr>
          <w:b/>
          <w:color w:val="1F3F5F"/>
          <w:sz w:val="40"/>
          <w:rtl/>
        </w:rPr>
        <w:t>الميزات المحذوفة بناءً على اشتراط SITE</w:t>
      </w:r>
    </w:p>
    <w:p w14:paraId="6BED6138" w14:textId="77777777" w:rsidR="001D6F4A" w:rsidRDefault="002C1C3A">
      <w:pPr>
        <w:bidi/>
        <w:jc w:val="center"/>
      </w:pPr>
      <w:r>
        <w:rPr>
          <w:color w:val="1A1A1A"/>
          <w:sz w:val="22"/>
          <w:rtl/>
        </w:rPr>
        <w:t>SIMF، الملتقى البحري الدولي السعودي</w:t>
      </w:r>
    </w:p>
    <w:p w14:paraId="0CB79928" w14:textId="77777777" w:rsidR="001D6F4A" w:rsidRDefault="002C1C3A">
      <w:pPr>
        <w:bidi/>
        <w:jc w:val="center"/>
      </w:pPr>
      <w:r>
        <w:rPr>
          <w:color w:val="1A1A1A"/>
          <w:sz w:val="22"/>
          <w:rtl/>
        </w:rPr>
        <w:t>SIMF-SCA-002، الإصدار 1.0، 5 سبتمبر 2026 م</w:t>
      </w:r>
    </w:p>
    <w:p w14:paraId="7A7B5816" w14:textId="77777777" w:rsidR="001D6F4A" w:rsidRDefault="002C1C3A">
      <w:pPr>
        <w:bidi/>
        <w:jc w:val="center"/>
      </w:pPr>
      <w:r>
        <w:rPr>
          <w:color w:val="1A1A1A"/>
          <w:sz w:val="22"/>
          <w:rtl/>
        </w:rPr>
        <w:t>وثيقة مرافقة لموجز قرار الاستضافة، SIMF-SCA-001.</w:t>
      </w:r>
    </w:p>
    <w:p w14:paraId="68EF4BE9" w14:textId="77777777" w:rsidR="001D6F4A" w:rsidRDefault="002C1C3A">
      <w:pPr>
        <w:bidi/>
      </w:pPr>
      <w:r>
        <w:rPr>
          <w:sz w:val="21"/>
          <w:rtl/>
        </w:rPr>
        <w:t>تسع قدرات سبق الوعد بها تُحذف أو تُقلَّص بناءً على اشتراط SITE. ويذكر كل صف ما وُعد به، والسبب الذي تسوقه SITE، وما يحصل عليه الملتقى بدلاً منه. وكل سبب هو إما قيد ذكرته SITE مباشرة وإما الحالة التي سجّلتها SITE في قائمة التحقق الخاصة بها للتقنيات والمنهجيات.</w:t>
      </w:r>
    </w:p>
    <w:tbl>
      <w:tblPr>
        <w:tblStyle w:val="TableGrid"/>
        <w:bidiVisual/>
        <w:tblW w:w="9638" w:type="dxa"/>
        <w:tblLook w:val="04A0" w:firstRow="1" w:lastRow="0" w:firstColumn="1" w:lastColumn="0" w:noHBand="0" w:noVBand="1"/>
      </w:tblPr>
      <w:tblGrid>
        <w:gridCol w:w="2964"/>
        <w:gridCol w:w="3257"/>
        <w:gridCol w:w="3417"/>
      </w:tblGrid>
      <w:tr w:rsidR="001D6F4A" w14:paraId="10AA60EF" w14:textId="77777777">
        <w:trPr>
          <w:tblHeader/>
        </w:trPr>
        <w:tc>
          <w:tcPr>
            <w:tcW w:w="2963" w:type="dxa"/>
            <w:shd w:val="clear" w:color="auto" w:fill="1F3F5F"/>
          </w:tcPr>
          <w:p w14:paraId="3F4016AA" w14:textId="77777777" w:rsidR="001D6F4A" w:rsidRDefault="002C1C3A">
            <w:pPr>
              <w:bidi/>
            </w:pPr>
            <w:r>
              <w:rPr>
                <w:b/>
                <w:color w:val="FFFFFF"/>
                <w:sz w:val="18"/>
                <w:rtl/>
              </w:rPr>
              <w:t>الميزة الموعودة</w:t>
            </w:r>
          </w:p>
        </w:tc>
        <w:tc>
          <w:tcPr>
            <w:tcW w:w="3257" w:type="dxa"/>
            <w:shd w:val="clear" w:color="auto" w:fill="1F3F5F"/>
          </w:tcPr>
          <w:p w14:paraId="18B25C9D" w14:textId="77777777" w:rsidR="001D6F4A" w:rsidRDefault="002C1C3A">
            <w:pPr>
              <w:bidi/>
            </w:pPr>
            <w:r>
              <w:rPr>
                <w:b/>
                <w:color w:val="FFFFFF"/>
                <w:sz w:val="18"/>
                <w:rtl/>
              </w:rPr>
              <w:t>سبب حذف SITE لها</w:t>
            </w:r>
          </w:p>
        </w:tc>
        <w:tc>
          <w:tcPr>
            <w:tcW w:w="3417" w:type="dxa"/>
            <w:shd w:val="clear" w:color="auto" w:fill="1F3F5F"/>
          </w:tcPr>
          <w:p w14:paraId="0D97B93F" w14:textId="77777777" w:rsidR="001D6F4A" w:rsidRDefault="002C1C3A">
            <w:pPr>
              <w:bidi/>
            </w:pPr>
            <w:r>
              <w:rPr>
                <w:b/>
                <w:color w:val="FFFFFF"/>
                <w:sz w:val="18"/>
                <w:rtl/>
              </w:rPr>
              <w:t>ما يُسلَّم بدلاً منها</w:t>
            </w:r>
          </w:p>
        </w:tc>
      </w:tr>
      <w:tr w:rsidR="001D6F4A" w14:paraId="74F666A1" w14:textId="77777777">
        <w:tc>
          <w:tcPr>
            <w:tcW w:w="2963" w:type="dxa"/>
          </w:tcPr>
          <w:p w14:paraId="73556964" w14:textId="77777777" w:rsidR="001D6F4A" w:rsidRDefault="002C1C3A">
            <w:pPr>
              <w:bidi/>
            </w:pPr>
            <w:r>
              <w:rPr>
                <w:sz w:val="18"/>
                <w:rtl/>
              </w:rPr>
              <w:t>شخصية افتراضية للغة الإشارة. شخصية رقمية تترجم كل جلسة بلغة الإشارة على الشاشة وفي البث، لفائدة الحضور من الصم.</w:t>
            </w:r>
          </w:p>
        </w:tc>
        <w:tc>
          <w:tcPr>
            <w:tcW w:w="3257" w:type="dxa"/>
          </w:tcPr>
          <w:p w14:paraId="2EB926DA" w14:textId="77777777" w:rsidR="001D6F4A" w:rsidRDefault="002C1C3A">
            <w:pPr>
              <w:bidi/>
            </w:pPr>
            <w:r>
              <w:rPr>
                <w:sz w:val="18"/>
                <w:rtl/>
              </w:rPr>
              <w:t>تشترط SITE عدم توفر أي قدرة للغة الإشارة.</w:t>
            </w:r>
          </w:p>
        </w:tc>
        <w:tc>
          <w:tcPr>
            <w:tcW w:w="3417" w:type="dxa"/>
          </w:tcPr>
          <w:p w14:paraId="1014470D" w14:textId="77777777" w:rsidR="001D6F4A" w:rsidRDefault="002C1C3A">
            <w:pPr>
              <w:bidi/>
            </w:pPr>
            <w:r>
              <w:rPr>
                <w:sz w:val="18"/>
                <w:rtl/>
              </w:rPr>
              <w:t>لا شيء. القدرة مسحوبة. وقد كانت التزام الملتقى الرئيسي في مجال الإتاحة، ولا يوجد بديل مخطط له.</w:t>
            </w:r>
          </w:p>
        </w:tc>
      </w:tr>
      <w:tr w:rsidR="001D6F4A" w14:paraId="14A20933" w14:textId="77777777">
        <w:tc>
          <w:tcPr>
            <w:tcW w:w="2963" w:type="dxa"/>
            <w:shd w:val="clear" w:color="auto" w:fill="F2F4F7"/>
          </w:tcPr>
          <w:p w14:paraId="2BCC3570" w14:textId="77777777" w:rsidR="001D6F4A" w:rsidRDefault="002C1C3A">
            <w:pPr>
              <w:bidi/>
            </w:pPr>
            <w:r>
              <w:rPr>
                <w:sz w:val="18"/>
                <w:rtl/>
              </w:rPr>
              <w:t>الترجمة المباشرة. تحويل صوت المتحدث إلى ترجمة نصية مباشرة بلغة المشاهد نفسه أثناء الجلسة.</w:t>
            </w:r>
          </w:p>
        </w:tc>
        <w:tc>
          <w:tcPr>
            <w:tcW w:w="3257" w:type="dxa"/>
            <w:shd w:val="clear" w:color="auto" w:fill="F2F4F7"/>
          </w:tcPr>
          <w:p w14:paraId="542AC268" w14:textId="77777777" w:rsidR="001D6F4A" w:rsidRDefault="002C1C3A">
            <w:pPr>
              <w:bidi/>
            </w:pPr>
            <w:r>
              <w:rPr>
                <w:sz w:val="18"/>
                <w:rtl/>
              </w:rPr>
              <w:t>يجب أن يعمل الذكاء الاصطناعي داخل المقر، والمنطقة الآمنة لا يتوفر فيها اتصال بالإنترنت. وكانت الخدمة المقترحة خدمة سحابية.</w:t>
            </w:r>
          </w:p>
        </w:tc>
        <w:tc>
          <w:tcPr>
            <w:tcW w:w="3417" w:type="dxa"/>
            <w:shd w:val="clear" w:color="auto" w:fill="F2F4F7"/>
          </w:tcPr>
          <w:p w14:paraId="0770FCE1" w14:textId="77777777" w:rsidR="001D6F4A" w:rsidRDefault="002C1C3A">
            <w:pPr>
              <w:bidi/>
            </w:pPr>
            <w:r>
              <w:rPr>
                <w:sz w:val="18"/>
                <w:rtl/>
              </w:rPr>
              <w:t>ترجمة بعد انتهاء الجلسة، ينتجها النموذج المحلي داخل المقر وتراجعها اللجنة العلمية قبل أن يطّلع عليها الحضور. ولا شيء منها مباشر.</w:t>
            </w:r>
          </w:p>
        </w:tc>
      </w:tr>
      <w:tr w:rsidR="001D6F4A" w14:paraId="04302C2A" w14:textId="77777777">
        <w:tc>
          <w:tcPr>
            <w:tcW w:w="2963" w:type="dxa"/>
          </w:tcPr>
          <w:p w14:paraId="2747AB9E" w14:textId="77777777" w:rsidR="001D6F4A" w:rsidRDefault="002C1C3A">
            <w:pPr>
              <w:bidi/>
            </w:pPr>
            <w:r>
              <w:rPr>
                <w:sz w:val="18"/>
                <w:rtl/>
              </w:rPr>
              <w:t>التفريغ النصي المباشر. سجل نصي كامل لكل جلسة يُنتَج أثناء إلقائها.</w:t>
            </w:r>
          </w:p>
        </w:tc>
        <w:tc>
          <w:tcPr>
            <w:tcW w:w="3257" w:type="dxa"/>
          </w:tcPr>
          <w:p w14:paraId="038F87D2" w14:textId="77777777" w:rsidR="001D6F4A" w:rsidRDefault="002C1C3A">
            <w:pPr>
              <w:bidi/>
            </w:pPr>
            <w:r>
              <w:rPr>
                <w:sz w:val="18"/>
                <w:rtl/>
              </w:rPr>
              <w:t>السبب نفسه. وكانت خدمة التعرف على الكلام المقترحة خدمة سحابية.</w:t>
            </w:r>
          </w:p>
        </w:tc>
        <w:tc>
          <w:tcPr>
            <w:tcW w:w="3417" w:type="dxa"/>
          </w:tcPr>
          <w:p w14:paraId="345A3857" w14:textId="77777777" w:rsidR="001D6F4A" w:rsidRDefault="002C1C3A">
            <w:pPr>
              <w:bidi/>
            </w:pPr>
            <w:r>
              <w:rPr>
                <w:sz w:val="18"/>
                <w:rtl/>
              </w:rPr>
              <w:t>مسار الترجمة النصية المرافق للتسجيل المنشور، أو نص تفريغ يزوّده أحد المشرفين. ولا تنتجه المنصّة.</w:t>
            </w:r>
          </w:p>
        </w:tc>
      </w:tr>
      <w:tr w:rsidR="001D6F4A" w14:paraId="02B4157F" w14:textId="77777777">
        <w:tc>
          <w:tcPr>
            <w:tcW w:w="2963" w:type="dxa"/>
            <w:shd w:val="clear" w:color="auto" w:fill="F2F4F7"/>
          </w:tcPr>
          <w:p w14:paraId="471AF078" w14:textId="77777777" w:rsidR="001D6F4A" w:rsidRDefault="002C1C3A">
            <w:pPr>
              <w:bidi/>
            </w:pPr>
            <w:r>
              <w:rPr>
                <w:sz w:val="18"/>
                <w:rtl/>
              </w:rPr>
              <w:t>البث المباشر للجلسات بالفيديو.</w:t>
            </w:r>
          </w:p>
        </w:tc>
        <w:tc>
          <w:tcPr>
            <w:tcW w:w="3257" w:type="dxa"/>
            <w:shd w:val="clear" w:color="auto" w:fill="F2F4F7"/>
          </w:tcPr>
          <w:p w14:paraId="6F8801AF" w14:textId="77777777" w:rsidR="001D6F4A" w:rsidRDefault="002C1C3A">
            <w:pPr>
              <w:bidi/>
            </w:pPr>
            <w:r>
              <w:rPr>
                <w:sz w:val="18"/>
                <w:rtl/>
              </w:rPr>
              <w:t>تشترط SITE عدم وجود بث مباشر عبر خدمة الفيديو المقترحة.</w:t>
            </w:r>
          </w:p>
        </w:tc>
        <w:tc>
          <w:tcPr>
            <w:tcW w:w="3417" w:type="dxa"/>
            <w:shd w:val="clear" w:color="auto" w:fill="F2F4F7"/>
          </w:tcPr>
          <w:p w14:paraId="4FB58B76" w14:textId="77777777" w:rsidR="001D6F4A" w:rsidRDefault="002C1C3A">
            <w:pPr>
              <w:bidi/>
            </w:pPr>
            <w:r>
              <w:rPr>
                <w:sz w:val="18"/>
                <w:rtl/>
              </w:rPr>
              <w:t>نشر الجلسات للمشاهدة بعد انتهائها.</w:t>
            </w:r>
          </w:p>
        </w:tc>
      </w:tr>
      <w:tr w:rsidR="001D6F4A" w14:paraId="5495B0A9" w14:textId="77777777">
        <w:tc>
          <w:tcPr>
            <w:tcW w:w="2963" w:type="dxa"/>
          </w:tcPr>
          <w:p w14:paraId="51A964A1" w14:textId="77777777" w:rsidR="001D6F4A" w:rsidRDefault="002C1C3A">
            <w:pPr>
              <w:bidi/>
            </w:pPr>
            <w:r>
              <w:rPr>
                <w:sz w:val="18"/>
                <w:rtl/>
              </w:rPr>
              <w:t>خدمة الذكاء الاصطناعي من Google، وهي الخدمة التي يقوم عليها ملخص الجلسة والمساعد ومرشِّح المحتوى.</w:t>
            </w:r>
          </w:p>
        </w:tc>
        <w:tc>
          <w:tcPr>
            <w:tcW w:w="3257" w:type="dxa"/>
          </w:tcPr>
          <w:p w14:paraId="6A8656DF" w14:textId="77777777" w:rsidR="001D6F4A" w:rsidRDefault="002C1C3A">
            <w:pPr>
              <w:bidi/>
            </w:pPr>
            <w:r>
              <w:rPr>
                <w:sz w:val="18"/>
                <w:rtl/>
              </w:rPr>
              <w:t>مسجّلة بوصفها مرفوضة في قائمة التحقق الخاصة بـ SITE، لقيود في البنية التحتية.</w:t>
            </w:r>
          </w:p>
        </w:tc>
        <w:tc>
          <w:tcPr>
            <w:tcW w:w="3417" w:type="dxa"/>
          </w:tcPr>
          <w:p w14:paraId="3EBF8673" w14:textId="77777777" w:rsidR="001D6F4A" w:rsidRDefault="002C1C3A">
            <w:pPr>
              <w:bidi/>
            </w:pPr>
            <w:r>
              <w:rPr>
                <w:sz w:val="18"/>
                <w:rtl/>
              </w:rPr>
              <w:t>النموذج المحلي، وهو يتولى الوظائف الثلاث جميعها. وهذا البند استبدال بمكافئ وليس خسارة.</w:t>
            </w:r>
          </w:p>
        </w:tc>
      </w:tr>
      <w:tr w:rsidR="001D6F4A" w14:paraId="7618BC55" w14:textId="77777777">
        <w:tc>
          <w:tcPr>
            <w:tcW w:w="2963" w:type="dxa"/>
            <w:shd w:val="clear" w:color="auto" w:fill="F2F4F7"/>
          </w:tcPr>
          <w:p w14:paraId="0DA716CB" w14:textId="77777777" w:rsidR="001D6F4A" w:rsidRDefault="002C1C3A">
            <w:pPr>
              <w:bidi/>
            </w:pPr>
            <w:r>
              <w:rPr>
                <w:sz w:val="18"/>
                <w:rtl/>
              </w:rPr>
              <w:t>إشعارات WhatsApp للحضور.</w:t>
            </w:r>
          </w:p>
        </w:tc>
        <w:tc>
          <w:tcPr>
            <w:tcW w:w="3257" w:type="dxa"/>
            <w:shd w:val="clear" w:color="auto" w:fill="F2F4F7"/>
          </w:tcPr>
          <w:p w14:paraId="5E222397" w14:textId="77777777" w:rsidR="001D6F4A" w:rsidRDefault="002C1C3A">
            <w:pPr>
              <w:bidi/>
            </w:pPr>
            <w:r>
              <w:rPr>
                <w:sz w:val="18"/>
                <w:rtl/>
              </w:rPr>
              <w:t>مسجّلة بوصفها مرفوضة في قائمة التحقق الخاصة بـ SITE، لقيود في البنية التحتية.</w:t>
            </w:r>
          </w:p>
        </w:tc>
        <w:tc>
          <w:tcPr>
            <w:tcW w:w="3417" w:type="dxa"/>
            <w:shd w:val="clear" w:color="auto" w:fill="F2F4F7"/>
          </w:tcPr>
          <w:p w14:paraId="5EBC3A62" w14:textId="77777777" w:rsidR="001D6F4A" w:rsidRDefault="002C1C3A">
            <w:pPr>
              <w:bidi/>
            </w:pPr>
            <w:r>
              <w:rPr>
                <w:sz w:val="18"/>
                <w:rtl/>
              </w:rPr>
              <w:t>الإشعارات داخل التطبيق وعبر البريد الإلكتروني. وقناة المراسلة مسحوبة.</w:t>
            </w:r>
          </w:p>
        </w:tc>
      </w:tr>
      <w:tr w:rsidR="001D6F4A" w14:paraId="7BAD69D5" w14:textId="77777777">
        <w:tc>
          <w:tcPr>
            <w:tcW w:w="2963" w:type="dxa"/>
          </w:tcPr>
          <w:p w14:paraId="2DFDF6F3" w14:textId="77777777" w:rsidR="001D6F4A" w:rsidRDefault="002C1C3A">
            <w:pPr>
              <w:bidi/>
            </w:pPr>
            <w:r>
              <w:rPr>
                <w:sz w:val="18"/>
                <w:rtl/>
              </w:rPr>
              <w:t>خريطة تفاعلية ثلاثية الأبعاد للمقر، والإرشاد إلى المسارات الذي كان يعتمد عليها.</w:t>
            </w:r>
          </w:p>
        </w:tc>
        <w:tc>
          <w:tcPr>
            <w:tcW w:w="3257" w:type="dxa"/>
          </w:tcPr>
          <w:p w14:paraId="02F79BAD" w14:textId="77777777" w:rsidR="001D6F4A" w:rsidRDefault="002C1C3A">
            <w:pPr>
              <w:bidi/>
            </w:pPr>
            <w:r>
              <w:rPr>
                <w:sz w:val="18"/>
                <w:rtl/>
              </w:rPr>
              <w:t>خدمة الخرائط خدمة سحابية، والمنطقة الآمنة لا يتوفر فيها اتصال بالإنترنت.</w:t>
            </w:r>
          </w:p>
        </w:tc>
        <w:tc>
          <w:tcPr>
            <w:tcW w:w="3417" w:type="dxa"/>
          </w:tcPr>
          <w:p w14:paraId="701BF5B1" w14:textId="77777777" w:rsidR="001D6F4A" w:rsidRDefault="002C1C3A">
            <w:pPr>
              <w:bidi/>
            </w:pPr>
            <w:r>
              <w:rPr>
                <w:sz w:val="18"/>
                <w:rtl/>
              </w:rPr>
              <w:t>خريطة ثنائية الأبعاد للمقر مع التنقل.</w:t>
            </w:r>
          </w:p>
        </w:tc>
      </w:tr>
      <w:tr w:rsidR="001D6F4A" w14:paraId="55224808" w14:textId="77777777">
        <w:tc>
          <w:tcPr>
            <w:tcW w:w="2963" w:type="dxa"/>
            <w:shd w:val="clear" w:color="auto" w:fill="F2F4F7"/>
          </w:tcPr>
          <w:p w14:paraId="46C1FBC0" w14:textId="77777777" w:rsidR="001D6F4A" w:rsidRDefault="002C1C3A">
            <w:pPr>
              <w:bidi/>
            </w:pPr>
            <w:r>
              <w:rPr>
                <w:sz w:val="18"/>
                <w:rtl/>
              </w:rPr>
              <w:t>التحليلات التنبؤية. التنبؤ بالحضور وأوقات الذروة لأغراض التخطيط.</w:t>
            </w:r>
          </w:p>
        </w:tc>
        <w:tc>
          <w:tcPr>
            <w:tcW w:w="3257" w:type="dxa"/>
            <w:shd w:val="clear" w:color="auto" w:fill="F2F4F7"/>
          </w:tcPr>
          <w:p w14:paraId="1AE3D9D5" w14:textId="77777777" w:rsidR="001D6F4A" w:rsidRDefault="002C1C3A">
            <w:pPr>
              <w:bidi/>
            </w:pPr>
            <w:r>
              <w:rPr>
                <w:sz w:val="18"/>
                <w:rtl/>
              </w:rPr>
              <w:t>خدمتا التحليلات وتعلّم الآلة خدمتان سحابيتان، والمنطقة الآمنة لا يتوفر فيها اتصال بالإنترنت.</w:t>
            </w:r>
          </w:p>
        </w:tc>
        <w:tc>
          <w:tcPr>
            <w:tcW w:w="3417" w:type="dxa"/>
            <w:shd w:val="clear" w:color="auto" w:fill="F2F4F7"/>
          </w:tcPr>
          <w:p w14:paraId="32287521" w14:textId="77777777" w:rsidR="001D6F4A" w:rsidRDefault="002C1C3A">
            <w:pPr>
              <w:bidi/>
            </w:pPr>
            <w:r>
              <w:rPr>
                <w:sz w:val="18"/>
                <w:rtl/>
              </w:rPr>
              <w:t>أرقام تُحتسب من سجلات المنصّة نفسها عند فتح لوحة المعلومات. ولا يجري التنبؤ بأي شيء ولا تُحفظ أي لقطة بيانات.</w:t>
            </w:r>
          </w:p>
        </w:tc>
      </w:tr>
      <w:tr w:rsidR="001D6F4A" w14:paraId="2A887C29" w14:textId="77777777">
        <w:tc>
          <w:tcPr>
            <w:tcW w:w="2963" w:type="dxa"/>
          </w:tcPr>
          <w:p w14:paraId="1F323AF7" w14:textId="77777777" w:rsidR="001D6F4A" w:rsidRDefault="002C1C3A">
            <w:pPr>
              <w:bidi/>
            </w:pPr>
            <w:r>
              <w:rPr>
                <w:sz w:val="18"/>
                <w:rtl/>
              </w:rPr>
              <w:t>تصميم واجهة المستخدم للموقع الإلكتروني ولوحة التحكم والتطبيق.</w:t>
            </w:r>
          </w:p>
        </w:tc>
        <w:tc>
          <w:tcPr>
            <w:tcW w:w="3257" w:type="dxa"/>
          </w:tcPr>
          <w:p w14:paraId="650CEA53" w14:textId="77777777" w:rsidR="001D6F4A" w:rsidRDefault="002C1C3A">
            <w:pPr>
              <w:bidi/>
            </w:pPr>
            <w:r>
              <w:rPr>
                <w:sz w:val="18"/>
                <w:rtl/>
              </w:rPr>
              <w:t>رفضت SITE التصميم وتشترط اتباع كود المنصات الحكومية السعودية.</w:t>
            </w:r>
          </w:p>
        </w:tc>
        <w:tc>
          <w:tcPr>
            <w:tcW w:w="3417" w:type="dxa"/>
          </w:tcPr>
          <w:p w14:paraId="3B864EC4" w14:textId="77777777" w:rsidR="001D6F4A" w:rsidRDefault="002C1C3A">
            <w:pPr>
              <w:bidi/>
            </w:pPr>
            <w:r>
              <w:rPr>
                <w:sz w:val="18"/>
                <w:rtl/>
              </w:rPr>
              <w:t>إعادة بناء الواجهات الثلاث جميعها وفق ذلك الكود. وهذا هو البند الوحيد في هذه الصفحة الذي يغيّر تاريخ الإطلاق.</w:t>
            </w:r>
          </w:p>
        </w:tc>
      </w:tr>
    </w:tbl>
    <w:p w14:paraId="51100B42" w14:textId="77777777" w:rsidR="001D6F4A" w:rsidRDefault="001D6F4A"/>
    <w:p w14:paraId="6F8CBF10" w14:textId="77777777" w:rsidR="001D6F4A" w:rsidRDefault="002C1C3A">
      <w:pPr>
        <w:pStyle w:val="Heading1"/>
        <w:bidi/>
      </w:pPr>
      <w:r>
        <w:rPr>
          <w:rtl/>
        </w:rPr>
        <w:t>ما لم تحذفه SITE</w:t>
      </w:r>
    </w:p>
    <w:p w14:paraId="058AABB9" w14:textId="77777777" w:rsidR="001D6F4A" w:rsidRDefault="002C1C3A">
      <w:pPr>
        <w:bidi/>
      </w:pPr>
      <w:r>
        <w:rPr>
          <w:sz w:val="21"/>
          <w:rtl/>
        </w:rPr>
        <w:t>يُفترض عادةً أن قدرتين اثنتين قد سقطتا ضحية هذه الاشتراطات، وهما ليستا كذلك. فقد اعتمدت SITE كلتيهما في قائمة التحقق الخاصة بها، وعليه فإن غياب أي منهما عن المنصّة المسلَّمة يكون قراراً من المشروع لا اشتراطاً من SITE، ولا ينبغي عرضه على الوزارة بوصفه اشتراطاً.</w:t>
      </w:r>
    </w:p>
    <w:tbl>
      <w:tblPr>
        <w:tblStyle w:val="TableGrid"/>
        <w:bidiVisual/>
        <w:tblW w:w="9638" w:type="dxa"/>
        <w:tblLook w:val="04A0" w:firstRow="1" w:lastRow="0" w:firstColumn="1" w:lastColumn="0" w:noHBand="0" w:noVBand="1"/>
      </w:tblPr>
      <w:tblGrid>
        <w:gridCol w:w="1989"/>
        <w:gridCol w:w="728"/>
        <w:gridCol w:w="6921"/>
      </w:tblGrid>
      <w:tr w:rsidR="001D6F4A" w14:paraId="605A15AF" w14:textId="77777777">
        <w:trPr>
          <w:tblHeader/>
        </w:trPr>
        <w:tc>
          <w:tcPr>
            <w:tcW w:w="2026" w:type="dxa"/>
            <w:shd w:val="clear" w:color="auto" w:fill="1F3F5F"/>
          </w:tcPr>
          <w:p w14:paraId="33EA82B1" w14:textId="77777777" w:rsidR="001D6F4A" w:rsidRDefault="002C1C3A">
            <w:pPr>
              <w:bidi/>
            </w:pPr>
            <w:r>
              <w:rPr>
                <w:b/>
                <w:color w:val="FFFFFF"/>
                <w:sz w:val="18"/>
                <w:rtl/>
              </w:rPr>
              <w:t>القدرة</w:t>
            </w:r>
          </w:p>
        </w:tc>
        <w:tc>
          <w:tcPr>
            <w:tcW w:w="492" w:type="dxa"/>
            <w:shd w:val="clear" w:color="auto" w:fill="1F3F5F"/>
          </w:tcPr>
          <w:p w14:paraId="46A499C4" w14:textId="77777777" w:rsidR="001D6F4A" w:rsidRDefault="002C1C3A">
            <w:pPr>
              <w:bidi/>
            </w:pPr>
            <w:r>
              <w:rPr>
                <w:b/>
                <w:color w:val="FFFFFF"/>
                <w:sz w:val="18"/>
                <w:rtl/>
              </w:rPr>
              <w:t>موقف SITE</w:t>
            </w:r>
          </w:p>
        </w:tc>
        <w:tc>
          <w:tcPr>
            <w:tcW w:w="7118" w:type="dxa"/>
            <w:shd w:val="clear" w:color="auto" w:fill="1F3F5F"/>
          </w:tcPr>
          <w:p w14:paraId="33ABC966" w14:textId="77777777" w:rsidR="001D6F4A" w:rsidRDefault="002C1C3A">
            <w:pPr>
              <w:bidi/>
            </w:pPr>
            <w:r>
              <w:rPr>
                <w:b/>
                <w:color w:val="FFFFFF"/>
                <w:sz w:val="18"/>
                <w:rtl/>
              </w:rPr>
              <w:t>وضعها الحالي</w:t>
            </w:r>
          </w:p>
        </w:tc>
      </w:tr>
      <w:tr w:rsidR="001D6F4A" w14:paraId="2C7554BB" w14:textId="77777777">
        <w:tc>
          <w:tcPr>
            <w:tcW w:w="2026" w:type="dxa"/>
          </w:tcPr>
          <w:p w14:paraId="7AFECD49" w14:textId="77777777" w:rsidR="001D6F4A" w:rsidRDefault="002C1C3A">
            <w:pPr>
              <w:bidi/>
            </w:pPr>
            <w:r>
              <w:rPr>
                <w:sz w:val="18"/>
                <w:rtl/>
              </w:rPr>
              <w:lastRenderedPageBreak/>
              <w:t>إشعارات الرسائل النصية القصيرة</w:t>
            </w:r>
          </w:p>
        </w:tc>
        <w:tc>
          <w:tcPr>
            <w:tcW w:w="492" w:type="dxa"/>
          </w:tcPr>
          <w:p w14:paraId="1C166D3F" w14:textId="77777777" w:rsidR="001D6F4A" w:rsidRDefault="002C1C3A">
            <w:pPr>
              <w:bidi/>
            </w:pPr>
            <w:r>
              <w:rPr>
                <w:sz w:val="18"/>
                <w:rtl/>
              </w:rPr>
              <w:t>معتمدة.</w:t>
            </w:r>
          </w:p>
        </w:tc>
        <w:tc>
          <w:tcPr>
            <w:tcW w:w="7118" w:type="dxa"/>
          </w:tcPr>
          <w:p w14:paraId="2369C9F4" w14:textId="77777777" w:rsidR="001D6F4A" w:rsidRDefault="002C1C3A">
            <w:pPr>
              <w:bidi/>
            </w:pPr>
            <w:r>
              <w:rPr>
                <w:sz w:val="18"/>
                <w:rtl/>
              </w:rPr>
              <w:t>القناة موجودة في التصميم. ولم يُبنَ محوّلها بعد، وهذا قرار من المشروع.</w:t>
            </w:r>
          </w:p>
        </w:tc>
      </w:tr>
      <w:tr w:rsidR="001D6F4A" w14:paraId="22A27863" w14:textId="77777777">
        <w:tc>
          <w:tcPr>
            <w:tcW w:w="2026" w:type="dxa"/>
            <w:shd w:val="clear" w:color="auto" w:fill="F2F4F7"/>
          </w:tcPr>
          <w:p w14:paraId="2C406187" w14:textId="77777777" w:rsidR="001D6F4A" w:rsidRDefault="002C1C3A">
            <w:pPr>
              <w:bidi/>
            </w:pPr>
            <w:r>
              <w:rPr>
                <w:sz w:val="18"/>
                <w:rtl/>
              </w:rPr>
              <w:t>الدفع المباشر للتحديثات إلى التطبيقات</w:t>
            </w:r>
          </w:p>
        </w:tc>
        <w:tc>
          <w:tcPr>
            <w:tcW w:w="492" w:type="dxa"/>
            <w:shd w:val="clear" w:color="auto" w:fill="F2F4F7"/>
          </w:tcPr>
          <w:p w14:paraId="3CEA387B" w14:textId="77777777" w:rsidR="001D6F4A" w:rsidRDefault="002C1C3A">
            <w:pPr>
              <w:bidi/>
            </w:pPr>
            <w:r>
              <w:rPr>
                <w:sz w:val="18"/>
                <w:rtl/>
              </w:rPr>
              <w:t>معتمدة.</w:t>
            </w:r>
          </w:p>
        </w:tc>
        <w:tc>
          <w:tcPr>
            <w:tcW w:w="7118" w:type="dxa"/>
            <w:shd w:val="clear" w:color="auto" w:fill="F2F4F7"/>
          </w:tcPr>
          <w:p w14:paraId="0085A89E" w14:textId="77777777" w:rsidR="001D6F4A" w:rsidRDefault="002C1C3A">
            <w:pPr>
              <w:bidi/>
            </w:pPr>
            <w:r>
              <w:rPr>
                <w:sz w:val="18"/>
                <w:rtl/>
              </w:rPr>
              <w:t>لا تتضمن النسخة المسلَّمة أي ناقل للدفع المباشر. وتُحدَّث الشاشات بدلاً من ذلك بسؤال الخادم على فترات زمنية. وهذا قرار من المشروع.</w:t>
            </w:r>
          </w:p>
        </w:tc>
      </w:tr>
    </w:tbl>
    <w:p w14:paraId="4DF13047" w14:textId="77777777" w:rsidR="001D6F4A" w:rsidRDefault="001D6F4A"/>
    <w:p w14:paraId="38D5EF9E" w14:textId="77777777" w:rsidR="001D6F4A" w:rsidRDefault="002C1C3A">
      <w:pPr>
        <w:pStyle w:val="Heading1"/>
        <w:bidi/>
      </w:pPr>
      <w:r>
        <w:rPr>
          <w:rtl/>
        </w:rPr>
        <w:t>ماذا يعني هذا للملتقى</w:t>
      </w:r>
    </w:p>
    <w:p w14:paraId="02565E10" w14:textId="77777777" w:rsidR="001D6F4A" w:rsidRDefault="002C1C3A">
      <w:pPr>
        <w:bidi/>
      </w:pPr>
      <w:r>
        <w:rPr>
          <w:sz w:val="21"/>
          <w:rtl/>
        </w:rPr>
        <w:t>ثلاث من عمليات الحذف التسع ظاهرة لكل حاضر: لا شخصية افتراضية تترجم بلغة الإشارة، ولا ترجمة نصية مباشرة، ولا فيديو مباشر. وهي مجتمعة تغيّر ما يقدمه الملتقى لجمهوره في يوم الفعالية، والتزام الإتاحة هو الالتزام الوحيد الذي لا بديل له على الإطلاق. وإذا كان أي من هذه الثلاثة مهماً للوزارة، فينبغي طرحه على SITE بوصفه طلباً لا قبوله بوصفه أمراً محسوماً، لأن كلاً منها حُذف باشتراط لا باستحالة تقنية.</w:t>
      </w:r>
    </w:p>
    <w:p w14:paraId="4663413C" w14:textId="77777777" w:rsidR="001D6F4A" w:rsidRDefault="002C1C3A">
      <w:pPr>
        <w:bidi/>
      </w:pPr>
      <w:r>
        <w:rPr>
          <w:sz w:val="21"/>
          <w:rtl/>
        </w:rPr>
        <w:t>أما البنود الستة الأخرى فهي إما مستبدَلة بما يكافئها، كما في خدمة الذكاء الاصطناعي، وإما مقلَّصة لا مفقودة، كما في الخريطة والتحليلات.</w:t>
      </w:r>
    </w:p>
    <w:sectPr w:rsidR="001D6F4A" w:rsidSect="00034616">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8376336">
    <w:abstractNumId w:val="8"/>
  </w:num>
  <w:num w:numId="2" w16cid:durableId="251203941">
    <w:abstractNumId w:val="6"/>
  </w:num>
  <w:num w:numId="3" w16cid:durableId="129447602">
    <w:abstractNumId w:val="5"/>
  </w:num>
  <w:num w:numId="4" w16cid:durableId="528763304">
    <w:abstractNumId w:val="4"/>
  </w:num>
  <w:num w:numId="5" w16cid:durableId="1584562116">
    <w:abstractNumId w:val="7"/>
  </w:num>
  <w:num w:numId="6" w16cid:durableId="1967925697">
    <w:abstractNumId w:val="3"/>
  </w:num>
  <w:num w:numId="7" w16cid:durableId="10109772">
    <w:abstractNumId w:val="2"/>
  </w:num>
  <w:num w:numId="8" w16cid:durableId="871116509">
    <w:abstractNumId w:val="1"/>
  </w:num>
  <w:num w:numId="9" w16cid:durableId="2070296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F4A"/>
    <w:rsid w:val="0029639D"/>
    <w:rsid w:val="002C1C3A"/>
    <w:rsid w:val="00326F90"/>
    <w:rsid w:val="0060300D"/>
    <w:rsid w:val="008E3F96"/>
    <w:rsid w:val="00AA1D8D"/>
    <w:rsid w:val="00AF26C7"/>
    <w:rsid w:val="00B47730"/>
    <w:rsid w:val="00B86FBF"/>
    <w:rsid w:val="00BE40AE"/>
    <w:rsid w:val="00CB0664"/>
    <w:rsid w:val="00F005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82E322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6FBF"/>
    <w:pPr>
      <w:spacing w:after="100"/>
    </w:pPr>
  </w:style>
  <w:style w:type="paragraph" w:styleId="TOC2">
    <w:name w:val="toc 2"/>
    <w:basedOn w:val="Normal"/>
    <w:next w:val="Normal"/>
    <w:autoRedefine/>
    <w:uiPriority w:val="39"/>
    <w:unhideWhenUsed/>
    <w:rsid w:val="00B86FBF"/>
    <w:pPr>
      <w:spacing w:after="100"/>
      <w:ind w:left="240"/>
    </w:pPr>
  </w:style>
  <w:style w:type="paragraph" w:styleId="TOC3">
    <w:name w:val="toc 3"/>
    <w:basedOn w:val="Normal"/>
    <w:next w:val="Normal"/>
    <w:autoRedefine/>
    <w:uiPriority w:val="39"/>
    <w:unhideWhenUsed/>
    <w:rsid w:val="00B86FBF"/>
    <w:pPr>
      <w:spacing w:after="100"/>
      <w:ind w:left="480"/>
    </w:pPr>
  </w:style>
  <w:style w:type="character" w:styleId="Hyperlink">
    <w:name w:val="Hyperlink"/>
    <w:basedOn w:val="DefaultParagraphFont"/>
    <w:uiPriority w:val="99"/>
    <w:unhideWhenUsed/>
    <w:rsid w:val="00B86F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601</Words>
  <Characters>3097</Characters>
  <Application>Microsoft Office Word</Application>
  <DocSecurity>0</DocSecurity>
  <Lines>102</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2026-09-05T19:13:00Z</dcterms:modified>
  <cp:category/>
</cp:coreProperties>
</file>