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bidi w:val="0"/>
        <w:spacing w:before="120" w:after="0"/>
        <w:ind w:left="0"/>
        <w:shd w:val="clear" w:fill="1F3864"/>
        <w:jc w:val="center"/>
      </w:pPr>
      <w:r>
        <w:rPr>
          <w:rFonts w:ascii="Sakkal Majalla" w:hAnsi="Sakkal Majalla" w:cs="Sakkal Majalla"/>
          <w:b/>
          <w:i w:val="0"/>
          <w:color w:val="FFFFFF"/>
          <w:sz w:val="34"/>
          <w:rtl w:val="0"/>
        </w:rPr>
        <w:t>Response to the Technical Review</w:t>
      </w:r>
    </w:p>
    <w:p>
      <w:pPr>
        <w:bidi w:val="0"/>
        <w:spacing w:before="0" w:after="200"/>
        <w:ind w:left="0"/>
        <w:shd w:val="clear" w:fill="1F3864"/>
        <w:jc w:val="center"/>
      </w:pPr>
      <w:r>
        <w:rPr>
          <w:rFonts w:ascii="Sakkal Majalla" w:hAnsi="Sakkal Majalla" w:cs="Sakkal Majalla"/>
          <w:b/>
          <w:i w:val="0"/>
          <w:color w:val="FFFFFF"/>
          <w:sz w:val="24"/>
          <w:rtl w:val="0"/>
        </w:rPr>
        <w:t>SIMF-HLD-002 MoD HLD External v0.07</w:t>
      </w:r>
    </w:p>
    <w:tbl>
      <w:tblPr>
        <w:tblStyle w:val="TableGrid"/>
        <w:tblW w:type="auto" w:w="0"/>
        <w:tblLayout w:type="fixed"/>
        <w:tblLook w:firstColumn="1" w:firstRow="1" w:lastColumn="0" w:lastRow="0" w:noHBand="0" w:noVBand="1" w:val="04A0"/>
        <w:bidiVisual w:val="0"/>
        <w:tblLayout w:type="fixed"/>
      </w:tblPr>
      <w:tblGrid>
        <w:gridCol w:w="2232"/>
        <w:gridCol w:w="7128"/>
      </w:tblGrid>
      <w:tr>
        <w:tc>
          <w:tcPr>
            <w:tcW w:type="dxa" w:w="2232"/>
          </w:tcPr>
          <w:p>
            <w:pPr>
              <w:bidi w:val="0"/>
              <w:spacing w:before="20" w:after="20"/>
              <w:jc w:val="left"/>
            </w:pPr>
            <w:r>
              <w:rPr>
                <w:rFonts w:ascii="Sakkal Majalla" w:hAnsi="Sakkal Majalla" w:cs="Sakkal Majalla"/>
                <w:b w:val="0"/>
                <w:sz w:val="20"/>
                <w:rtl w:val="0"/>
              </w:rPr>
              <w:t>Document</w:t>
            </w:r>
          </w:p>
        </w:tc>
        <w:tc>
          <w:tcPr>
            <w:tcW w:type="dxa" w:w="7128"/>
          </w:tcPr>
          <w:p>
            <w:pPr>
              <w:bidi w:val="0"/>
              <w:spacing w:before="20" w:after="20"/>
              <w:jc w:val="left"/>
            </w:pPr>
            <w:r>
              <w:rPr>
                <w:rFonts w:ascii="Sakkal Majalla" w:hAnsi="Sakkal Majalla" w:cs="Sakkal Majalla"/>
                <w:b w:val="0"/>
                <w:sz w:val="20"/>
                <w:rtl w:val="0"/>
              </w:rPr>
              <w:t>SIMF-HLD-004 Response to the Technical Review, version 1.0</w:t>
            </w:r>
          </w:p>
        </w:tc>
      </w:tr>
      <w:tr>
        <w:tc>
          <w:tcPr>
            <w:tcW w:type="dxa" w:w="2232"/>
          </w:tcPr>
          <w:p>
            <w:pPr>
              <w:bidi w:val="0"/>
              <w:spacing w:before="20" w:after="20"/>
              <w:jc w:val="left"/>
            </w:pPr>
            <w:r>
              <w:rPr>
                <w:rFonts w:ascii="Sakkal Majalla" w:hAnsi="Sakkal Majalla" w:cs="Sakkal Majalla"/>
                <w:b w:val="0"/>
                <w:sz w:val="20"/>
                <w:rtl w:val="0"/>
              </w:rPr>
              <w:t>Responds to</w:t>
            </w:r>
          </w:p>
        </w:tc>
        <w:tc>
          <w:tcPr>
            <w:tcW w:type="dxa" w:w="7128"/>
          </w:tcPr>
          <w:p>
            <w:pPr>
              <w:bidi w:val="0"/>
              <w:spacing w:before="20" w:after="20"/>
              <w:jc w:val="left"/>
            </w:pPr>
            <w:r>
              <w:rPr>
                <w:rFonts w:ascii="Sakkal Majalla" w:hAnsi="Sakkal Majalla" w:cs="Sakkal Majalla"/>
                <w:b w:val="0"/>
                <w:sz w:val="20"/>
                <w:rtl w:val="0"/>
              </w:rPr>
              <w:t>SIMF-HLD-002 MoD HLD External v0.07, thirteen clarification requests</w:t>
            </w:r>
          </w:p>
        </w:tc>
      </w:tr>
      <w:tr>
        <w:tc>
          <w:tcPr>
            <w:tcW w:type="dxa" w:w="2232"/>
          </w:tcPr>
          <w:p>
            <w:pPr>
              <w:bidi w:val="0"/>
              <w:spacing w:before="20" w:after="20"/>
              <w:jc w:val="left"/>
            </w:pPr>
            <w:r>
              <w:rPr>
                <w:rFonts w:ascii="Sakkal Majalla" w:hAnsi="Sakkal Majalla" w:cs="Sakkal Majalla"/>
                <w:b w:val="0"/>
                <w:sz w:val="20"/>
                <w:rtl w:val="0"/>
              </w:rPr>
              <w:t>Companion document</w:t>
            </w:r>
          </w:p>
        </w:tc>
        <w:tc>
          <w:tcPr>
            <w:tcW w:type="dxa" w:w="7128"/>
          </w:tcPr>
          <w:p>
            <w:pPr>
              <w:bidi w:val="0"/>
              <w:spacing w:before="20" w:after="20"/>
              <w:jc w:val="left"/>
            </w:pPr>
            <w:r>
              <w:rPr>
                <w:rFonts w:ascii="Sakkal Majalla" w:hAnsi="Sakkal Majalla" w:cs="Sakkal Majalla"/>
                <w:b w:val="0"/>
                <w:sz w:val="20"/>
                <w:rtl w:val="0"/>
              </w:rPr>
              <w:t>SIMF-HLD-004 MoD HLD External v1.0, the updated High Level Design</w:t>
            </w:r>
          </w:p>
        </w:tc>
      </w:tr>
      <w:tr>
        <w:tc>
          <w:tcPr>
            <w:tcW w:type="dxa" w:w="2232"/>
          </w:tcPr>
          <w:p>
            <w:pPr>
              <w:bidi w:val="0"/>
              <w:spacing w:before="20" w:after="20"/>
              <w:jc w:val="left"/>
            </w:pPr>
            <w:r>
              <w:rPr>
                <w:rFonts w:ascii="Sakkal Majalla" w:hAnsi="Sakkal Majalla" w:cs="Sakkal Majalla"/>
                <w:b w:val="0"/>
                <w:sz w:val="20"/>
                <w:rtl w:val="0"/>
              </w:rPr>
              <w:t>Subject</w:t>
            </w:r>
          </w:p>
        </w:tc>
        <w:tc>
          <w:tcPr>
            <w:tcW w:type="dxa" w:w="7128"/>
          </w:tcPr>
          <w:p>
            <w:pPr>
              <w:bidi w:val="0"/>
              <w:spacing w:before="20" w:after="20"/>
              <w:jc w:val="left"/>
            </w:pPr>
            <w:r>
              <w:rPr>
                <w:rFonts w:ascii="Sakkal Majalla" w:hAnsi="Sakkal Majalla" w:cs="Sakkal Majalla"/>
                <w:b w:val="0"/>
                <w:sz w:val="20"/>
                <w:rtl w:val="0"/>
              </w:rPr>
              <w:t>Saudi International Maritime Forum (SIMF) platform</w:t>
            </w:r>
          </w:p>
        </w:tc>
      </w:tr>
      <w:tr>
        <w:tc>
          <w:tcPr>
            <w:tcW w:type="dxa" w:w="2232"/>
          </w:tcPr>
          <w:p>
            <w:pPr>
              <w:bidi w:val="0"/>
              <w:spacing w:before="20" w:after="20"/>
              <w:jc w:val="left"/>
            </w:pPr>
            <w:r>
              <w:rPr>
                <w:rFonts w:ascii="Sakkal Majalla" w:hAnsi="Sakkal Majalla" w:cs="Sakkal Majalla"/>
                <w:b w:val="0"/>
                <w:sz w:val="20"/>
                <w:rtl w:val="0"/>
              </w:rPr>
              <w:t>Prepared by</w:t>
            </w:r>
          </w:p>
        </w:tc>
        <w:tc>
          <w:tcPr>
            <w:tcW w:type="dxa" w:w="7128"/>
          </w:tcPr>
          <w:p>
            <w:pPr>
              <w:bidi w:val="0"/>
              <w:spacing w:before="20" w:after="20"/>
              <w:jc w:val="left"/>
            </w:pPr>
            <w:r>
              <w:rPr>
                <w:rFonts w:ascii="Sakkal Majalla" w:hAnsi="Sakkal Majalla" w:cs="Sakkal Majalla"/>
                <w:b w:val="0"/>
                <w:sz w:val="20"/>
                <w:rtl w:val="0"/>
              </w:rPr>
              <w:t>Apexium</w:t>
            </w:r>
          </w:p>
        </w:tc>
      </w:tr>
      <w:tr>
        <w:tc>
          <w:tcPr>
            <w:tcW w:type="dxa" w:w="2232"/>
          </w:tcPr>
          <w:p>
            <w:pPr>
              <w:bidi w:val="0"/>
              <w:spacing w:before="20" w:after="20"/>
              <w:jc w:val="left"/>
            </w:pPr>
            <w:r>
              <w:rPr>
                <w:rFonts w:ascii="Sakkal Majalla" w:hAnsi="Sakkal Majalla" w:cs="Sakkal Majalla"/>
                <w:b w:val="0"/>
                <w:sz w:val="20"/>
                <w:rtl w:val="0"/>
              </w:rPr>
              <w:t>Classification</w:t>
            </w:r>
          </w:p>
        </w:tc>
        <w:tc>
          <w:tcPr>
            <w:tcW w:type="dxa" w:w="7128"/>
          </w:tcPr>
          <w:p>
            <w:pPr>
              <w:bidi w:val="0"/>
              <w:spacing w:before="20" w:after="20"/>
              <w:jc w:val="left"/>
            </w:pPr>
            <w:r>
              <w:rPr>
                <w:rFonts w:ascii="Sakkal Majalla" w:hAnsi="Sakkal Majalla" w:cs="Sakkal Majalla"/>
                <w:b w:val="0"/>
                <w:sz w:val="20"/>
                <w:rtl w:val="0"/>
              </w:rPr>
              <w:t>Public</w:t>
            </w:r>
          </w:p>
        </w:tc>
      </w:tr>
    </w:tbl>
    <w:p>
      <w:pPr>
        <w:bidi w:val="0"/>
        <w:spacing w:before="0" w:after="80"/>
        <w:ind w:left="0"/>
        <w:jc w:val="left"/>
      </w:pPr>
      <w:r>
        <w:rPr>
          <w:rFonts w:ascii="Sakkal Majalla" w:hAnsi="Sakkal Majalla" w:cs="Sakkal Majalla"/>
          <w:b w:val="0"/>
          <w:i w:val="0"/>
          <w:sz w:val="12"/>
          <w:rtl w:val="0"/>
        </w:rPr>
      </w:r>
    </w:p>
    <w:p>
      <w:pPr>
        <w:bidi w:val="0"/>
        <w:spacing w:before="160" w:after="80"/>
        <w:ind w:left="0"/>
        <w:jc w:val="left"/>
      </w:pPr>
      <w:r>
        <w:rPr>
          <w:rFonts w:ascii="Sakkal Majalla" w:hAnsi="Sakkal Majalla" w:cs="Sakkal Majalla"/>
          <w:b/>
          <w:i w:val="0"/>
          <w:color w:val="1F3864"/>
          <w:sz w:val="26"/>
          <w:rtl w:val="0"/>
        </w:rPr>
        <w:t>Purpose</w:t>
      </w:r>
    </w:p>
    <w:p>
      <w:pPr>
        <w:bidi w:val="0"/>
        <w:spacing w:before="0" w:after="120"/>
        <w:ind w:left="0"/>
        <w:jc w:val="left"/>
      </w:pPr>
      <w:r>
        <w:rPr>
          <w:rFonts w:ascii="Sakkal Majalla" w:hAnsi="Sakkal Majalla" w:cs="Sakkal Majalla"/>
          <w:b w:val="0"/>
          <w:i w:val="0"/>
          <w:sz w:val="22"/>
          <w:rtl w:val="0"/>
        </w:rPr>
        <w:t>This document answers each of the thirteen clarification requests raised in the technical review of SIMF-HLD-002. Every request is reproduced exactly as it was received, in bold. The SIMF response follows immediately underneath it in a smaller font, so the answer is always distinguishable from the question. Three diagrams were requested; they are reproduced at full page size in the annex.</w:t>
      </w:r>
    </w:p>
    <w:p>
      <w:pPr>
        <w:bidi w:val="0"/>
        <w:spacing w:before="0" w:after="160"/>
        <w:ind w:left="0"/>
        <w:jc w:val="left"/>
      </w:pPr>
      <w:r>
        <w:rPr>
          <w:rFonts w:ascii="Sakkal Majalla" w:hAnsi="Sakkal Majalla" w:cs="Sakkal Majalla"/>
          <w:b w:val="0"/>
          <w:i w:val="0"/>
          <w:sz w:val="22"/>
          <w:rtl w:val="0"/>
        </w:rPr>
        <w:t>Two answers correct statements that appeared in v0.07. First, artificial intelligence no longer runs in the cloud: every inference is performed on an on-premises service inside the SSA zone. Second, the direct connection drawn between the load balancer and the AI service was an error in the v0.07 diagram and has been removed. Both corrections are carried into the updated design document.</w:t>
      </w:r>
    </w:p>
    <w:p>
      <w:pPr>
        <w:bidi w:val="0"/>
        <w:spacing w:before="120" w:after="100"/>
        <w:ind w:left="0"/>
        <w:jc w:val="left"/>
      </w:pPr>
      <w:r>
        <w:rPr>
          <w:rFonts w:ascii="Sakkal Majalla" w:hAnsi="Sakkal Majalla" w:cs="Sakkal Majalla"/>
          <w:b/>
          <w:i w:val="0"/>
          <w:color w:val="1F3864"/>
          <w:sz w:val="26"/>
          <w:rtl w:val="0"/>
        </w:rPr>
        <w:t>Summary of the responses</w:t>
      </w:r>
    </w:p>
    <w:tbl>
      <w:tblPr>
        <w:tblStyle w:val="TableGrid"/>
        <w:tblW w:type="auto" w:w="0"/>
        <w:tblLayout w:type="fixed"/>
        <w:tblLook w:firstColumn="1" w:firstRow="1" w:lastColumn="0" w:lastRow="0" w:noHBand="0" w:noVBand="1" w:val="04A0"/>
        <w:bidiVisual w:val="0"/>
        <w:tblLayout w:type="fixed"/>
      </w:tblPr>
      <w:tblGrid>
        <w:gridCol w:w="504"/>
        <w:gridCol w:w="2952"/>
        <w:gridCol w:w="5904"/>
      </w:tblGrid>
      <w:tr>
        <w:trPr>
          <w:tblHeader/>
        </w:trPr>
        <w:tc>
          <w:tcPr>
            <w:tcW w:type="dxa" w:w="504"/>
            <w:shd w:val="clear" w:fill="1F3864"/>
          </w:tcPr>
          <w:p>
            <w:pPr>
              <w:bidi w:val="0"/>
              <w:spacing w:before="20" w:after="20"/>
              <w:jc w:val="left"/>
            </w:pPr>
            <w:r>
              <w:rPr>
                <w:rFonts w:ascii="Sakkal Majalla" w:hAnsi="Sakkal Majalla" w:cs="Sakkal Majalla"/>
                <w:b/>
                <w:color w:val="FFFFFF"/>
                <w:sz w:val="19"/>
                <w:rtl w:val="0"/>
              </w:rPr>
              <w:t>#</w:t>
            </w:r>
          </w:p>
        </w:tc>
        <w:tc>
          <w:tcPr>
            <w:tcW w:type="dxa" w:w="2952"/>
            <w:shd w:val="clear" w:fill="1F3864"/>
          </w:tcPr>
          <w:p>
            <w:pPr>
              <w:bidi w:val="0"/>
              <w:spacing w:before="20" w:after="20"/>
              <w:jc w:val="left"/>
            </w:pPr>
            <w:r>
              <w:rPr>
                <w:rFonts w:ascii="Sakkal Majalla" w:hAnsi="Sakkal Majalla" w:cs="Sakkal Majalla"/>
                <w:b/>
                <w:color w:val="FFFFFF"/>
                <w:sz w:val="19"/>
                <w:rtl w:val="0"/>
              </w:rPr>
              <w:t>Subject of the request</w:t>
            </w:r>
          </w:p>
        </w:tc>
        <w:tc>
          <w:tcPr>
            <w:tcW w:type="dxa" w:w="5904"/>
            <w:shd w:val="clear" w:fill="1F3864"/>
          </w:tcPr>
          <w:p>
            <w:pPr>
              <w:bidi w:val="0"/>
              <w:spacing w:before="20" w:after="20"/>
              <w:jc w:val="left"/>
            </w:pPr>
            <w:r>
              <w:rPr>
                <w:rFonts w:ascii="Sakkal Majalla" w:hAnsi="Sakkal Majalla" w:cs="Sakkal Majalla"/>
                <w:b/>
                <w:color w:val="FFFFFF"/>
                <w:sz w:val="19"/>
                <w:rtl w:val="0"/>
              </w:rPr>
              <w:t>Response in one line</w:t>
            </w:r>
          </w:p>
        </w:tc>
      </w:tr>
      <w:tr>
        <w:tc>
          <w:tcPr>
            <w:tcW w:type="dxa" w:w="504"/>
          </w:tcPr>
          <w:p>
            <w:pPr>
              <w:bidi w:val="0"/>
              <w:spacing w:before="20" w:after="20"/>
              <w:jc w:val="left"/>
            </w:pPr>
            <w:r>
              <w:rPr>
                <w:rFonts w:ascii="Sakkal Majalla" w:hAnsi="Sakkal Majalla" w:cs="Sakkal Majalla"/>
                <w:b w:val="0"/>
                <w:sz w:val="19"/>
                <w:rtl w:val="0"/>
              </w:rPr>
              <w:t>1</w:t>
            </w:r>
          </w:p>
        </w:tc>
        <w:tc>
          <w:tcPr>
            <w:tcW w:type="dxa" w:w="2952"/>
          </w:tcPr>
          <w:p>
            <w:pPr>
              <w:bidi w:val="0"/>
              <w:spacing w:before="20" w:after="20"/>
              <w:jc w:val="left"/>
            </w:pPr>
            <w:r>
              <w:rPr>
                <w:rFonts w:ascii="Sakkal Majalla" w:hAnsi="Sakkal Majalla" w:cs="Sakkal Majalla"/>
                <w:b w:val="0"/>
                <w:sz w:val="19"/>
                <w:rtl w:val="0"/>
              </w:rPr>
              <w:t>Two tier or three tier, and tier deployment</w:t>
            </w:r>
          </w:p>
        </w:tc>
        <w:tc>
          <w:tcPr>
            <w:tcW w:type="dxa" w:w="5904"/>
          </w:tcPr>
          <w:p>
            <w:pPr>
              <w:bidi w:val="0"/>
              <w:spacing w:before="20" w:after="20"/>
              <w:jc w:val="left"/>
            </w:pPr>
            <w:r>
              <w:rPr>
                <w:rFonts w:ascii="Sakkal Majalla" w:hAnsi="Sakkal Majalla" w:cs="Sakkal Majalla"/>
                <w:b w:val="0"/>
                <w:sz w:val="19"/>
                <w:rtl w:val="0"/>
              </w:rPr>
              <w:t>Three tier. Presentation, application and data tiers are separate servers in production.</w:t>
            </w:r>
          </w:p>
        </w:tc>
      </w:tr>
      <w:tr>
        <w:tc>
          <w:tcPr>
            <w:tcW w:type="dxa" w:w="504"/>
          </w:tcPr>
          <w:p>
            <w:pPr>
              <w:bidi w:val="0"/>
              <w:spacing w:before="20" w:after="20"/>
              <w:jc w:val="left"/>
            </w:pPr>
            <w:r>
              <w:rPr>
                <w:rFonts w:ascii="Sakkal Majalla" w:hAnsi="Sakkal Majalla" w:cs="Sakkal Majalla"/>
                <w:b w:val="0"/>
                <w:sz w:val="19"/>
                <w:rtl w:val="0"/>
              </w:rPr>
              <w:t>2</w:t>
            </w:r>
          </w:p>
        </w:tc>
        <w:tc>
          <w:tcPr>
            <w:tcW w:type="dxa" w:w="2952"/>
          </w:tcPr>
          <w:p>
            <w:pPr>
              <w:bidi w:val="0"/>
              <w:spacing w:before="20" w:after="20"/>
              <w:jc w:val="left"/>
            </w:pPr>
            <w:r>
              <w:rPr>
                <w:rFonts w:ascii="Sakkal Majalla" w:hAnsi="Sakkal Majalla" w:cs="Sakkal Majalla"/>
                <w:b w:val="0"/>
                <w:sz w:val="19"/>
                <w:rtl w:val="0"/>
              </w:rPr>
              <w:t>YouTube live stream flow</w:t>
            </w:r>
          </w:p>
        </w:tc>
        <w:tc>
          <w:tcPr>
            <w:tcW w:type="dxa" w:w="5904"/>
          </w:tcPr>
          <w:p>
            <w:pPr>
              <w:bidi w:val="0"/>
              <w:spacing w:before="20" w:after="20"/>
              <w:jc w:val="left"/>
            </w:pPr>
            <w:r>
              <w:rPr>
                <w:rFonts w:ascii="Sakkal Majalla" w:hAnsi="Sakkal Majalla" w:cs="Sakkal Majalla"/>
                <w:b w:val="0"/>
                <w:sz w:val="19"/>
                <w:rtl w:val="0"/>
              </w:rPr>
              <w:t>Delivered directly from YouTube to the device. It is not routed through the backend.</w:t>
            </w:r>
          </w:p>
        </w:tc>
      </w:tr>
      <w:tr>
        <w:tc>
          <w:tcPr>
            <w:tcW w:type="dxa" w:w="504"/>
          </w:tcPr>
          <w:p>
            <w:pPr>
              <w:bidi w:val="0"/>
              <w:spacing w:before="20" w:after="20"/>
              <w:jc w:val="left"/>
            </w:pPr>
            <w:r>
              <w:rPr>
                <w:rFonts w:ascii="Sakkal Majalla" w:hAnsi="Sakkal Majalla" w:cs="Sakkal Majalla"/>
                <w:b w:val="0"/>
                <w:sz w:val="19"/>
                <w:rtl w:val="0"/>
              </w:rPr>
              <w:t>3</w:t>
            </w:r>
          </w:p>
        </w:tc>
        <w:tc>
          <w:tcPr>
            <w:tcW w:type="dxa" w:w="2952"/>
          </w:tcPr>
          <w:p>
            <w:pPr>
              <w:bidi w:val="0"/>
              <w:spacing w:before="20" w:after="20"/>
              <w:jc w:val="left"/>
            </w:pPr>
            <w:r>
              <w:rPr>
                <w:rFonts w:ascii="Sakkal Majalla" w:hAnsi="Sakkal Majalla" w:cs="Sakkal Majalla"/>
                <w:b w:val="0"/>
                <w:sz w:val="19"/>
                <w:rtl w:val="0"/>
              </w:rPr>
              <w:t>Embed only, or YouTube APIs</w:t>
            </w:r>
          </w:p>
        </w:tc>
        <w:tc>
          <w:tcPr>
            <w:tcW w:type="dxa" w:w="5904"/>
          </w:tcPr>
          <w:p>
            <w:pPr>
              <w:bidi w:val="0"/>
              <w:spacing w:before="20" w:after="20"/>
              <w:jc w:val="left"/>
            </w:pPr>
            <w:r>
              <w:rPr>
                <w:rFonts w:ascii="Sakkal Majalla" w:hAnsi="Sakkal Majalla" w:cs="Sakkal Majalla"/>
                <w:b w:val="0"/>
                <w:sz w:val="19"/>
                <w:rtl w:val="0"/>
              </w:rPr>
              <w:t>Embed only, plus one caption retrieval call. SIMF creates and manages no stream.</w:t>
            </w:r>
          </w:p>
        </w:tc>
      </w:tr>
      <w:tr>
        <w:tc>
          <w:tcPr>
            <w:tcW w:type="dxa" w:w="504"/>
          </w:tcPr>
          <w:p>
            <w:pPr>
              <w:bidi w:val="0"/>
              <w:spacing w:before="20" w:after="20"/>
              <w:jc w:val="left"/>
            </w:pPr>
            <w:r>
              <w:rPr>
                <w:rFonts w:ascii="Sakkal Majalla" w:hAnsi="Sakkal Majalla" w:cs="Sakkal Majalla"/>
                <w:b w:val="0"/>
                <w:sz w:val="19"/>
                <w:rtl w:val="0"/>
              </w:rPr>
              <w:t>4</w:t>
            </w:r>
          </w:p>
        </w:tc>
        <w:tc>
          <w:tcPr>
            <w:tcW w:type="dxa" w:w="2952"/>
          </w:tcPr>
          <w:p>
            <w:pPr>
              <w:bidi w:val="0"/>
              <w:spacing w:before="20" w:after="20"/>
              <w:jc w:val="left"/>
            </w:pPr>
            <w:r>
              <w:rPr>
                <w:rFonts w:ascii="Sakkal Majalla" w:hAnsi="Sakkal Majalla" w:cs="Sakkal Majalla"/>
                <w:b w:val="0"/>
                <w:sz w:val="19"/>
                <w:rtl w:val="0"/>
              </w:rPr>
              <w:t>AI and caption API outbound flow</w:t>
            </w:r>
          </w:p>
        </w:tc>
        <w:tc>
          <w:tcPr>
            <w:tcW w:type="dxa" w:w="5904"/>
          </w:tcPr>
          <w:p>
            <w:pPr>
              <w:bidi w:val="0"/>
              <w:spacing w:before="20" w:after="20"/>
              <w:jc w:val="left"/>
            </w:pPr>
            <w:r>
              <w:rPr>
                <w:rFonts w:ascii="Sakkal Majalla" w:hAnsi="Sakkal Majalla" w:cs="Sakkal Majalla"/>
                <w:b w:val="0"/>
                <w:sz w:val="19"/>
                <w:rtl w:val="0"/>
              </w:rPr>
              <w:t>There is no outbound AI flow. AI is on-premises. Only the caption call goes out, carrying a public video id.</w:t>
            </w:r>
          </w:p>
        </w:tc>
      </w:tr>
      <w:tr>
        <w:tc>
          <w:tcPr>
            <w:tcW w:type="dxa" w:w="504"/>
          </w:tcPr>
          <w:p>
            <w:pPr>
              <w:bidi w:val="0"/>
              <w:spacing w:before="20" w:after="20"/>
              <w:jc w:val="left"/>
            </w:pPr>
            <w:r>
              <w:rPr>
                <w:rFonts w:ascii="Sakkal Majalla" w:hAnsi="Sakkal Majalla" w:cs="Sakkal Majalla"/>
                <w:b w:val="0"/>
                <w:sz w:val="19"/>
                <w:rtl w:val="0"/>
              </w:rPr>
              <w:t>5</w:t>
            </w:r>
          </w:p>
        </w:tc>
        <w:tc>
          <w:tcPr>
            <w:tcW w:type="dxa" w:w="2952"/>
          </w:tcPr>
          <w:p>
            <w:pPr>
              <w:bidi w:val="0"/>
              <w:spacing w:before="20" w:after="20"/>
              <w:jc w:val="left"/>
            </w:pPr>
            <w:r>
              <w:rPr>
                <w:rFonts w:ascii="Sakkal Majalla" w:hAnsi="Sakkal Majalla" w:cs="Sakkal Majalla"/>
                <w:b w:val="0"/>
                <w:sz w:val="19"/>
                <w:rtl w:val="0"/>
              </w:rPr>
              <w:t>Authentication and e-mailed passwords</w:t>
            </w:r>
          </w:p>
        </w:tc>
        <w:tc>
          <w:tcPr>
            <w:tcW w:type="dxa" w:w="5904"/>
          </w:tcPr>
          <w:p>
            <w:pPr>
              <w:bidi w:val="0"/>
              <w:spacing w:before="20" w:after="20"/>
              <w:jc w:val="left"/>
            </w:pPr>
            <w:r>
              <w:rPr>
                <w:rFonts w:ascii="Sakkal Majalla" w:hAnsi="Sakkal Majalla" w:cs="Sakkal Majalla"/>
                <w:b w:val="0"/>
                <w:sz w:val="19"/>
                <w:rtl w:val="0"/>
              </w:rPr>
              <w:t>Passwords are stored as PBKDF2 hashes. No password is ever e-mailed. Forced change is enforced.</w:t>
            </w:r>
          </w:p>
        </w:tc>
      </w:tr>
      <w:tr>
        <w:tc>
          <w:tcPr>
            <w:tcW w:type="dxa" w:w="504"/>
          </w:tcPr>
          <w:p>
            <w:pPr>
              <w:bidi w:val="0"/>
              <w:spacing w:before="20" w:after="20"/>
              <w:jc w:val="left"/>
            </w:pPr>
            <w:r>
              <w:rPr>
                <w:rFonts w:ascii="Sakkal Majalla" w:hAnsi="Sakkal Majalla" w:cs="Sakkal Majalla"/>
                <w:b w:val="0"/>
                <w:sz w:val="19"/>
                <w:rtl w:val="0"/>
              </w:rPr>
              <w:t>6</w:t>
            </w:r>
          </w:p>
        </w:tc>
        <w:tc>
          <w:tcPr>
            <w:tcW w:type="dxa" w:w="2952"/>
          </w:tcPr>
          <w:p>
            <w:pPr>
              <w:bidi w:val="0"/>
              <w:spacing w:before="20" w:after="20"/>
              <w:jc w:val="left"/>
            </w:pPr>
            <w:r>
              <w:rPr>
                <w:rFonts w:ascii="Sakkal Majalla" w:hAnsi="Sakkal Majalla" w:cs="Sakkal Majalla"/>
                <w:b w:val="0"/>
                <w:sz w:val="19"/>
                <w:rtl w:val="0"/>
              </w:rPr>
              <w:t>Purpose and content of the file share</w:t>
            </w:r>
          </w:p>
        </w:tc>
        <w:tc>
          <w:tcPr>
            <w:tcW w:type="dxa" w:w="5904"/>
          </w:tcPr>
          <w:p>
            <w:pPr>
              <w:bidi w:val="0"/>
              <w:spacing w:before="20" w:after="20"/>
              <w:jc w:val="left"/>
            </w:pPr>
            <w:r>
              <w:rPr>
                <w:rFonts w:ascii="Sakkal Majalla" w:hAnsi="Sakkal Majalla" w:cs="Sakkal Majalla"/>
                <w:b w:val="0"/>
                <w:sz w:val="19"/>
                <w:rtl w:val="0"/>
              </w:rPr>
              <w:t>Binary content the database must not hold. 18 categories, 4 tiers, 4 encrypted at rest.</w:t>
            </w:r>
          </w:p>
        </w:tc>
      </w:tr>
      <w:tr>
        <w:tc>
          <w:tcPr>
            <w:tcW w:type="dxa" w:w="504"/>
          </w:tcPr>
          <w:p>
            <w:pPr>
              <w:bidi w:val="0"/>
              <w:spacing w:before="20" w:after="20"/>
              <w:jc w:val="left"/>
            </w:pPr>
            <w:r>
              <w:rPr>
                <w:rFonts w:ascii="Sakkal Majalla" w:hAnsi="Sakkal Majalla" w:cs="Sakkal Majalla"/>
                <w:b w:val="0"/>
                <w:sz w:val="19"/>
                <w:rtl w:val="0"/>
              </w:rPr>
              <w:t>7</w:t>
            </w:r>
          </w:p>
        </w:tc>
        <w:tc>
          <w:tcPr>
            <w:tcW w:type="dxa" w:w="2952"/>
          </w:tcPr>
          <w:p>
            <w:pPr>
              <w:bidi w:val="0"/>
              <w:spacing w:before="20" w:after="20"/>
              <w:jc w:val="left"/>
            </w:pPr>
            <w:r>
              <w:rPr>
                <w:rFonts w:ascii="Sakkal Majalla" w:hAnsi="Sakkal Majalla" w:cs="Sakkal Majalla"/>
                <w:b w:val="0"/>
                <w:sz w:val="19"/>
                <w:rtl w:val="0"/>
              </w:rPr>
              <w:t>Sequence diagrams</w:t>
            </w:r>
          </w:p>
        </w:tc>
        <w:tc>
          <w:tcPr>
            <w:tcW w:type="dxa" w:w="5904"/>
          </w:tcPr>
          <w:p>
            <w:pPr>
              <w:bidi w:val="0"/>
              <w:spacing w:before="20" w:after="20"/>
              <w:jc w:val="left"/>
            </w:pPr>
            <w:r>
              <w:rPr>
                <w:rFonts w:ascii="Sakkal Majalla" w:hAnsi="Sakkal Majalla" w:cs="Sakkal Majalla"/>
                <w:b w:val="0"/>
                <w:sz w:val="19"/>
                <w:rtl w:val="0"/>
              </w:rPr>
              <w:t>Provided. Figure 2 for components and interaction, Figure 3 for the workflows.</w:t>
            </w:r>
          </w:p>
        </w:tc>
      </w:tr>
      <w:tr>
        <w:tc>
          <w:tcPr>
            <w:tcW w:type="dxa" w:w="504"/>
          </w:tcPr>
          <w:p>
            <w:pPr>
              <w:bidi w:val="0"/>
              <w:spacing w:before="20" w:after="20"/>
              <w:jc w:val="left"/>
            </w:pPr>
            <w:r>
              <w:rPr>
                <w:rFonts w:ascii="Sakkal Majalla" w:hAnsi="Sakkal Majalla" w:cs="Sakkal Majalla"/>
                <w:b w:val="0"/>
                <w:sz w:val="19"/>
                <w:rtl w:val="0"/>
              </w:rPr>
              <w:t>8</w:t>
            </w:r>
          </w:p>
        </w:tc>
        <w:tc>
          <w:tcPr>
            <w:tcW w:type="dxa" w:w="2952"/>
          </w:tcPr>
          <w:p>
            <w:pPr>
              <w:bidi w:val="0"/>
              <w:spacing w:before="20" w:after="20"/>
              <w:jc w:val="left"/>
            </w:pPr>
            <w:r>
              <w:rPr>
                <w:rFonts w:ascii="Sakkal Majalla" w:hAnsi="Sakkal Majalla" w:cs="Sakkal Majalla"/>
                <w:b w:val="0"/>
                <w:sz w:val="19"/>
                <w:rtl w:val="0"/>
              </w:rPr>
              <w:t>Mobile enrolment and the ES256 key</w:t>
            </w:r>
          </w:p>
        </w:tc>
        <w:tc>
          <w:tcPr>
            <w:tcW w:type="dxa" w:w="5904"/>
          </w:tcPr>
          <w:p>
            <w:pPr>
              <w:bidi w:val="0"/>
              <w:spacing w:before="20" w:after="20"/>
              <w:jc w:val="left"/>
            </w:pPr>
            <w:r>
              <w:rPr>
                <w:rFonts w:ascii="Sakkal Majalla" w:hAnsi="Sakkal Majalla" w:cs="Sakkal Majalla"/>
                <w:b w:val="0"/>
                <w:sz w:val="19"/>
                <w:rtl w:val="0"/>
              </w:rPr>
              <w:t>Key pair generated on the device, only the public key registered, challenge signed, revocable.</w:t>
            </w:r>
          </w:p>
        </w:tc>
      </w:tr>
      <w:tr>
        <w:tc>
          <w:tcPr>
            <w:tcW w:type="dxa" w:w="504"/>
          </w:tcPr>
          <w:p>
            <w:pPr>
              <w:bidi w:val="0"/>
              <w:spacing w:before="20" w:after="20"/>
              <w:jc w:val="left"/>
            </w:pPr>
            <w:r>
              <w:rPr>
                <w:rFonts w:ascii="Sakkal Majalla" w:hAnsi="Sakkal Majalla" w:cs="Sakkal Majalla"/>
                <w:b w:val="0"/>
                <w:sz w:val="19"/>
                <w:rtl w:val="0"/>
              </w:rPr>
              <w:t>9</w:t>
            </w:r>
          </w:p>
        </w:tc>
        <w:tc>
          <w:tcPr>
            <w:tcW w:type="dxa" w:w="2952"/>
          </w:tcPr>
          <w:p>
            <w:pPr>
              <w:bidi w:val="0"/>
              <w:spacing w:before="20" w:after="20"/>
              <w:jc w:val="left"/>
            </w:pPr>
            <w:r>
              <w:rPr>
                <w:rFonts w:ascii="Sakkal Majalla" w:hAnsi="Sakkal Majalla" w:cs="Sakkal Majalla"/>
                <w:b w:val="0"/>
                <w:sz w:val="19"/>
                <w:rtl w:val="0"/>
              </w:rPr>
              <w:t>Data shared with external services</w:t>
            </w:r>
          </w:p>
        </w:tc>
        <w:tc>
          <w:tcPr>
            <w:tcW w:type="dxa" w:w="5904"/>
          </w:tcPr>
          <w:p>
            <w:pPr>
              <w:bidi w:val="0"/>
              <w:spacing w:before="20" w:after="20"/>
              <w:jc w:val="left"/>
            </w:pPr>
            <w:r>
              <w:rPr>
                <w:rFonts w:ascii="Sakkal Majalla" w:hAnsi="Sakkal Majalla" w:cs="Sakkal Majalla"/>
                <w:b w:val="0"/>
                <w:sz w:val="19"/>
                <w:rtl w:val="0"/>
              </w:rPr>
              <w:t>Only YouTube. No personal or confidential information is transferred outside the ministry.</w:t>
            </w:r>
          </w:p>
        </w:tc>
      </w:tr>
      <w:tr>
        <w:tc>
          <w:tcPr>
            <w:tcW w:type="dxa" w:w="504"/>
          </w:tcPr>
          <w:p>
            <w:pPr>
              <w:bidi w:val="0"/>
              <w:spacing w:before="20" w:after="20"/>
              <w:jc w:val="left"/>
            </w:pPr>
            <w:r>
              <w:rPr>
                <w:rFonts w:ascii="Sakkal Majalla" w:hAnsi="Sakkal Majalla" w:cs="Sakkal Majalla"/>
                <w:b w:val="0"/>
                <w:sz w:val="19"/>
                <w:rtl w:val="0"/>
              </w:rPr>
              <w:t>10</w:t>
            </w:r>
          </w:p>
        </w:tc>
        <w:tc>
          <w:tcPr>
            <w:tcW w:type="dxa" w:w="2952"/>
          </w:tcPr>
          <w:p>
            <w:pPr>
              <w:bidi w:val="0"/>
              <w:spacing w:before="20" w:after="20"/>
              <w:jc w:val="left"/>
            </w:pPr>
            <w:r>
              <w:rPr>
                <w:rFonts w:ascii="Sakkal Majalla" w:hAnsi="Sakkal Majalla" w:cs="Sakkal Majalla"/>
                <w:b w:val="0"/>
                <w:sz w:val="19"/>
                <w:rtl w:val="0"/>
              </w:rPr>
              <w:t>SIEM and SMTP in the diagram</w:t>
            </w:r>
          </w:p>
        </w:tc>
        <w:tc>
          <w:tcPr>
            <w:tcW w:type="dxa" w:w="5904"/>
          </w:tcPr>
          <w:p>
            <w:pPr>
              <w:bidi w:val="0"/>
              <w:spacing w:before="20" w:after="20"/>
              <w:jc w:val="left"/>
            </w:pPr>
            <w:r>
              <w:rPr>
                <w:rFonts w:ascii="Sakkal Majalla" w:hAnsi="Sakkal Majalla" w:cs="Sakkal Majalla"/>
                <w:b w:val="0"/>
                <w:sz w:val="19"/>
                <w:rtl w:val="0"/>
              </w:rPr>
              <w:t>Both internal to the SSA zone. SMTP on 587, SIEM on 6514. The matrix is updated.</w:t>
            </w:r>
          </w:p>
        </w:tc>
      </w:tr>
      <w:tr>
        <w:tc>
          <w:tcPr>
            <w:tcW w:type="dxa" w:w="504"/>
          </w:tcPr>
          <w:p>
            <w:pPr>
              <w:bidi w:val="0"/>
              <w:spacing w:before="20" w:after="20"/>
              <w:jc w:val="left"/>
            </w:pPr>
            <w:r>
              <w:rPr>
                <w:rFonts w:ascii="Sakkal Majalla" w:hAnsi="Sakkal Majalla" w:cs="Sakkal Majalla"/>
                <w:b w:val="0"/>
                <w:sz w:val="19"/>
                <w:rtl w:val="0"/>
              </w:rPr>
              <w:t>11</w:t>
            </w:r>
          </w:p>
        </w:tc>
        <w:tc>
          <w:tcPr>
            <w:tcW w:type="dxa" w:w="2952"/>
          </w:tcPr>
          <w:p>
            <w:pPr>
              <w:bidi w:val="0"/>
              <w:spacing w:before="20" w:after="20"/>
              <w:jc w:val="left"/>
            </w:pPr>
            <w:r>
              <w:rPr>
                <w:rFonts w:ascii="Sakkal Majalla" w:hAnsi="Sakkal Majalla" w:cs="Sakkal Majalla"/>
                <w:b w:val="0"/>
                <w:sz w:val="19"/>
                <w:rtl w:val="0"/>
              </w:rPr>
              <w:t>Load balancer to AI connection</w:t>
            </w:r>
          </w:p>
        </w:tc>
        <w:tc>
          <w:tcPr>
            <w:tcW w:type="dxa" w:w="5904"/>
          </w:tcPr>
          <w:p>
            <w:pPr>
              <w:bidi w:val="0"/>
              <w:spacing w:before="20" w:after="20"/>
              <w:jc w:val="left"/>
            </w:pPr>
            <w:r>
              <w:rPr>
                <w:rFonts w:ascii="Sakkal Majalla" w:hAnsi="Sakkal Majalla" w:cs="Sakkal Majalla"/>
                <w:b w:val="0"/>
                <w:sz w:val="19"/>
                <w:rtl w:val="0"/>
              </w:rPr>
              <w:t>No such connection. It was a diagram error and is removed. Only SIMF.Api calls AI.</w:t>
            </w:r>
          </w:p>
        </w:tc>
      </w:tr>
      <w:tr>
        <w:tc>
          <w:tcPr>
            <w:tcW w:type="dxa" w:w="504"/>
          </w:tcPr>
          <w:p>
            <w:pPr>
              <w:bidi w:val="0"/>
              <w:spacing w:before="20" w:after="20"/>
              <w:jc w:val="left"/>
            </w:pPr>
            <w:r>
              <w:rPr>
                <w:rFonts w:ascii="Sakkal Majalla" w:hAnsi="Sakkal Majalla" w:cs="Sakkal Majalla"/>
                <w:b w:val="0"/>
                <w:sz w:val="19"/>
                <w:rtl w:val="0"/>
              </w:rPr>
              <w:t>12</w:t>
            </w:r>
          </w:p>
        </w:tc>
        <w:tc>
          <w:tcPr>
            <w:tcW w:type="dxa" w:w="2952"/>
          </w:tcPr>
          <w:p>
            <w:pPr>
              <w:bidi w:val="0"/>
              <w:spacing w:before="20" w:after="20"/>
              <w:jc w:val="left"/>
            </w:pPr>
            <w:r>
              <w:rPr>
                <w:rFonts w:ascii="Sakkal Majalla" w:hAnsi="Sakkal Majalla" w:cs="Sakkal Majalla"/>
                <w:b w:val="0"/>
                <w:sz w:val="19"/>
                <w:rtl w:val="0"/>
              </w:rPr>
              <w:t>Outbound path from the AI service</w:t>
            </w:r>
          </w:p>
        </w:tc>
        <w:tc>
          <w:tcPr>
            <w:tcW w:type="dxa" w:w="5904"/>
          </w:tcPr>
          <w:p>
            <w:pPr>
              <w:bidi w:val="0"/>
              <w:spacing w:before="20" w:after="20"/>
              <w:jc w:val="left"/>
            </w:pPr>
            <w:r>
              <w:rPr>
                <w:rFonts w:ascii="Sakkal Majalla" w:hAnsi="Sakkal Majalla" w:cs="Sakkal Majalla"/>
                <w:b w:val="0"/>
                <w:sz w:val="19"/>
                <w:rtl w:val="0"/>
              </w:rPr>
              <w:t>Agreed. The AI host has no outbound route. Egress is via the egress point and edge firewall.</w:t>
            </w:r>
          </w:p>
        </w:tc>
      </w:tr>
      <w:tr>
        <w:tc>
          <w:tcPr>
            <w:tcW w:type="dxa" w:w="504"/>
          </w:tcPr>
          <w:p>
            <w:pPr>
              <w:bidi w:val="0"/>
              <w:spacing w:before="20" w:after="20"/>
              <w:jc w:val="left"/>
            </w:pPr>
            <w:r>
              <w:rPr>
                <w:rFonts w:ascii="Sakkal Majalla" w:hAnsi="Sakkal Majalla" w:cs="Sakkal Majalla"/>
                <w:b w:val="0"/>
                <w:sz w:val="19"/>
                <w:rtl w:val="0"/>
              </w:rPr>
              <w:t>13</w:t>
            </w:r>
          </w:p>
        </w:tc>
        <w:tc>
          <w:tcPr>
            <w:tcW w:type="dxa" w:w="2952"/>
          </w:tcPr>
          <w:p>
            <w:pPr>
              <w:bidi w:val="0"/>
              <w:spacing w:before="20" w:after="20"/>
              <w:jc w:val="left"/>
            </w:pPr>
            <w:r>
              <w:rPr>
                <w:rFonts w:ascii="Sakkal Majalla" w:hAnsi="Sakkal Majalla" w:cs="Sakkal Majalla"/>
                <w:b w:val="0"/>
                <w:sz w:val="19"/>
                <w:rtl w:val="0"/>
              </w:rPr>
              <w:t>Hosting server per component</w:t>
            </w:r>
          </w:p>
        </w:tc>
        <w:tc>
          <w:tcPr>
            <w:tcW w:type="dxa" w:w="5904"/>
          </w:tcPr>
          <w:p>
            <w:pPr>
              <w:bidi w:val="0"/>
              <w:spacing w:before="20" w:after="20"/>
              <w:jc w:val="left"/>
            </w:pPr>
            <w:r>
              <w:rPr>
                <w:rFonts w:ascii="Sakkal Majalla" w:hAnsi="Sakkal Majalla" w:cs="Sakkal Majalla"/>
                <w:b w:val="0"/>
                <w:sz w:val="19"/>
                <w:rtl w:val="0"/>
              </w:rPr>
              <w:t>Done. Figure 1 shows one box per hosting server, and the matrix is updated to match.</w:t>
            </w:r>
          </w:p>
        </w:tc>
      </w:tr>
    </w:tbl>
    <w:p>
      <w:pPr>
        <w:keepNext/>
        <w:bidi w:val="0"/>
        <w:spacing w:before="240" w:after="100"/>
        <w:ind w:left="0"/>
        <w:jc w:val="left"/>
      </w:pPr>
      <w:r>
        <w:rPr>
          <w:rFonts w:ascii="Sakkal Majalla" w:hAnsi="Sakkal Majalla" w:cs="Sakkal Majalla"/>
          <w:b/>
          <w:i w:val="0"/>
          <w:color w:val="1F3864"/>
          <w:sz w:val="26"/>
          <w:rtl w:val="0"/>
        </w:rPr>
        <w:t>Responses in full</w:t>
      </w:r>
    </w:p>
    <w:p>
      <w:pPr>
        <w:bidi w:val="0"/>
        <w:spacing w:before="200" w:after="60"/>
        <w:ind w:left="0"/>
        <w:jc w:val="left"/>
      </w:pPr>
      <w:r>
        <w:rPr>
          <w:rFonts w:ascii="Sakkal Majalla" w:hAnsi="Sakkal Majalla" w:cs="Sakkal Majalla"/>
          <w:b/>
          <w:i w:val="0"/>
          <w:color w:val="1F3864"/>
          <w:sz w:val="24"/>
          <w:rtl w:val="0"/>
        </w:rPr>
        <w:t>Point 1. Clarify whether the solution follows a two tier or three tier deployment architecture and whether the presentation layer and the backend layer API / business layer are deployed separately or hosted on the same application server.</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Three tier, and the tiers are deployed on separate servers in production.</w:t>
      </w:r>
    </w:p>
    <w:p>
      <w:pPr>
        <w:bidi w:val="0"/>
        <w:spacing w:before="0" w:after="80"/>
        <w:ind w:left="403"/>
        <w:jc w:val="left"/>
      </w:pPr>
      <w:r>
        <w:rPr>
          <w:rFonts w:ascii="Sakkal Majalla" w:hAnsi="Sakkal Majalla" w:cs="Sakkal Majalla"/>
          <w:b w:val="0"/>
          <w:i w:val="0"/>
          <w:sz w:val="20"/>
          <w:rtl w:val="0"/>
        </w:rPr>
        <w:t>Presentation tier: SIMF.Web (Blazor SSR) on two web hosts, and SIMF.ControlPanel (Blazor Server) on two admin hosts with session affinity. Application tier: SIMF.Api on four stateless API hosts. Data tier: SQL Server 2022 in the HSA zone.</w:t>
      </w:r>
    </w:p>
    <w:p>
      <w:pPr>
        <w:bidi w:val="0"/>
        <w:spacing w:before="0" w:after="80"/>
        <w:ind w:left="403"/>
        <w:jc w:val="left"/>
      </w:pPr>
      <w:r>
        <w:rPr>
          <w:rFonts w:ascii="Sakkal Majalla" w:hAnsi="Sakkal Majalla" w:cs="Sakkal Majalla"/>
          <w:b w:val="0"/>
          <w:i w:val="0"/>
          <w:sz w:val="20"/>
          <w:rtl w:val="0"/>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pPr>
        <w:bidi w:val="0"/>
        <w:spacing w:before="0" w:after="80"/>
        <w:ind w:left="403"/>
        <w:jc w:val="left"/>
      </w:pPr>
      <w:r>
        <w:rPr>
          <w:rFonts w:ascii="Sakkal Majalla" w:hAnsi="Sakkal Majalla" w:cs="Sakkal Majalla"/>
          <w:b w:val="0"/>
          <w:i w:val="0"/>
          <w:sz w:val="20"/>
          <w:rtl w:val="0"/>
        </w:rPr>
        <w:t>Development and Test run all three sites on a single node, which is the intended footprint for those environments. Figure 1 shows one box per hosting server.</w:t>
      </w:r>
    </w:p>
    <w:p>
      <w:pPr>
        <w:bidi w:val="0"/>
        <w:spacing w:before="200" w:after="60"/>
        <w:ind w:left="0"/>
        <w:jc w:val="left"/>
      </w:pPr>
      <w:r>
        <w:rPr>
          <w:rFonts w:ascii="Sakkal Majalla" w:hAnsi="Sakkal Majalla" w:cs="Sakkal Majalla"/>
          <w:b/>
          <w:i w:val="0"/>
          <w:color w:val="1F3864"/>
          <w:sz w:val="24"/>
          <w:rtl w:val="0"/>
        </w:rPr>
        <w:t>Point 2. clarify the role and communication flow of the YouTube integration, including whether the live stream is delivered directly from YouTube to the mobile application and public website , or routed through the application backend.</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The live stream is delivered directly from YouTube to the attendee device. It is not routed through the application backend.</w:t>
      </w:r>
    </w:p>
    <w:p>
      <w:pPr>
        <w:bidi w:val="0"/>
        <w:spacing w:before="0" w:after="80"/>
        <w:ind w:left="403"/>
        <w:jc w:val="left"/>
      </w:pPr>
      <w:r>
        <w:rPr>
          <w:rFonts w:ascii="Sakkal Majalla" w:hAnsi="Sakkal Majalla" w:cs="Sakkal Majalla"/>
          <w:b w:val="0"/>
          <w:i w:val="0"/>
          <w:sz w:val="20"/>
          <w:rtl w:val="0"/>
        </w:rPr>
        <w:t>SIMF stores only the stream URL on the Session record and returns it in the session payload. The player in the mobile app and in the website then connects to YouTube itself and receives the video over HTTPS 443.</w:t>
      </w:r>
    </w:p>
    <w:p>
      <w:pPr>
        <w:bidi w:val="0"/>
        <w:spacing w:before="0" w:after="80"/>
        <w:ind w:left="403"/>
        <w:jc w:val="left"/>
      </w:pPr>
      <w:r>
        <w:rPr>
          <w:rFonts w:ascii="Sakkal Majalla" w:hAnsi="Sakkal Majalla" w:cs="Sakkal Majalla"/>
          <w:b w:val="0"/>
          <w:i w:val="0"/>
          <w:sz w:val="20"/>
          <w:rtl w:val="0"/>
        </w:rPr>
        <w:t>Consequences, which are deliberate: no video, audio or segment traffic traverses any SIMF server; the platform carries no streaming bandwidth; and SIMF holds no media content. See Figure 1 connector 11 and Figure 3 step 13.</w:t>
      </w:r>
    </w:p>
    <w:p>
      <w:pPr>
        <w:bidi w:val="0"/>
        <w:spacing w:before="200" w:after="60"/>
        <w:ind w:left="0"/>
        <w:jc w:val="left"/>
      </w:pPr>
      <w:r>
        <w:rPr>
          <w:rFonts w:ascii="Sakkal Majalla" w:hAnsi="Sakkal Majalla" w:cs="Sakkal Majalla"/>
          <w:b/>
          <w:i w:val="0"/>
          <w:color w:val="1F3864"/>
          <w:sz w:val="24"/>
          <w:rtl w:val="0"/>
        </w:rPr>
        <w:t>Point 3. Also clarify whether the solution only embeds the live stream or uses YouTube APIs to create , manage, or retrieve live stream and caption information.</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SIMF does not create, schedule or manage broadcasts. Those actions are performed by the media team inside YouTube.</w:t>
      </w:r>
    </w:p>
    <w:p>
      <w:pPr>
        <w:bidi w:val="0"/>
        <w:spacing w:before="0" w:after="80"/>
        <w:ind w:left="403"/>
        <w:jc w:val="left"/>
      </w:pPr>
      <w:r>
        <w:rPr>
          <w:rFonts w:ascii="Sakkal Majalla" w:hAnsi="Sakkal Majalla" w:cs="Sakkal Majalla"/>
          <w:b w:val="0"/>
          <w:i w:val="0"/>
          <w:sz w:val="20"/>
          <w:rtl w:val="0"/>
        </w:rPr>
        <w:t>SIMF does two things only. First, it embeds playback, using the stored URL. Second, it makes one server-to-server call to retrieve the caption (subtitle) track for a published video id, which feeds the drafting of the session minutes.</w:t>
      </w:r>
    </w:p>
    <w:p>
      <w:pPr>
        <w:bidi w:val="0"/>
        <w:spacing w:before="0" w:after="80"/>
        <w:ind w:left="403"/>
        <w:jc w:val="left"/>
      </w:pPr>
      <w:r>
        <w:rPr>
          <w:rFonts w:ascii="Sakkal Majalla" w:hAnsi="Sakkal Majalla" w:cs="Sakkal Majalla"/>
          <w:b w:val="0"/>
          <w:i w:val="0"/>
          <w:sz w:val="20"/>
          <w:rtl w:val="0"/>
        </w:rPr>
        <w:t>The caption call is not essential. If it is unavailable, the administrator pastes or uploads the transcript instead, so no feature is blocked by it.</w:t>
      </w:r>
    </w:p>
    <w:p>
      <w:pPr>
        <w:bidi w:val="0"/>
        <w:spacing w:before="200" w:after="60"/>
        <w:ind w:left="0"/>
        <w:jc w:val="left"/>
      </w:pPr>
      <w:r>
        <w:rPr>
          <w:rFonts w:ascii="Sakkal Majalla" w:hAnsi="Sakkal Majalla" w:cs="Sakkal Majalla"/>
          <w:b/>
          <w:i w:val="0"/>
          <w:color w:val="1F3864"/>
          <w:sz w:val="24"/>
          <w:rtl w:val="0"/>
        </w:rPr>
        <w:t>Point 4. clarify the purpose and outbound communication flow between the application backend , the AI provider and the YouTube caption API including the data exchange and authentication method</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These are two different cases, and only one of them is outbound.</w:t>
      </w:r>
    </w:p>
    <w:p>
      <w:pPr>
        <w:bidi w:val="0"/>
        <w:spacing w:before="0" w:after="80"/>
        <w:ind w:left="403"/>
        <w:jc w:val="left"/>
      </w:pPr>
      <w:r>
        <w:rPr>
          <w:rFonts w:ascii="Sakkal Majalla" w:hAnsi="Sakkal Majalla" w:cs="Sakkal Majalla"/>
          <w:b w:val="0"/>
          <w:i w:val="0"/>
          <w:sz w:val="20"/>
          <w:rtl w:val="0"/>
        </w:rPr>
        <w:t>Artificial intelligence: there is no outbound AI flow. Every inference runs on an on-premises AI service hosted inside the SSA zone. SIMF.Api is its only caller, over HTTPS 443 internal to the zone. No AI request, no session content and no credential leaves the ministry network, so no external provider credential exists and cloud authentication headers such as an API-key header or a bearer token are not used. The exact fields each AI feature receives are listed in the table below Point 9.</w:t>
      </w:r>
    </w:p>
    <w:p>
      <w:pPr>
        <w:bidi w:val="0"/>
        <w:spacing w:before="0" w:after="80"/>
        <w:ind w:left="403"/>
        <w:jc w:val="left"/>
      </w:pPr>
      <w:r>
        <w:rPr>
          <w:rFonts w:ascii="Sakkal Majalla" w:hAnsi="Sakkal Majalla" w:cs="Sakkal Majalla"/>
          <w:b w:val="0"/>
          <w:i w:val="0"/>
          <w:sz w:val="20"/>
          <w:rtl w:val="0"/>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pPr>
        <w:bidi w:val="0"/>
        <w:spacing w:before="0" w:after="80"/>
        <w:ind w:left="403"/>
        <w:jc w:val="left"/>
      </w:pPr>
      <w:r>
        <w:rPr>
          <w:rFonts w:ascii="Sakkal Majalla" w:hAnsi="Sakkal Majalla" w:cs="Sakkal Majalla"/>
          <w:b w:val="0"/>
          <w:i w:val="0"/>
          <w:sz w:val="20"/>
          <w:rtl w:val="0"/>
        </w:rPr>
        <w:t>Path: SIMF.Api to the controlled egress point host (both in the SSA zone), which applies an FQDN allow-list and logs every request, then out through the edge firewall. The returned caption host is re-validated before the second request, and the HTTP client does not follow redirects. See Figure 1 connectors 6 and 7.</w:t>
      </w:r>
    </w:p>
    <w:p>
      <w:pPr>
        <w:bidi w:val="0"/>
        <w:spacing w:before="200" w:after="60"/>
        <w:ind w:left="0"/>
        <w:jc w:val="left"/>
      </w:pPr>
      <w:r>
        <w:rPr>
          <w:rFonts w:ascii="Sakkal Majalla" w:hAnsi="Sakkal Majalla" w:cs="Sakkal Majalla"/>
          <w:b/>
          <w:i w:val="0"/>
          <w:color w:val="1F3864"/>
          <w:sz w:val="24"/>
          <w:rtl w:val="0"/>
        </w:rPr>
        <w:t>Point 5. How users will be authenticated during subsequent logins if passwords are not stored. Also clarify whether the password sent by email is temporary , how it is securely verified and whether users are required to change it upon first login.</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Passwords are stored, but only as a one-way hash. SIMF stores a PBKDF2-HMAC-SHA256 hash with a per-user salt and a work factor (the ASP.NET Core Identity default). The plaintext is never stored and cannot be recovered from the hash.</w:t>
      </w:r>
    </w:p>
    <w:p>
      <w:pPr>
        <w:bidi w:val="0"/>
        <w:spacing w:before="0" w:after="80"/>
        <w:ind w:left="403"/>
        <w:jc w:val="left"/>
      </w:pPr>
      <w:r>
        <w:rPr>
          <w:rFonts w:ascii="Sakkal Majalla" w:hAnsi="Sakkal Majalla" w:cs="Sakkal Majalla"/>
          <w:b w:val="0"/>
          <w:i w:val="0"/>
          <w:sz w:val="20"/>
          <w:rtl w:val="0"/>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pPr>
        <w:bidi w:val="0"/>
        <w:spacing w:before="0" w:after="80"/>
        <w:ind w:left="403"/>
        <w:jc w:val="left"/>
      </w:pPr>
      <w:r>
        <w:rPr>
          <w:rFonts w:ascii="Sakkal Majalla" w:hAnsi="Sakkal Majalla" w:cs="Sakkal Majalla"/>
          <w:b w:val="0"/>
          <w:i w:val="0"/>
          <w:sz w:val="20"/>
          <w:rtl w:val="0"/>
        </w:rPr>
        <w:t>No password is e-mailed to a self-registered attendee. The e-mail carries a six-digit verification code, not a password. The code is itself stored hashed, is compared in constant time, expires, and is consumed on first use.</w:t>
      </w:r>
    </w:p>
    <w:p>
      <w:pPr>
        <w:bidi w:val="0"/>
        <w:spacing w:before="0" w:after="80"/>
        <w:ind w:left="403"/>
        <w:jc w:val="left"/>
      </w:pPr>
      <w:r>
        <w:rPr>
          <w:rFonts w:ascii="Sakkal Majalla" w:hAnsi="Sakkal Majalla" w:cs="Sakkal Majalla"/>
          <w:b w:val="0"/>
          <w:i w:val="0"/>
          <w:sz w:val="20"/>
          <w:rtl w:val="0"/>
        </w:rPr>
        <w:t>Administrator accounts created by invitation receive a single-use invitation link valid for exactly seven days. The invitee sets their own password when they use it, and the link is then consumed, so no shared or temporary password is ever transmitted.</w:t>
      </w:r>
    </w:p>
    <w:p>
      <w:pPr>
        <w:bidi w:val="0"/>
        <w:spacing w:before="0" w:after="80"/>
        <w:ind w:left="403"/>
        <w:jc w:val="left"/>
      </w:pPr>
      <w:r>
        <w:rPr>
          <w:rFonts w:ascii="Sakkal Majalla" w:hAnsi="Sakkal Majalla" w:cs="Sakkal Majalla"/>
          <w:b w:val="0"/>
          <w:i w:val="0"/>
          <w:sz w:val="20"/>
          <w:rtl w:val="0"/>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pPr>
        <w:bidi w:val="0"/>
        <w:spacing w:before="200" w:after="60"/>
        <w:ind w:left="0"/>
        <w:jc w:val="left"/>
      </w:pPr>
      <w:r>
        <w:rPr>
          <w:rFonts w:ascii="Sakkal Majalla" w:hAnsi="Sakkal Majalla" w:cs="Sakkal Majalla"/>
          <w:b/>
          <w:i w:val="0"/>
          <w:color w:val="1F3864"/>
          <w:sz w:val="24"/>
          <w:rtl w:val="0"/>
        </w:rPr>
        <w:t>Point 6. Clarify the purpose of the file share storage and specify the type of files and data that will be stored in it.</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pPr>
        <w:bidi w:val="0"/>
        <w:spacing w:before="0" w:after="80"/>
        <w:ind w:left="403"/>
        <w:jc w:val="left"/>
      </w:pPr>
      <w:r>
        <w:rPr>
          <w:rFonts w:ascii="Sakkal Majalla" w:hAnsi="Sakkal Majalla" w:cs="Sakkal Majalla"/>
          <w:b w:val="0"/>
          <w:i w:val="0"/>
          <w:sz w:val="20"/>
          <w:rtl w:val="0"/>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pPr>
        <w:bidi w:val="0"/>
        <w:spacing w:before="0" w:after="80"/>
        <w:ind w:left="403"/>
        <w:jc w:val="left"/>
      </w:pPr>
      <w:r>
        <w:rPr>
          <w:rFonts w:ascii="Sakkal Majalla" w:hAnsi="Sakkal Majalla" w:cs="Sakkal Majalla"/>
          <w:b w:val="0"/>
          <w:i w:val="0"/>
          <w:sz w:val="20"/>
          <w:rtl w:val="0"/>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pPr>
        <w:bidi w:val="0"/>
        <w:spacing w:before="0" w:after="80"/>
        <w:ind w:left="403"/>
        <w:jc w:val="left"/>
      </w:pPr>
      <w:r>
        <w:rPr>
          <w:rFonts w:ascii="Sakkal Majalla" w:hAnsi="Sakkal Majalla" w:cs="Sakkal Majalla"/>
          <w:b w:val="0"/>
          <w:i w:val="0"/>
          <w:sz w:val="20"/>
          <w:rtl w:val="0"/>
        </w:rPr>
        <w:t>Access is only ever through the API, which enforces the per-category policy on every read and write. The share is not reachable from any client, from the website or from the Control Panel.</w:t>
      </w:r>
    </w:p>
    <w:p>
      <w:pPr>
        <w:bidi w:val="0"/>
        <w:spacing w:before="200" w:after="60"/>
        <w:ind w:left="0"/>
        <w:jc w:val="left"/>
      </w:pPr>
      <w:r>
        <w:rPr>
          <w:rFonts w:ascii="Sakkal Majalla" w:hAnsi="Sakkal Majalla" w:cs="Sakkal Majalla"/>
          <w:b/>
          <w:i w:val="0"/>
          <w:color w:val="1F3864"/>
          <w:sz w:val="24"/>
          <w:rtl w:val="0"/>
        </w:rPr>
        <w:t>Point 7. Provide sequence diagrams for the key system workflows , clearly showing the interaction and communication between all relevant system components.</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Provided at full page size, as Figure 2 and Figure 3.</w:t>
      </w:r>
    </w:p>
    <w:p>
      <w:pPr>
        <w:bidi w:val="0"/>
        <w:spacing w:before="0" w:after="80"/>
        <w:ind w:left="403"/>
        <w:jc w:val="left"/>
      </w:pPr>
      <w:r>
        <w:rPr>
          <w:rFonts w:ascii="Sakkal Majalla" w:hAnsi="Sakkal Majalla" w:cs="Sakkal Majalla"/>
          <w:b w:val="0"/>
          <w:i w:val="0"/>
          <w:sz w:val="20"/>
          <w:rtl w:val="0"/>
        </w:rPr>
        <w:t>Figure 2, component and interaction view, shows every component (three clients, the four internal layers of the SIMF.Api process, the background worker, the shared libraries, the on-premises AI service, the SMTP relay, the SIEM collector, the controlled egress point, the two databases and the file store) and labels every connector with its protocol and port.</w:t>
      </w:r>
    </w:p>
    <w:p>
      <w:pPr>
        <w:bidi w:val="0"/>
        <w:spacing w:before="0" w:after="80"/>
        <w:ind w:left="403"/>
        <w:jc w:val="left"/>
      </w:pPr>
      <w:r>
        <w:rPr>
          <w:rFonts w:ascii="Sakkal Majalla" w:hAnsi="Sakkal Majalla" w:cs="Sakkal Majalla"/>
          <w:b w:val="0"/>
          <w:i w:val="0"/>
          <w:sz w:val="20"/>
          <w:rtl w:val="0"/>
        </w:rPr>
        <w:t>Figure 3, key system workflows, shows the end-to-end sequence across four participants (attendee, SIMF.Api, administrator and Scientific Committee, and data and internal services) in 23 numbered steps: sign-up, e-mail verification, profile storage, approval or rejection, badge issue, sign-in with second factor, seat reservation, gate scan, live session, question and moderation, subtitle import, minutes drafting and approval, and rating and feedback.</w:t>
      </w:r>
    </w:p>
    <w:p>
      <w:pPr>
        <w:bidi w:val="0"/>
        <w:spacing w:before="0" w:after="80"/>
        <w:ind w:left="403"/>
        <w:jc w:val="left"/>
      </w:pPr>
      <w:r>
        <w:rPr>
          <w:rFonts w:ascii="Sakkal Majalla" w:hAnsi="Sakkal Majalla" w:cs="Sakkal Majalla"/>
          <w:b w:val="0"/>
          <w:i w:val="0"/>
          <w:sz w:val="20"/>
          <w:rtl w:val="0"/>
        </w:rPr>
        <w:t>Connector labels in the figures are taken from the Communication Requirements Matrix in section 2.8, so the diagrams and the matrix cannot disagree.</w:t>
      </w:r>
    </w:p>
    <w:p>
      <w:pPr>
        <w:bidi w:val="0"/>
        <w:spacing w:before="200" w:after="60"/>
        <w:ind w:left="0"/>
        <w:jc w:val="left"/>
      </w:pPr>
      <w:r>
        <w:rPr>
          <w:rFonts w:ascii="Sakkal Majalla" w:hAnsi="Sakkal Majalla" w:cs="Sakkal Majalla"/>
          <w:b/>
          <w:i w:val="0"/>
          <w:color w:val="1F3864"/>
          <w:sz w:val="24"/>
          <w:rtl w:val="0"/>
        </w:rPr>
        <w:t>Point 8. Clarify the mobile enrolment and authentication flow including the OTP process, secure storage of the ES256 private key on the device, public key registration, device binding, key revocation. And the process flow when the device is lost or replaced.</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pPr>
        <w:bidi w:val="0"/>
        <w:spacing w:before="0" w:after="80"/>
        <w:ind w:left="403"/>
        <w:jc w:val="left"/>
      </w:pPr>
      <w:r>
        <w:rPr>
          <w:rFonts w:ascii="Sakkal Majalla" w:hAnsi="Sakkal Majalla" w:cs="Sakkal Majalla"/>
          <w:b w:val="0"/>
          <w:i w:val="0"/>
          <w:sz w:val="20"/>
          <w:rtl w:val="0"/>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pPr>
        <w:bidi w:val="0"/>
        <w:spacing w:before="0" w:after="80"/>
        <w:ind w:left="403"/>
        <w:jc w:val="left"/>
      </w:pPr>
      <w:r>
        <w:rPr>
          <w:rFonts w:ascii="Sakkal Majalla" w:hAnsi="Sakkal Majalla" w:cs="Sakkal Majalla"/>
          <w:b w:val="0"/>
          <w:i w:val="0"/>
          <w:sz w:val="20"/>
          <w:rtl w:val="0"/>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pPr>
        <w:bidi w:val="0"/>
        <w:spacing w:before="0" w:after="80"/>
        <w:ind w:left="403"/>
        <w:jc w:val="left"/>
      </w:pPr>
      <w:r>
        <w:rPr>
          <w:rFonts w:ascii="Sakkal Majalla" w:hAnsi="Sakkal Majalla" w:cs="Sakkal Majalla"/>
          <w:b w:val="0"/>
          <w:i w:val="0"/>
          <w:sz w:val="20"/>
          <w:rtl w:val="0"/>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pPr>
        <w:bidi w:val="0"/>
        <w:spacing w:before="0" w:after="80"/>
        <w:ind w:left="403"/>
        <w:jc w:val="left"/>
      </w:pPr>
      <w:r>
        <w:rPr>
          <w:rFonts w:ascii="Sakkal Majalla" w:hAnsi="Sakkal Majalla" w:cs="Sakkal Majalla"/>
          <w:b w:val="0"/>
          <w:i w:val="0"/>
          <w:sz w:val="20"/>
          <w:rtl w:val="0"/>
        </w:rPr>
        <w:t>Revocation: the user can disable biometric sign-in in the app and an administrator can revoke the device; the key record is stamped as revoked and every subsequent challenge and verification for it is refused.</w:t>
      </w:r>
    </w:p>
    <w:p>
      <w:pPr>
        <w:bidi w:val="0"/>
        <w:spacing w:before="0" w:after="80"/>
        <w:ind w:left="403"/>
        <w:jc w:val="left"/>
      </w:pPr>
      <w:r>
        <w:rPr>
          <w:rFonts w:ascii="Sakkal Majalla" w:hAnsi="Sakkal Majalla" w:cs="Sakkal Majalla"/>
          <w:b w:val="0"/>
          <w:i w:val="0"/>
          <w:sz w:val="20"/>
          <w:rtl w:val="0"/>
        </w:rPr>
        <w:t>Lost or replaced device: the old device key is revoked, which immediately makes it useless. The user signs in on the new device with password plus e-mailed one-time code, then enrols a new key pair. No key material is exported, backed up or transferred between devices.</w:t>
      </w:r>
    </w:p>
    <w:p>
      <w:pPr>
        <w:bidi w:val="0"/>
        <w:spacing w:before="200" w:after="60"/>
        <w:ind w:left="0"/>
        <w:jc w:val="left"/>
      </w:pPr>
      <w:r>
        <w:rPr>
          <w:rFonts w:ascii="Sakkal Majalla" w:hAnsi="Sakkal Majalla" w:cs="Sakkal Majalla"/>
          <w:b/>
          <w:i w:val="0"/>
          <w:color w:val="1F3864"/>
          <w:sz w:val="24"/>
          <w:rtl w:val="0"/>
        </w:rPr>
        <w:t>Point 9. Clarify the data shared with each external services, including its type, purpose , sensitivity and whether any personal or confidential information is transferred outside the ministry.</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No personal or confidential information is transferred outside the ministry by SIMF. There are only two external destinations, and they are both YouTube.</w:t>
      </w:r>
    </w:p>
    <w:p>
      <w:pPr>
        <w:bidi w:val="0"/>
        <w:spacing w:before="0" w:after="80"/>
        <w:ind w:left="403"/>
        <w:jc w:val="left"/>
      </w:pPr>
      <w:r>
        <w:rPr>
          <w:rFonts w:ascii="Sakkal Majalla" w:hAnsi="Sakkal Majalla" w:cs="Sakkal Majalla"/>
          <w:b w:val="0"/>
          <w:i w:val="0"/>
          <w:sz w:val="20"/>
          <w:rtl w:val="0"/>
        </w:rPr>
        <w:t>1. YouTube caption API, server-to-server, outbound from SIMF. Data sent: the public YouTube video id only. Purpose: retrieve the subtitle track used to draft the session minutes. Sensitivity: public. Personal data: none. Credential: none.</w:t>
      </w:r>
    </w:p>
    <w:p>
      <w:pPr>
        <w:bidi w:val="0"/>
        <w:spacing w:before="0" w:after="80"/>
        <w:ind w:left="403"/>
        <w:jc w:val="left"/>
      </w:pPr>
      <w:r>
        <w:rPr>
          <w:rFonts w:ascii="Sakkal Majalla" w:hAnsi="Sakkal Majalla" w:cs="Sakkal Majalla"/>
          <w:b w:val="0"/>
          <w:i w:val="0"/>
          <w:sz w:val="20"/>
          <w:rtl w:val="0"/>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pPr>
        <w:bidi w:val="0"/>
        <w:spacing w:before="0" w:after="80"/>
        <w:ind w:left="403"/>
        <w:jc w:val="left"/>
      </w:pPr>
      <w:r>
        <w:rPr>
          <w:rFonts w:ascii="Sakkal Majalla" w:hAnsi="Sakkal Majalla" w:cs="Sakkal Majalla"/>
          <w:b w:val="0"/>
          <w:i w:val="0"/>
          <w:sz w:val="20"/>
          <w:rtl w:val="0"/>
        </w:rPr>
        <w:t>Artificial intelligence is not in this list because it is not external. The complete field-level inventory of what each AI feature receives is given in the table below. That data is processed on the on-premises AI service inside the SSA zone and does not leave the ministry network.</w:t>
      </w:r>
    </w:p>
    <w:p>
      <w:pPr>
        <w:bidi w:val="0"/>
        <w:spacing w:before="60" w:after="60"/>
        <w:ind w:left="403"/>
        <w:jc w:val="left"/>
      </w:pPr>
      <w:r>
        <w:rPr>
          <w:rFonts w:ascii="Sakkal Majalla" w:hAnsi="Sakkal Majalla" w:cs="Sakkal Majalla"/>
          <w:b/>
          <w:i w:val="0"/>
          <w:color w:val="1F3864"/>
          <w:sz w:val="20"/>
          <w:rtl w:val="0"/>
        </w:rPr>
        <w:t>Data sent to the AI service, by feature</w:t>
      </w:r>
    </w:p>
    <w:tbl>
      <w:tblPr>
        <w:tblStyle w:val="TableGrid"/>
        <w:tblW w:type="auto" w:w="0"/>
        <w:tblLayout w:type="fixed"/>
        <w:tblLook w:firstColumn="1" w:firstRow="1" w:lastColumn="0" w:lastRow="0" w:noHBand="0" w:noVBand="1" w:val="04A0"/>
        <w:bidiVisual w:val="0"/>
        <w:tblLayout w:type="fixed"/>
      </w:tblPr>
      <w:tblGrid>
        <w:gridCol w:w="1728"/>
        <w:gridCol w:w="3960"/>
        <w:gridCol w:w="1728"/>
        <w:gridCol w:w="1944"/>
      </w:tblGrid>
      <w:tr>
        <w:trPr>
          <w:tblHeader/>
        </w:trPr>
        <w:tc>
          <w:tcPr>
            <w:tcW w:type="dxa" w:w="1728"/>
            <w:shd w:val="clear" w:fill="1F3864"/>
          </w:tcPr>
          <w:p>
            <w:pPr>
              <w:bidi w:val="0"/>
              <w:spacing w:before="20" w:after="20"/>
              <w:jc w:val="left"/>
            </w:pPr>
            <w:r>
              <w:rPr>
                <w:rFonts w:ascii="Sakkal Majalla" w:hAnsi="Sakkal Majalla" w:cs="Sakkal Majalla"/>
                <w:b/>
                <w:color w:val="FFFFFF"/>
                <w:sz w:val="18"/>
                <w:rtl w:val="0"/>
              </w:rPr>
              <w:t>AI feature</w:t>
            </w:r>
          </w:p>
        </w:tc>
        <w:tc>
          <w:tcPr>
            <w:tcW w:type="dxa" w:w="3960"/>
            <w:shd w:val="clear" w:fill="1F3864"/>
          </w:tcPr>
          <w:p>
            <w:pPr>
              <w:bidi w:val="0"/>
              <w:spacing w:before="20" w:after="20"/>
              <w:jc w:val="left"/>
            </w:pPr>
            <w:r>
              <w:rPr>
                <w:rFonts w:ascii="Sakkal Majalla" w:hAnsi="Sakkal Majalla" w:cs="Sakkal Majalla"/>
                <w:b/>
                <w:color w:val="FFFFFF"/>
                <w:sz w:val="18"/>
                <w:rtl w:val="0"/>
              </w:rPr>
              <w:t>Fields sent to the AI service</w:t>
            </w:r>
          </w:p>
        </w:tc>
        <w:tc>
          <w:tcPr>
            <w:tcW w:type="dxa" w:w="1728"/>
            <w:shd w:val="clear" w:fill="1F3864"/>
          </w:tcPr>
          <w:p>
            <w:pPr>
              <w:bidi w:val="0"/>
              <w:spacing w:before="20" w:after="20"/>
              <w:jc w:val="left"/>
            </w:pPr>
            <w:r>
              <w:rPr>
                <w:rFonts w:ascii="Sakkal Majalla" w:hAnsi="Sakkal Majalla" w:cs="Sakkal Majalla"/>
                <w:b/>
                <w:color w:val="FFFFFF"/>
                <w:sz w:val="18"/>
                <w:rtl w:val="0"/>
              </w:rPr>
              <w:t>Personal data</w:t>
            </w:r>
          </w:p>
        </w:tc>
        <w:tc>
          <w:tcPr>
            <w:tcW w:type="dxa" w:w="1944"/>
            <w:shd w:val="clear" w:fill="1F3864"/>
          </w:tcPr>
          <w:p>
            <w:pPr>
              <w:bidi w:val="0"/>
              <w:spacing w:before="20" w:after="20"/>
              <w:jc w:val="left"/>
            </w:pPr>
            <w:r>
              <w:rPr>
                <w:rFonts w:ascii="Sakkal Majalla" w:hAnsi="Sakkal Majalla" w:cs="Sakkal Majalla"/>
                <w:b/>
                <w:color w:val="FFFFFF"/>
                <w:sz w:val="18"/>
                <w:rtl w:val="0"/>
              </w:rPr>
              <w:t>Destination</w:t>
            </w:r>
          </w:p>
        </w:tc>
      </w:tr>
      <w:tr>
        <w:tc>
          <w:tcPr>
            <w:tcW w:type="dxa" w:w="1728"/>
          </w:tcPr>
          <w:p>
            <w:pPr>
              <w:bidi w:val="0"/>
              <w:spacing w:before="20" w:after="20"/>
              <w:jc w:val="left"/>
            </w:pPr>
            <w:r>
              <w:rPr>
                <w:rFonts w:ascii="Sakkal Majalla" w:hAnsi="Sakkal Majalla" w:cs="Sakkal Majalla"/>
                <w:b w:val="0"/>
                <w:sz w:val="18"/>
                <w:rtl w:val="0"/>
              </w:rPr>
              <w:t>Question filter</w:t>
            </w:r>
          </w:p>
        </w:tc>
        <w:tc>
          <w:tcPr>
            <w:tcW w:type="dxa" w:w="3960"/>
          </w:tcPr>
          <w:p>
            <w:pPr>
              <w:bidi w:val="0"/>
              <w:spacing w:before="20" w:after="20"/>
              <w:jc w:val="left"/>
            </w:pPr>
            <w:r>
              <w:rPr>
                <w:rFonts w:ascii="Sakkal Majalla" w:hAnsi="Sakkal Majalla" w:cs="Sakkal Majalla"/>
                <w:b w:val="0"/>
                <w:sz w:val="18"/>
                <w:rtl w:val="0"/>
              </w:rPr>
              <w:t>the question text only</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FAQ answer</w:t>
            </w:r>
          </w:p>
        </w:tc>
        <w:tc>
          <w:tcPr>
            <w:tcW w:type="dxa" w:w="3960"/>
          </w:tcPr>
          <w:p>
            <w:pPr>
              <w:bidi w:val="0"/>
              <w:spacing w:before="20" w:after="20"/>
              <w:jc w:val="left"/>
            </w:pPr>
            <w:r>
              <w:rPr>
                <w:rFonts w:ascii="Sakkal Majalla" w:hAnsi="Sakkal Majalla" w:cs="Sakkal Majalla"/>
                <w:b w:val="0"/>
                <w:sz w:val="18"/>
                <w:rtl w:val="0"/>
              </w:rPr>
              <w:t>the visitor question and the published FAQ entries</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Assistance</w:t>
            </w:r>
          </w:p>
        </w:tc>
        <w:tc>
          <w:tcPr>
            <w:tcW w:type="dxa" w:w="3960"/>
          </w:tcPr>
          <w:p>
            <w:pPr>
              <w:bidi w:val="0"/>
              <w:spacing w:before="20" w:after="20"/>
              <w:jc w:val="left"/>
            </w:pPr>
            <w:r>
              <w:rPr>
                <w:rFonts w:ascii="Sakkal Majalla" w:hAnsi="Sakkal Majalla" w:cs="Sakkal Majalla"/>
                <w:b w:val="0"/>
                <w:sz w:val="18"/>
                <w:rtl w:val="0"/>
              </w:rPr>
              <w:t>the visitor question and the public programme context</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Translation</w:t>
            </w:r>
          </w:p>
        </w:tc>
        <w:tc>
          <w:tcPr>
            <w:tcW w:type="dxa" w:w="3960"/>
          </w:tcPr>
          <w:p>
            <w:pPr>
              <w:bidi w:val="0"/>
              <w:spacing w:before="20" w:after="20"/>
              <w:jc w:val="left"/>
            </w:pPr>
            <w:r>
              <w:rPr>
                <w:rFonts w:ascii="Sakkal Majalla" w:hAnsi="Sakkal Majalla" w:cs="Sakkal Majalla"/>
                <w:b w:val="0"/>
                <w:sz w:val="18"/>
                <w:rtl w:val="0"/>
              </w:rPr>
              <w:t>the source text and the target language</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Live translation</w:t>
            </w:r>
          </w:p>
        </w:tc>
        <w:tc>
          <w:tcPr>
            <w:tcW w:type="dxa" w:w="3960"/>
          </w:tcPr>
          <w:p>
            <w:pPr>
              <w:bidi w:val="0"/>
              <w:spacing w:before="20" w:after="20"/>
              <w:jc w:val="left"/>
            </w:pPr>
            <w:r>
              <w:rPr>
                <w:rFonts w:ascii="Sakkal Majalla" w:hAnsi="Sakkal Majalla" w:cs="Sakkal Majalla"/>
                <w:b w:val="0"/>
                <w:sz w:val="18"/>
                <w:rtl w:val="0"/>
              </w:rPr>
              <w:t>the live caption line and the target language</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Live sign language</w:t>
            </w:r>
          </w:p>
        </w:tc>
        <w:tc>
          <w:tcPr>
            <w:tcW w:type="dxa" w:w="3960"/>
          </w:tcPr>
          <w:p>
            <w:pPr>
              <w:bidi w:val="0"/>
              <w:spacing w:before="20" w:after="20"/>
              <w:jc w:val="left"/>
            </w:pPr>
            <w:r>
              <w:rPr>
                <w:rFonts w:ascii="Sakkal Majalla" w:hAnsi="Sakkal Majalla" w:cs="Sakkal Majalla"/>
                <w:b w:val="0"/>
                <w:sz w:val="18"/>
                <w:rtl w:val="0"/>
              </w:rPr>
              <w:t>the live caption line</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Session minutes</w:t>
            </w:r>
          </w:p>
        </w:tc>
        <w:tc>
          <w:tcPr>
            <w:tcW w:type="dxa" w:w="3960"/>
          </w:tcPr>
          <w:p>
            <w:pPr>
              <w:bidi w:val="0"/>
              <w:spacing w:before="20" w:after="20"/>
              <w:jc w:val="left"/>
            </w:pPr>
            <w:r>
              <w:rPr>
                <w:rFonts w:ascii="Sakkal Majalla" w:hAnsi="Sakkal Majalla" w:cs="Sakkal Majalla"/>
                <w:b w:val="0"/>
                <w:sz w:val="18"/>
                <w:rtl w:val="0"/>
              </w:rPr>
              <w:t>session title, speaker display names, abstract, and the subtitle transcript in English and Arabic</w:t>
            </w:r>
          </w:p>
        </w:tc>
        <w:tc>
          <w:tcPr>
            <w:tcW w:type="dxa" w:w="1728"/>
          </w:tcPr>
          <w:p>
            <w:pPr>
              <w:bidi w:val="0"/>
              <w:spacing w:before="20" w:after="20"/>
              <w:jc w:val="left"/>
            </w:pPr>
            <w:r>
              <w:rPr>
                <w:rFonts w:ascii="Sakkal Majalla" w:hAnsi="Sakkal Majalla" w:cs="Sakkal Majalla"/>
                <w:b w:val="0"/>
                <w:sz w:val="18"/>
                <w:rtl w:val="0"/>
              </w:rPr>
              <w:t>Yes, speaker display names</w:t>
            </w:r>
          </w:p>
        </w:tc>
        <w:tc>
          <w:tcPr>
            <w:tcW w:type="dxa" w:w="1944"/>
          </w:tcPr>
          <w:p>
            <w:pPr>
              <w:bidi w:val="0"/>
              <w:spacing w:before="20" w:after="20"/>
              <w:jc w:val="left"/>
            </w:pPr>
            <w:r>
              <w:rPr>
                <w:rFonts w:ascii="Sakkal Majalla" w:hAnsi="Sakkal Majalla" w:cs="Sakkal Majalla"/>
                <w:b w:val="0"/>
                <w:sz w:val="18"/>
                <w:rtl w:val="0"/>
              </w:rPr>
              <w:t>On-premises AI service, SSA zone</w:t>
            </w:r>
          </w:p>
        </w:tc>
      </w:tr>
      <w:tr>
        <w:tc>
          <w:tcPr>
            <w:tcW w:type="dxa" w:w="1728"/>
          </w:tcPr>
          <w:p>
            <w:pPr>
              <w:bidi w:val="0"/>
              <w:spacing w:before="20" w:after="20"/>
              <w:jc w:val="left"/>
            </w:pPr>
            <w:r>
              <w:rPr>
                <w:rFonts w:ascii="Sakkal Majalla" w:hAnsi="Sakkal Majalla" w:cs="Sakkal Majalla"/>
                <w:b w:val="0"/>
                <w:sz w:val="18"/>
                <w:rtl w:val="0"/>
              </w:rPr>
              <w:t>Control Panel assistant</w:t>
            </w:r>
          </w:p>
        </w:tc>
        <w:tc>
          <w:tcPr>
            <w:tcW w:type="dxa" w:w="3960"/>
          </w:tcPr>
          <w:p>
            <w:pPr>
              <w:bidi w:val="0"/>
              <w:spacing w:before="20" w:after="20"/>
              <w:jc w:val="left"/>
            </w:pPr>
            <w:r>
              <w:rPr>
                <w:rFonts w:ascii="Sakkal Majalla" w:hAnsi="Sakkal Majalla" w:cs="Sakkal Majalla"/>
                <w:b w:val="0"/>
                <w:sz w:val="18"/>
                <w:rtl w:val="0"/>
              </w:rPr>
              <w:t>the administrator question and the Control Panel context</w:t>
            </w:r>
          </w:p>
        </w:tc>
        <w:tc>
          <w:tcPr>
            <w:tcW w:type="dxa" w:w="1728"/>
          </w:tcPr>
          <w:p>
            <w:pPr>
              <w:bidi w:val="0"/>
              <w:spacing w:before="20" w:after="20"/>
              <w:jc w:val="left"/>
            </w:pPr>
            <w:r>
              <w:rPr>
                <w:rFonts w:ascii="Sakkal Majalla" w:hAnsi="Sakkal Majalla" w:cs="Sakkal Majalla"/>
                <w:b w:val="0"/>
                <w:sz w:val="18"/>
                <w:rtl w:val="0"/>
              </w:rPr>
              <w:t>No</w:t>
            </w:r>
          </w:p>
        </w:tc>
        <w:tc>
          <w:tcPr>
            <w:tcW w:type="dxa" w:w="1944"/>
          </w:tcPr>
          <w:p>
            <w:pPr>
              <w:bidi w:val="0"/>
              <w:spacing w:before="20" w:after="20"/>
              <w:jc w:val="left"/>
            </w:pPr>
            <w:r>
              <w:rPr>
                <w:rFonts w:ascii="Sakkal Majalla" w:hAnsi="Sakkal Majalla" w:cs="Sakkal Majalla"/>
                <w:b w:val="0"/>
                <w:sz w:val="18"/>
                <w:rtl w:val="0"/>
              </w:rPr>
              <w:t>On-premises AI service, SSA zone</w:t>
            </w:r>
          </w:p>
        </w:tc>
      </w:tr>
    </w:tbl>
    <w:p>
      <w:pPr>
        <w:bidi w:val="0"/>
        <w:spacing w:before="60" w:after="60"/>
        <w:ind w:left="403"/>
        <w:jc w:val="left"/>
      </w:pPr>
      <w:r>
        <w:rPr>
          <w:rFonts w:ascii="Sakkal Majalla" w:hAnsi="Sakkal Majalla" w:cs="Sakkal Majalla"/>
          <w:b w:val="0"/>
          <w:i w:val="0"/>
          <w:sz w:val="20"/>
          <w:rtl w:val="0"/>
        </w:rPr>
        <w:t>Hard limits enforced on every call: at most 16 input values, keys of at most 64 characters and values of at most 4000 characters.</w:t>
      </w:r>
    </w:p>
    <w:p>
      <w:pPr>
        <w:bidi w:val="0"/>
        <w:spacing w:before="60" w:after="60"/>
        <w:ind w:left="403"/>
        <w:jc w:val="left"/>
      </w:pPr>
      <w:r>
        <w:rPr>
          <w:rFonts w:ascii="Sakkal Majalla" w:hAnsi="Sakkal Majalla" w:cs="Sakkal Majalla"/>
          <w:b w:val="0"/>
          <w:i w:val="0"/>
          <w:sz w:val="20"/>
          <w:rtl w:val="0"/>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pPr>
        <w:bidi w:val="0"/>
        <w:spacing w:before="60" w:after="60"/>
        <w:ind w:left="403"/>
        <w:jc w:val="left"/>
      </w:pPr>
      <w:r>
        <w:rPr>
          <w:rFonts w:ascii="Sakkal Majalla" w:hAnsi="Sakkal Majalla" w:cs="Sakkal Majalla"/>
          <w:b w:val="0"/>
          <w:i w:val="0"/>
          <w:sz w:val="20"/>
          <w:rtl w:val="0"/>
        </w:rPr>
        <w:t>Session minutes is the only feature that carries any personal data, and that data is the speaker display names, which are already published in the public programme.</w:t>
      </w:r>
    </w:p>
    <w:p>
      <w:pPr>
        <w:bidi w:val="0"/>
        <w:spacing w:before="200" w:after="60"/>
        <w:ind w:left="0"/>
        <w:jc w:val="left"/>
      </w:pPr>
      <w:r>
        <w:rPr>
          <w:rFonts w:ascii="Sakkal Majalla" w:hAnsi="Sakkal Majalla" w:cs="Sakkal Majalla"/>
          <w:b/>
          <w:i w:val="0"/>
          <w:color w:val="1F3864"/>
          <w:sz w:val="24"/>
          <w:rtl w:val="0"/>
        </w:rPr>
        <w:t>Point 10. Clarify in the diagram the SIEM and SMTP components , their communication paths, hosting locations, and applicable gateways and update the communication matrix accordingly.</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Both are internal, both are hosted in the SSA zone, and both now appear as their own hosting servers in Figure 1.</w:t>
      </w:r>
    </w:p>
    <w:p>
      <w:pPr>
        <w:bidi w:val="0"/>
        <w:spacing w:before="0" w:after="80"/>
        <w:ind w:left="403"/>
        <w:jc w:val="left"/>
      </w:pPr>
      <w:r>
        <w:rPr>
          <w:rFonts w:ascii="Sakkal Majalla" w:hAnsi="Sakkal Majalla" w:cs="Sakkal Majalla"/>
          <w:b w:val="0"/>
          <w:i w:val="0"/>
          <w:sz w:val="20"/>
          <w:rtl w:val="0"/>
        </w:rPr>
        <w:t>SMTP relay: an internal relay in the SSA zone, reached from SIMF.Api and the worker host over SMTP with STARTTLS on TCP 587. It is the only e-mail path, it is internal, and it does not use the edge gateway; mail is queued and dispatched asynchronously.</w:t>
      </w:r>
    </w:p>
    <w:p>
      <w:pPr>
        <w:bidi w:val="0"/>
        <w:spacing w:before="0" w:after="80"/>
        <w:ind w:left="403"/>
        <w:jc w:val="left"/>
      </w:pPr>
      <w:r>
        <w:rPr>
          <w:rFonts w:ascii="Sakkal Majalla" w:hAnsi="Sakkal Majalla" w:cs="Sakkal Majalla"/>
          <w:b w:val="0"/>
          <w:i w:val="0"/>
          <w:sz w:val="20"/>
          <w:rtl w:val="0"/>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pPr>
        <w:bidi w:val="0"/>
        <w:spacing w:before="0" w:after="80"/>
        <w:ind w:left="403"/>
        <w:jc w:val="left"/>
      </w:pPr>
      <w:r>
        <w:rPr>
          <w:rFonts w:ascii="Sakkal Majalla" w:hAnsi="Sakkal Majalla" w:cs="Sakkal Majalla"/>
          <w:b w:val="0"/>
          <w:i w:val="0"/>
          <w:sz w:val="20"/>
          <w:rtl w:val="0"/>
        </w:rPr>
        <w:t>Neither component traverses the edge firewall or any Internet gateway. The Communication Requirements Matrix in section 2.8 has been updated for both.</w:t>
      </w:r>
    </w:p>
    <w:p>
      <w:pPr>
        <w:bidi w:val="0"/>
        <w:spacing w:before="200" w:after="60"/>
        <w:ind w:left="0"/>
        <w:jc w:val="left"/>
      </w:pPr>
      <w:r>
        <w:rPr>
          <w:rFonts w:ascii="Sakkal Majalla" w:hAnsi="Sakkal Majalla" w:cs="Sakkal Majalla"/>
          <w:b/>
          <w:i w:val="0"/>
          <w:color w:val="1F3864"/>
          <w:sz w:val="24"/>
          <w:rtl w:val="0"/>
        </w:rPr>
        <w:t>Point 11. In the diagram Clarify the purpose of the direct connection between the load balancer and the SIMF.ai and whether AI requests are routed directly through the load balancer or through the main application.</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That connection has no purpose. It was an error in the v0.07 diagram and it has been removed.</w:t>
      </w:r>
    </w:p>
    <w:p>
      <w:pPr>
        <w:bidi w:val="0"/>
        <w:spacing w:before="0" w:after="80"/>
        <w:ind w:left="403"/>
        <w:jc w:val="left"/>
      </w:pPr>
      <w:r>
        <w:rPr>
          <w:rFonts w:ascii="Sakkal Majalla" w:hAnsi="Sakkal Majalla" w:cs="Sakkal Majalla"/>
          <w:b w:val="0"/>
          <w:i w:val="0"/>
          <w:sz w:val="20"/>
          <w:rtl w:val="0"/>
        </w:rPr>
        <w:t>AI requests are made only by the main application. SIMF.Api, through its infrastructure layer, calls the on-premises AI service over HTTPS 443 internal to the SSA zone. There is no other caller and no other path.</w:t>
      </w:r>
    </w:p>
    <w:p>
      <w:pPr>
        <w:bidi w:val="0"/>
        <w:spacing w:before="0" w:after="80"/>
        <w:ind w:left="403"/>
        <w:jc w:val="left"/>
      </w:pPr>
      <w:r>
        <w:rPr>
          <w:rFonts w:ascii="Sakkal Majalla" w:hAnsi="Sakkal Majalla" w:cs="Sakkal Majalla"/>
          <w:b w:val="0"/>
          <w:i w:val="0"/>
          <w:sz w:val="20"/>
          <w:rtl w:val="0"/>
        </w:rPr>
        <w:t>The load balancer carries no AI traffic of any kind. Its role is limited to terminating client TLS, filtering against the OWASP rule set and distributing client requests across the application tiers.</w:t>
      </w:r>
    </w:p>
    <w:p>
      <w:pPr>
        <w:bidi w:val="0"/>
        <w:spacing w:before="0" w:after="80"/>
        <w:ind w:left="403"/>
        <w:jc w:val="left"/>
      </w:pPr>
      <w:r>
        <w:rPr>
          <w:rFonts w:ascii="Sakkal Majalla" w:hAnsi="Sakkal Majalla" w:cs="Sakkal Majalla"/>
          <w:b w:val="0"/>
          <w:i w:val="0"/>
          <w:sz w:val="20"/>
          <w:rtl w:val="0"/>
        </w:rPr>
        <w:t>Figure 1 states this on the drawing itself, and Figure 2 connector 6 shows the single AI path.</w:t>
      </w:r>
    </w:p>
    <w:p>
      <w:pPr>
        <w:bidi w:val="0"/>
        <w:spacing w:before="200" w:after="60"/>
        <w:ind w:left="0"/>
        <w:jc w:val="left"/>
      </w:pPr>
      <w:r>
        <w:rPr>
          <w:rFonts w:ascii="Sakkal Majalla" w:hAnsi="Sakkal Majalla" w:cs="Sakkal Majalla"/>
          <w:b/>
          <w:i w:val="0"/>
          <w:color w:val="1F3864"/>
          <w:sz w:val="24"/>
          <w:rtl w:val="0"/>
        </w:rPr>
        <w:t>Point 12. Clarify the outbound communication path from SIMF.ai to the external services, including the firewall , gateway and network zone . SIMF.ai shouldn't connect directly .</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Agreed, and it does not. The AI service is on-premises and has no outbound route at all. It is drawn in Figure 1 with that stated on the box.</w:t>
      </w:r>
    </w:p>
    <w:p>
      <w:pPr>
        <w:bidi w:val="0"/>
        <w:spacing w:before="0" w:after="80"/>
        <w:ind w:left="403"/>
        <w:jc w:val="left"/>
      </w:pPr>
      <w:r>
        <w:rPr>
          <w:rFonts w:ascii="Sakkal Majalla" w:hAnsi="Sakkal Majalla" w:cs="Sakkal Majalla"/>
          <w:b w:val="0"/>
          <w:i w:val="0"/>
          <w:sz w:val="20"/>
          <w:rtl w:val="0"/>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pPr>
        <w:bidi w:val="0"/>
        <w:spacing w:before="0" w:after="80"/>
        <w:ind w:left="403"/>
        <w:jc w:val="left"/>
      </w:pPr>
      <w:r>
        <w:rPr>
          <w:rFonts w:ascii="Sakkal Majalla" w:hAnsi="Sakkal Majalla" w:cs="Sakkal Majalla"/>
          <w:b w:val="0"/>
          <w:i w:val="0"/>
          <w:sz w:val="20"/>
          <w:rtl w:val="0"/>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p>
      <w:pPr>
        <w:bidi w:val="0"/>
        <w:spacing w:before="200" w:after="60"/>
        <w:ind w:left="0"/>
        <w:jc w:val="left"/>
      </w:pPr>
      <w:r>
        <w:rPr>
          <w:rFonts w:ascii="Sakkal Majalla" w:hAnsi="Sakkal Majalla" w:cs="Sakkal Majalla"/>
          <w:b/>
          <w:i w:val="0"/>
          <w:color w:val="1F3864"/>
          <w:sz w:val="24"/>
          <w:rtl w:val="0"/>
        </w:rPr>
        <w:t>Point 13. Update the deployment diagram to show the hosting server for each component rather than groping the component under application server and update communication matrix accordingly to the above points.</w:t>
      </w:r>
    </w:p>
    <w:p>
      <w:pPr>
        <w:bidi w:val="0"/>
        <w:spacing w:before="0" w:after="40"/>
        <w:ind w:left="403"/>
        <w:jc w:val="left"/>
      </w:pPr>
      <w:r>
        <w:rPr>
          <w:rFonts w:ascii="Sakkal Majalla" w:hAnsi="Sakkal Majalla" w:cs="Sakkal Majalla"/>
          <w:b/>
          <w:i w:val="0"/>
          <w:color w:val="C00000"/>
          <w:sz w:val="20"/>
          <w:rtl w:val="0"/>
        </w:rPr>
        <w:t>SIMF response</w:t>
      </w:r>
    </w:p>
    <w:p>
      <w:pPr>
        <w:bidi w:val="0"/>
        <w:spacing w:before="0" w:after="80"/>
        <w:ind w:left="403"/>
        <w:jc w:val="left"/>
      </w:pPr>
      <w:r>
        <w:rPr>
          <w:rFonts w:ascii="Sakkal Majalla" w:hAnsi="Sakkal Majalla" w:cs="Sakkal Majalla"/>
          <w:b w:val="0"/>
          <w:i w:val="0"/>
          <w:sz w:val="20"/>
          <w:rtl w:val="0"/>
        </w:rPr>
        <w:t>Done. Figure 1 replaces the previous grouped diagram and shows one box per hosting server, each placed in its zone with its gateway.</w:t>
      </w:r>
    </w:p>
    <w:p>
      <w:pPr>
        <w:bidi w:val="0"/>
        <w:spacing w:before="0" w:after="80"/>
        <w:ind w:left="403"/>
        <w:jc w:val="left"/>
      </w:pPr>
      <w:r>
        <w:rPr>
          <w:rFonts w:ascii="Sakkal Majalla" w:hAnsi="Sakkal Majalla" w:cs="Sakkal Majalla"/>
          <w:b w:val="0"/>
          <w:i w:val="0"/>
          <w:sz w:val="20"/>
          <w:rtl w:val="0"/>
        </w:rPr>
        <w:t>Internet zone: attendee mobile device, public website browser, administrator browser, and YouTube. No SIMF server is hosted here.</w:t>
      </w:r>
    </w:p>
    <w:p>
      <w:pPr>
        <w:bidi w:val="0"/>
        <w:spacing w:before="0" w:after="80"/>
        <w:ind w:left="403"/>
        <w:jc w:val="left"/>
      </w:pPr>
      <w:r>
        <w:rPr>
          <w:rFonts w:ascii="Sakkal Majalla" w:hAnsi="Sakkal Majalla" w:cs="Sakkal Majalla"/>
          <w:b w:val="0"/>
          <w:i w:val="0"/>
          <w:sz w:val="20"/>
          <w:rtl w:val="0"/>
        </w:rPr>
        <w:t>SSA zone: WAF and load balancer (active and standby), API hosts (four), web hosts (two), admin hosts (two), worker host, on-premises AI inference host, SMTP relay host, log collector and SIEM host, and the controlled egress point host.</w:t>
      </w:r>
    </w:p>
    <w:p>
      <w:pPr>
        <w:bidi w:val="0"/>
        <w:spacing w:before="0" w:after="80"/>
        <w:ind w:left="403"/>
        <w:jc w:val="left"/>
      </w:pPr>
      <w:r>
        <w:rPr>
          <w:rFonts w:ascii="Sakkal Majalla" w:hAnsi="Sakkal Majalla" w:cs="Sakkal Majalla"/>
          <w:b w:val="0"/>
          <w:i w:val="0"/>
          <w:sz w:val="20"/>
          <w:rtl w:val="0"/>
        </w:rPr>
        <w:t>HSA zone: database host running the AlwaysOn primary, database hosts running the two readable secondaries, the file store host and the file-share witness host.</w:t>
      </w:r>
    </w:p>
    <w:p>
      <w:pPr>
        <w:bidi w:val="0"/>
        <w:spacing w:before="0" w:after="80"/>
        <w:ind w:left="403"/>
        <w:jc w:val="left"/>
      </w:pPr>
      <w:r>
        <w:rPr>
          <w:rFonts w:ascii="Sakkal Majalla" w:hAnsi="Sakkal Majalla" w:cs="Sakkal Majalla"/>
          <w:b w:val="0"/>
          <w:i w:val="0"/>
          <w:sz w:val="20"/>
          <w:rtl w:val="0"/>
        </w:rPr>
        <w:t>The Communication Requirements Matrix in section 2.8 has been updated row by row to match, including the removal of the outbound AI row and its replacement by an internal SSA-zone row.</w:t>
      </w:r>
    </w:p>
    <w:p>
      <w:pPr>
        <w:bidi w:val="0"/>
        <w:spacing w:before="240" w:after="120"/>
        <w:ind w:left="0"/>
        <w:keepNext/>
        <w:shd w:val="clear" w:fill="1F3864"/>
        <w:jc w:val="left"/>
      </w:pPr>
      <w:r>
        <w:rPr>
          <w:rFonts w:ascii="Sakkal Majalla" w:hAnsi="Sakkal Majalla" w:cs="Sakkal Majalla"/>
          <w:b/>
          <w:i w:val="0"/>
          <w:color w:val="FFFFFF"/>
          <w:sz w:val="28"/>
          <w:rtl w:val="0"/>
        </w:rPr>
        <w:t>Annex. Diagrams</w:t>
      </w:r>
    </w:p>
    <w:p>
      <w:pPr>
        <w:bidi w:val="0"/>
        <w:spacing w:before="0" w:after="120"/>
        <w:ind w:left="0"/>
        <w:jc w:val="left"/>
      </w:pPr>
      <w:r>
        <w:rPr>
          <w:rFonts w:ascii="Sakkal Majalla" w:hAnsi="Sakkal Majalla" w:cs="Sakkal Majalla"/>
          <w:b w:val="0"/>
          <w:i w:val="0"/>
          <w:sz w:val="22"/>
          <w:rtl w:val="0"/>
        </w:rPr>
        <w:t>The three diagrams requested by the technical review follow, one per page. Those pages are landscape and carry a reduced header, so that each diagram is reproduced at full page size and stays legible. They are identical to the figures in the updated design document.</w:t>
      </w:r>
    </w:p>
    <w:p>
      <w:pPr>
        <w:spacing w:after="0"/>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pPr>
        <w:bidi w:val="0"/>
        <w:spacing w:before="0" w:after="80"/>
        <w:ind w:left="0"/>
        <w:jc w:val="left"/>
      </w:pPr>
      <w:r>
        <w:rPr>
          <w:rFonts w:ascii="Sakkal Majalla" w:hAnsi="Sakkal Majalla" w:cs="Sakkal Majalla"/>
          <w:b/>
          <w:i w:val="0"/>
          <w:color w:val="1F3864"/>
          <w:sz w:val="20"/>
          <w:rtl w:val="0"/>
        </w:rPr>
        <w:t>Figure 1. SIMF deployment and network architecture. One box per hosting server, with its zone, gateway, protocol and port. Answers points 10, 11, 12 and 13.</w:t>
      </w:r>
    </w:p>
    <w:p>
      <w:pPr>
        <w:bidi w:val="0"/>
        <w:spacing w:before="0" w:after="0"/>
        <w:jc w:val="center"/>
      </w:pPr>
      <w:r>
        <w:rPr>
          <w:rtl w:val="0"/>
        </w:rPr>
        <w:drawing>
          <wp:inline xmlns:a="http://schemas.openxmlformats.org/drawingml/2006/main" xmlns:pic="http://schemas.openxmlformats.org/drawingml/2006/picture">
            <wp:extent cx="8321040"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8321040" cy="6240780"/>
                    </a:xfrm>
                    <a:prstGeom prst="rect"/>
                  </pic:spPr>
                </pic:pic>
              </a:graphicData>
            </a:graphic>
          </wp:inline>
        </w:drawing>
      </w:r>
    </w:p>
    <w:p>
      <w:pPr>
        <w:bidi w:val="0"/>
        <w:spacing w:before="0" w:after="80"/>
        <w:ind w:left="0"/>
        <w:jc w:val="left"/>
      </w:pPr>
      <w:r>
        <w:br w:type="page"/>
        <w:rPr>
          <w:rFonts w:ascii="Sakkal Majalla" w:hAnsi="Sakkal Majalla" w:cs="Sakkal Majalla"/>
          <w:b/>
          <w:i w:val="0"/>
          <w:color w:val="1F3864"/>
          <w:sz w:val="20"/>
          <w:rtl w:val="0"/>
        </w:rPr>
        <w:t>Figure 2. SIMF component and interaction view. Every component, and how each one communicates with the others. Answers points 1 and 7.</w:t>
      </w:r>
    </w:p>
    <w:p>
      <w:pPr>
        <w:bidi w:val="0"/>
        <w:spacing w:before="0" w:after="0"/>
        <w:jc w:val="center"/>
      </w:pPr>
      <w:r>
        <w:rPr>
          <w:rtl w:val="0"/>
        </w:rPr>
        <w:drawing>
          <wp:inline xmlns:a="http://schemas.openxmlformats.org/drawingml/2006/main" xmlns:pic="http://schemas.openxmlformats.org/drawingml/2006/picture">
            <wp:extent cx="8321040"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321040" cy="6240780"/>
                    </a:xfrm>
                    <a:prstGeom prst="rect"/>
                  </pic:spPr>
                </pic:pic>
              </a:graphicData>
            </a:graphic>
          </wp:inline>
        </w:drawing>
      </w:r>
    </w:p>
    <w:p>
      <w:pPr>
        <w:bidi w:val="0"/>
        <w:spacing w:before="0" w:after="80"/>
        <w:ind w:left="0"/>
        <w:jc w:val="left"/>
      </w:pPr>
      <w:r>
        <w:br w:type="page"/>
        <w:rPr>
          <w:rFonts w:ascii="Sakkal Majalla" w:hAnsi="Sakkal Majalla" w:cs="Sakkal Majalla"/>
          <w:b/>
          <w:i w:val="0"/>
          <w:color w:val="1F3864"/>
          <w:sz w:val="20"/>
          <w:rtl w:val="0"/>
        </w:rPr>
        <w:t>Figure 3. Key system workflows, from registration through approval, booking, hall entry, the live session and the minutes, to feedback. Answers point 7.</w:t>
      </w:r>
    </w:p>
    <w:p>
      <w:pPr>
        <w:bidi w:val="0"/>
        <w:spacing w:before="0" w:after="0"/>
        <w:jc w:val="center"/>
      </w:pPr>
      <w:r>
        <w:rPr>
          <w:rtl w:val="0"/>
        </w:rPr>
        <w:drawing>
          <wp:inline xmlns:a="http://schemas.openxmlformats.org/drawingml/2006/main" xmlns:pic="http://schemas.openxmlformats.org/drawingml/2006/picture">
            <wp:extent cx="8321040"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321040" cy="6240780"/>
                    </a:xfrm>
                    <a:prstGeom prst="rect"/>
                  </pic:spPr>
                </pic:pic>
              </a:graphicData>
            </a:graphic>
          </wp:inline>
        </w:drawing>
      </w:r>
    </w:p>
    <w:sectPr w:rsidR="005569FB" w:rsidSect="00E453E8">
      <w:headerReference w:type="first" r:id="rId16"/>
      <w:headerReference w:type="even" r:id="rId16"/>
      <w:footerReference w:type="default" r:id="rId10"/>
      <w:headerReference w:type="default" r:id="rId16"/>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tl w:val="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