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1.0</w:t>
            </w:r>
          </w:p>
          <w:p w14:paraId="61CA7C36" w14:textId="77777777" w:rsidR="00F84317" w:rsidRDefault="00D84961">
            <w:r>
              <w:rPr>
                <w:b/>
                <w:sz w:val="22"/>
              </w:rPr>
              <w:t>Date: 19 July 2026 (5 Safar 1448 AH)</w:t>
            </w:r>
          </w:p>
          <w:p w14:paraId="300BFC55" w14:textId="77777777" w:rsidR="00F84317" w:rsidRDefault="00D84961">
            <w:r>
              <w:rPr>
                <w:b/>
                <w:sz w:val="22"/>
              </w:rPr>
              <w:t>Classification: Confidential (to be confirmed by the owner)</w:t>
            </w:r>
          </w:p>
          <w:p w14:paraId="56DC251D" w14:textId="77777777" w:rsidR="00F84317" w:rsidRDefault="00D84961">
            <w:r>
              <w:rPr>
                <w:sz w:val="21"/>
              </w:rPr>
              <w:t>Business Requirements Document for the Saudi International Maritime Forum (SIMF 2026). It defines the objectives and scope of the solution and describes the functional and non-functional business requirements agreed with the owner, so they can be traced into design, build and test.</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21</w:t>
            </w:r>
            <w:r w:rsidR="00D84961">
              <w:rPr>
                <w:sz w:val="21"/>
              </w:rPr>
              <w:t xml:space="preserve">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three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exhibitors and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comment moderation,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four notification channels.</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 xml:space="preserve">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worked out again from the ground up for every edition. What is needed is one dynamic, configurable system and app, built on modern technology, embedding AI and emerging technologies, and compliant with the National Cybersecurity Authority (NCA) standards, that can serve the current edition and every </w:t>
      </w:r>
      <w:r>
        <w:lastRenderedPageBreak/>
        <w:t>future edition without being rebuilt, with all editions' data held in one central location.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so the same system is valid for the current edition and every future edition. The platform is built on a modern technology stack,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lastRenderedPageBreak/>
        <w:t>Enable live streaming and engagement (questions and comments)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The AI and accessibility capabilities: the cognitive assistant, AI session summaries, AI comment moderation, live translation and captions, and smart recommendations.</w:t>
      </w:r>
    </w:p>
    <w:p w14:paraId="700932B0" w14:textId="77777777" w:rsidR="00F84317" w:rsidRDefault="00D84961">
      <w:pPr>
        <w:pStyle w:val="ListBullet"/>
        <w:spacing w:after="60"/>
      </w:pPr>
      <w:r>
        <w:rPr>
          <w:sz w:val="23"/>
        </w:rPr>
        <w:t>The backend and the unified API, the Control Panel, the public website and the mobile app.</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comments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Procuring the cognitive-AI provider, the live-broadcast platform and the WhatsApp provider; these are reached through abstractions and the providers are chosen later.</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live translation or captions; questions open after the attendee has checked in at the hall and close at session end; the moderator manages the questions assigned to them; comments pass through an AI filter and then an admin review before being shown.</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organisation registers as an exhibitor, the PR team reviews and approves it, and assigns the booth in the same step.</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via the website and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Access to every page and endpoint requires a permission; the only anonymous functions are sign-in, sign-up and password reset.</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Every comment passes through an AI filter and then an admin review before it is shown; a comment is never discarded on the AI result alone.</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and exhibitor approvals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The live stream is available in any location, with no geographic restriction.</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organisation register as an Exhibitor with the organisation's details.</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the PR team review and approve an exhibitor and assign the booth in the same step.</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and shall show AI translation or live captions with a language choice.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make the live stream available in any location, without geographic restriction.</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The system shall accept attendee comments on a session and shall pass each comment through an AI filter and then an admin review before it is shown.</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The system shall hold an AI-rejected comment in a queue for an admin, who can approve or discard it; the system shall not discard a comment on the AI result alone.</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Four rating scopes are currently defined: the session, the day, the programme, and the app. The rating scopes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may optionally notify users in the vicinity of the venue about live or upcoming sessions. This is an optional feature and is not a mandatory requirement.</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The system shall provide accessibility AI: sign-language and speech conversion, and live captions.</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four channels (in-app, email, SMS and WhatsApp) through one notification abstraction.</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background services and workers.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SMS and WhatsApp gateways behind the notification abstraction.</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integrate a map service for the interactive venue map.</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 the website, Control Panel and app are its only clients.</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endpoint and screen shall require a permission. Only sign-in, sign-up and password reset are anonymous.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expected event load, sized at roughly one new registered user every 30 seconds at peak, and shall pass a realistic load test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including sign-language and live-caption support.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with MudBlazor,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lastRenderedPageBreak/>
        <w:t>The system must satisfy the National Cybersecurity Authority standards.</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design is frozen after publication.</w:t>
      </w:r>
    </w:p>
    <w:p w14:paraId="45C7264B" w14:textId="77777777" w:rsidR="00F84317" w:rsidRDefault="00D84961">
      <w:pPr>
        <w:pStyle w:val="ListBullet"/>
        <w:spacing w:after="60"/>
      </w:pPr>
      <w:r>
        <w:rPr>
          <w:sz w:val="23"/>
        </w:rPr>
        <w:t>The source code is handed over by 25 January 2027.</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0983F965" w14:textId="77777777" w:rsidR="00F84317" w:rsidRDefault="00D84961">
      <w:pPr>
        <w:pStyle w:val="ListBullet"/>
        <w:spacing w:after="60"/>
      </w:pPr>
      <w:r>
        <w:rPr>
          <w:sz w:val="23"/>
        </w:rPr>
        <w:t>The cognitive-AI provider, the live-broadcast platform and the WhatsApp provider are deferred and reached through abstractions.</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external providers when they are procured (cognitive AI, live broadcast, WhatsApp).</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