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166 authored files)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all on site in the HSA zone: an SMTP mail relay, a Syslog and SIEM collector,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with a firewall at each boundary.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a firewall at each boundary,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made from the Control Panel, depends on an approved outbound firewall exception. Until it is granted an administrator pastes or uploads the transcript. The AI runs on site and needs no external access.</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three access channels, the mobile app, the public website and the Control Panel, which share one backend API and two databases. It has two kinds of user: application users, grouped dynamically, and administrators, governed by role-based access control.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and the public website to register, receive a digital badge, browse the programme, reserve seats, watch live sessions, ask questions, network and rate the event.</w:t>
            </w:r>
          </w:p>
          <w:p w14:paraId="18196080" w14:textId="77777777" w:rsidR="00B23F52" w:rsidRDefault="00000000">
            <w:pPr>
              <w:bidi w:val="0"/>
              <w:spacing w:after="80"/>
              <w:ind w:left="360"/>
              <w:jc w:val="left"/>
            </w:pPr>
            <w:r>
              <w:rPr>
                <w:sz w:val="24"/>
              </w:rPr>
              <w:t>•  Anonymous public, use the website to read public content (home, programme, visit information). The website carries no registration; visitors register in the mobile app.</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(the administrator is the "Backend user" in the SITE reference topology of section 2.1).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This is the only outbound call SIMF makes.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with a firewall at each boundary.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terminates TLS, filters traffic against the OWASP rule set and balances requests across healthy nodes. The presentation tier sits here and nothing else: the website (SIMF.Web, two nodes), the Control Panel (SIMF.ControlPanel, two nodes with session affinity) and the mobile edge (SIMF.MobileEdge). All three reach data only through the API, over HTTPS 443 across the internal firewall. The Control Panel makes the single outbound call to YouTube.</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readable secondary reached through a listener that sends writes to the primary and read-only queries to a secondary;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edge</w:t>
                  </w:r>
                </w:p>
              </w:tc>
              <w:tc>
                <w:tcPr>
                  <w:tcW w:w="1368" w:type="dxa"/>
                </w:tcPr>
                <w:p w14:paraId="31C07F7D" w14:textId="77777777" w:rsidR="00B23F52" w:rsidRDefault="00000000">
                  <w:pPr>
                    <w:framePr w:hSpace="180" w:wrap="around" w:vAnchor="page" w:hAnchor="margin" w:xAlign="center" w:y="3301"/>
                    <w:bidi w:val="0"/>
                    <w:jc w:val="left"/>
                  </w:pPr>
                  <w:r>
                    <w:rPr>
                      <w:sz w:val="16"/>
                    </w:rPr>
                    <w:t>2 (active/standby)</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 pair</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web-application-firewall, layer-7 load balancing, WebSocket-aware, health probes; tuned for tens of thousands of long-lived connections.</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API tier, SIMF.Api</w:t>
                  </w:r>
                </w:p>
              </w:tc>
              <w:tc>
                <w:tcPr>
                  <w:tcW w:w="1008" w:type="dxa"/>
                </w:tcPr>
                <w:p w14:paraId="0D506945" w14:textId="77777777" w:rsidR="00B23F52" w:rsidRDefault="00000000">
                  <w:pPr>
                    <w:framePr w:hSpace="180" w:wrap="around" w:vAnchor="page" w:hAnchor="margin" w:xAlign="center" w:y="3301"/>
                    <w:bidi w:val="0"/>
                    <w:jc w:val="left"/>
                  </w:pPr>
                  <w:r>
                    <w:rPr>
                      <w:sz w:val="16"/>
                    </w:rPr>
                    <w:t>SSA</w:t>
                  </w:r>
                </w:p>
              </w:tc>
              <w:tc>
                <w:tcPr>
                  <w:tcW w:w="1368" w:type="dxa"/>
                </w:tcPr>
                <w:p w14:paraId="60E32367" w14:textId="77777777" w:rsidR="00B23F52" w:rsidRDefault="00000000">
                  <w:pPr>
                    <w:framePr w:hSpace="180" w:wrap="around" w:vAnchor="page" w:hAnchor="margin" w:xAlign="center" w:y="3301"/>
                    <w:bidi w:val="0"/>
                    <w:jc w:val="left"/>
                  </w:pPr>
                  <w:r>
                    <w:rPr>
                      <w:sz w:val="16"/>
                    </w:rPr>
                    <w:t>4 (N+1)</w:t>
                  </w:r>
                </w:p>
              </w:tc>
              <w:tc>
                <w:tcPr>
                  <w:tcW w:w="1944" w:type="dxa"/>
                </w:tcPr>
                <w:p w14:paraId="04D20E1F" w14:textId="77777777" w:rsidR="00B23F52" w:rsidRDefault="00000000">
                  <w:pPr>
                    <w:framePr w:hSpace="180" w:wrap="around" w:vAnchor="page" w:hAnchor="margin" w:xAlign="center" w:y="3301"/>
                    <w:bidi w:val="0"/>
                    <w:jc w:val="left"/>
                  </w:pPr>
                  <w:r>
                    <w:rPr>
                      <w:sz w:val="16"/>
                    </w:rPr>
                    <w:t>8 vCPU / 32 GB, Windows Server 2022</w:t>
                  </w:r>
                </w:p>
              </w:tc>
              <w:tc>
                <w:tcPr>
                  <w:tcW w:w="2664" w:type="dxa"/>
                </w:tcPr>
                <w:p w14:paraId="09747DBA" w14:textId="77777777" w:rsidR="00B23F52" w:rsidRDefault="00000000">
                  <w:pPr>
                    <w:framePr w:hSpace="180" w:wrap="around" w:vAnchor="page" w:hAnchor="margin" w:xAlign="center" w:y="3301"/>
                    <w:bidi w:val="0"/>
                    <w:jc w:val="left"/>
                  </w:pPr>
                  <w:r>
                    <w:rPr>
                      <w:sz w:val="16"/>
                    </w:rPr>
                    <w:t>Stateless REST + SignalR. about 10,000 WebSocket connections/node, about a 40k ceiling; PBKDF2 auth is CPU-bound; per-node in-memory cache (section A.1).</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w:t>
                  </w:r>
                </w:p>
              </w:tc>
              <w:tc>
                <w:tcPr>
                  <w:tcW w:w="1368" w:type="dxa"/>
                </w:tcPr>
                <w:p w14:paraId="4CB903CC" w14:textId="77777777" w:rsidR="00B23F52" w:rsidRDefault="00000000">
                  <w:pPr>
                    <w:framePr w:hSpace="180" w:wrap="around" w:vAnchor="page" w:hAnchor="margin" w:xAlign="center" w:y="3301"/>
                    <w:bidi w:val="0"/>
                    <w:jc w:val="left"/>
                  </w:pPr>
                  <w:r>
                    <w:rPr>
                      <w:sz w:val="16"/>
                    </w:rPr>
                    <w:t>2 (N+1)</w:t>
                  </w:r>
                </w:p>
              </w:tc>
              <w:tc>
                <w:tcPr>
                  <w:tcW w:w="1944" w:type="dxa"/>
                </w:tcPr>
                <w:p w14:paraId="70D38B43" w14:textId="77777777" w:rsidR="00B23F52" w:rsidRDefault="00000000">
                  <w:pPr>
                    <w:framePr w:hSpace="180" w:wrap="around" w:vAnchor="page" w:hAnchor="margin" w:xAlign="center" w:y="3301"/>
                    <w:bidi w:val="0"/>
                    <w:jc w:val="left"/>
                  </w:pPr>
                  <w:r>
                    <w:rPr>
                      <w:sz w:val="16"/>
                    </w:rPr>
                    <w:t>4 vCPU / 16 GB</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 served from cache; session affinity at the LB.</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w:t>
                  </w:r>
                </w:p>
              </w:tc>
              <w:tc>
                <w:tcPr>
                  <w:tcW w:w="1368" w:type="dxa"/>
                </w:tcPr>
                <w:p w14:paraId="2F6A60AE" w14:textId="77777777" w:rsidR="00B23F52" w:rsidRDefault="00000000">
                  <w:pPr>
                    <w:framePr w:hSpace="180" w:wrap="around" w:vAnchor="page" w:hAnchor="margin" w:xAlign="center" w:y="3301"/>
                    <w:bidi w:val="0"/>
                    <w:jc w:val="left"/>
                  </w:pPr>
                  <w:r>
                    <w:rPr>
                      <w:sz w:val="16"/>
                    </w:rPr>
                    <w:t>2 (N+1)</w:t>
                  </w:r>
                </w:p>
              </w:tc>
              <w:tc>
                <w:tcPr>
                  <w:tcW w:w="1944" w:type="dxa"/>
                </w:tcPr>
                <w:p w14:paraId="1F0BBAB2" w14:textId="77777777" w:rsidR="00B23F52" w:rsidRDefault="00000000">
                  <w:pPr>
                    <w:framePr w:hSpace="180" w:wrap="around" w:vAnchor="page" w:hAnchor="margin" w:xAlign="center" w:y="3301"/>
                    <w:bidi w:val="0"/>
                    <w:jc w:val="left"/>
                  </w:pPr>
                  <w:r>
                    <w:rPr>
                      <w:sz w:val="16"/>
                    </w:rPr>
                    <w:t>4 vCPU / 16 GB</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operator-scale; sticky SignalR circuits; HA for availability, not for load.</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Background worker (scheduled jobs)</w:t>
                  </w:r>
                </w:p>
              </w:tc>
              <w:tc>
                <w:tcPr>
                  <w:tcW w:w="1008" w:type="dxa"/>
                </w:tcPr>
                <w:p w14:paraId="40A8D3E8" w14:textId="77777777" w:rsidR="00B23F52" w:rsidRDefault="00000000">
                  <w:pPr>
                    <w:framePr w:hSpace="180" w:wrap="around" w:vAnchor="page" w:hAnchor="margin" w:xAlign="center" w:y="3301"/>
                    <w:bidi w:val="0"/>
                    <w:jc w:val="left"/>
                  </w:pPr>
                  <w:r>
                    <w:rPr>
                      <w:sz w:val="16"/>
                    </w:rPr>
                    <w:t>SSA</w:t>
                  </w:r>
                </w:p>
              </w:tc>
              <w:tc>
                <w:tcPr>
                  <w:tcW w:w="1368" w:type="dxa"/>
                </w:tcPr>
                <w:p w14:paraId="27D64DF7" w14:textId="77777777" w:rsidR="00B23F52" w:rsidRDefault="00000000">
                  <w:pPr>
                    <w:framePr w:hSpace="180" w:wrap="around" w:vAnchor="page" w:hAnchor="margin" w:xAlign="center" w:y="3301"/>
                    <w:bidi w:val="0"/>
                    <w:jc w:val="left"/>
                  </w:pPr>
                  <w:r>
                    <w:rPr>
                      <w:sz w:val="16"/>
                    </w:rPr>
                    <w:t>1 pinned + 1 standby</w:t>
                  </w:r>
                </w:p>
              </w:tc>
              <w:tc>
                <w:tcPr>
                  <w:tcW w:w="1944" w:type="dxa"/>
                </w:tcPr>
                <w:p w14:paraId="6379B8AC" w14:textId="77777777" w:rsidR="00B23F52" w:rsidRDefault="00000000">
                  <w:pPr>
                    <w:framePr w:hSpace="180" w:wrap="around" w:vAnchor="page" w:hAnchor="margin" w:xAlign="center" w:y="3301"/>
                    <w:bidi w:val="0"/>
                    <w:jc w:val="left"/>
                  </w:pPr>
                  <w:r>
                    <w:rPr>
                      <w:sz w:val="16"/>
                    </w:rPr>
                    <w:t>2 vCPU / 8 GB</w:t>
                  </w:r>
                </w:p>
              </w:tc>
              <w:tc>
                <w:tcPr>
                  <w:tcW w:w="2664" w:type="dxa"/>
                </w:tcPr>
                <w:p w14:paraId="4FAE8450" w14:textId="77777777" w:rsidR="00B23F52" w:rsidRDefault="00000000">
                  <w:pPr>
                    <w:framePr w:hSpace="180" w:wrap="around" w:vAnchor="page" w:hAnchor="margin" w:xAlign="center" w:y="3301"/>
                    <w:bidi w:val="0"/>
                    <w:jc w:val="left"/>
                  </w:pPr>
                  <w:r>
                    <w:rPr>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2B18DBD" w14:textId="77777777" w:rsidR="00B23F52" w:rsidRDefault="00000000">
                  <w:pPr>
                    <w:framePr w:hSpace="180" w:wrap="around" w:vAnchor="page" w:hAnchor="margin" w:xAlign="center" w:y="3301"/>
                    <w:bidi w:val="0"/>
                    <w:jc w:val="left"/>
                  </w:pPr>
                  <w:r>
                    <w:rPr>
                      <w:sz w:val="16"/>
                    </w:rPr>
                    <w:t>HSA</w:t>
                  </w:r>
                </w:p>
              </w:tc>
              <w:tc>
                <w:tcPr>
                  <w:tcW w:w="1368" w:type="dxa"/>
                </w:tcPr>
                <w:p w14:paraId="00976A60" w14:textId="77777777" w:rsidR="00B23F52" w:rsidRDefault="00000000">
                  <w:pPr>
                    <w:framePr w:hSpace="180" w:wrap="around" w:vAnchor="page" w:hAnchor="margin" w:xAlign="center" w:y="3301"/>
                    <w:bidi w:val="0"/>
                    <w:jc w:val="left"/>
                  </w:pPr>
                  <w:r>
                    <w:rPr>
                      <w:sz w:val="16"/>
                    </w:rPr>
                    <w:t>2-3 (AlwaysOn AG)</w:t>
                  </w:r>
                </w:p>
              </w:tc>
              <w:tc>
                <w:tcPr>
                  <w:tcW w:w="1944" w:type="dxa"/>
                </w:tcPr>
                <w:p w14:paraId="4BD888C4" w14:textId="77777777" w:rsidR="00B23F52" w:rsidRDefault="00000000">
                  <w:pPr>
                    <w:framePr w:hSpace="180" w:wrap="around" w:vAnchor="page" w:hAnchor="margin" w:xAlign="center" w:y="3301"/>
                    <w:bidi w:val="0"/>
                    <w:jc w:val="left"/>
                  </w:pPr>
                  <w:r>
                    <w:rPr>
                      <w:sz w:val="16"/>
                    </w:rPr>
                    <w:t>16 vCPU / 128 GB, NVMe (data/log/tempdb split)</w:t>
                  </w:r>
                </w:p>
              </w:tc>
              <w:tc>
                <w:tcPr>
                  <w:tcW w:w="2664" w:type="dxa"/>
                </w:tcPr>
                <w:p w14:paraId="4D03A145" w14:textId="77777777" w:rsidR="00B23F52" w:rsidRDefault="00000000">
                  <w:pPr>
                    <w:framePr w:hSpace="180" w:wrap="around" w:vAnchor="page" w:hAnchor="margin" w:xAlign="center" w:y="3301"/>
                    <w:bidi w:val="0"/>
                    <w:jc w:val="left"/>
                  </w:pPr>
                  <w:r>
                    <w:rPr>
                      <w:sz w:val="16"/>
                    </w:rPr>
                    <w:t>AlwaysOn AG: primary (read-write) + one or two readable secondaries (read-scale); synchronous commit + automatic failover; SignalR SQL backplane; WSFC + file-share witness.</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Shared encrypted file store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clustered / SMB share</w:t>
                  </w:r>
                </w:p>
              </w:tc>
              <w:tc>
                <w:tcPr>
                  <w:tcW w:w="1944" w:type="dxa"/>
                </w:tcPr>
                <w:p w14:paraId="63C9A05D" w14:textId="77777777" w:rsidR="00B23F52" w:rsidRDefault="00000000">
                  <w:pPr>
                    <w:framePr w:hSpace="180" w:wrap="around" w:vAnchor="page" w:hAnchor="margin" w:xAlign="center" w:y="3301"/>
                    <w:bidi w:val="0"/>
                    <w:jc w:val="left"/>
                  </w:pPr>
                  <w:r>
                    <w:rPr>
                      <w:sz w:val="16"/>
                    </w:rPr>
                    <w:t>shared storage</w:t>
                  </w:r>
                </w:p>
              </w:tc>
              <w:tc>
                <w:tcPr>
                  <w:tcW w:w="2664" w:type="dxa"/>
                </w:tcPr>
                <w:p w14:paraId="4919EF78" w14:textId="77777777" w:rsidR="00B23F52" w:rsidRDefault="00000000">
                  <w:pPr>
                    <w:framePr w:hSpace="180" w:wrap="around" w:vAnchor="page" w:hAnchor="margin" w:xAlign="center" w:y="3301"/>
                    <w:bidi w:val="0"/>
                    <w:jc w:val="left"/>
                  </w:pPr>
                  <w:r>
                    <w:rPr>
                      <w:sz w:val="16"/>
                    </w:rPr>
                    <w:t>StoredFile bytes incl. PII identity documents; AES-256 envelope encryption at rest (per-file DEK, KEK from environment).</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Reads are served by the readable secondary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1FEA89F0" w14:textId="77777777" w:rsidR="00B23F52" w:rsidRDefault="00000000">
            <w:pPr>
              <w:bidi w:val="0"/>
              <w:spacing w:after="80"/>
              <w:jc w:val="left"/>
            </w:pPr>
            <w:r>
              <w:rPr>
                <w:sz w:val="24"/>
              </w:rPr>
              <w:t>Figure 1 states this on the drawing itself. The single AI path is specified in section 2.4 under "API to the AI endpoint": SIMF.Api is the only caller and the load balancer carries no AI traffic.</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attendee mobile device, public website browser, administrator browser, and YouTube. No SIMF server is hosted here.</w:t>
            </w:r>
          </w:p>
          <w:p w14:paraId="1FEA89F0" w14:textId="77777777" w:rsidR="00B23F52" w:rsidRDefault="00000000">
            <w:pPr>
              <w:bidi w:val="0"/>
              <w:spacing w:after="80"/>
              <w:jc w:val="left"/>
            </w:pPr>
            <w:r>
              <w:rPr>
                <w:sz w:val="24"/>
              </w:rPr>
              <w:t>SSA zone: the WAF and load balancer, the mobile edge, two web hosts and two Control Panel hosts.</w:t>
            </w:r>
          </w:p>
          <w:p w14:paraId="1FEA89F0" w14:textId="77777777" w:rsidR="00B23F52" w:rsidRDefault="00000000">
            <w:pPr>
              <w:bidi w:val="0"/>
              <w:spacing w:after="80"/>
              <w:jc w:val="left"/>
            </w:pPr>
            <w:r>
              <w:rPr>
                <w:sz w:val="24"/>
              </w:rPr>
              <w:t>HSA zone: the API load balancer, four API hosts, the on-site LLM server running GPT OSS 120B, the on-site mail relay, two database hosts and the MinIO object store.</w:t>
            </w:r>
          </w:p>
          <w:p w14:paraId="1FEA89F0" w14:textId="77777777" w:rsidR="00B23F52" w:rsidRDefault="00000000">
            <w:pPr>
              <w:bidi w:val="0"/>
              <w:spacing w:after="80"/>
              <w:jc w:val="left"/>
            </w:pPr>
            <w:r>
              <w:rPr>
                <w:sz w:val="24"/>
              </w:rPr>
              <w:t>The Communication Requirements Matrix in section 2.8 matches Figure 1 row for row.</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MudBlazor), the administration application.</w:t>
            </w:r>
          </w:p>
          <w:p w14:paraId="5A7FF417" w14:textId="77777777" w:rsidR="00B23F52" w:rsidRDefault="00000000">
            <w:pPr>
              <w:bidi w:val="0"/>
              <w:spacing w:after="80"/>
              <w:ind w:left="360"/>
              <w:jc w:val="left"/>
            </w:pPr>
            <w:r>
              <w:rPr>
                <w:sz w:val="24"/>
              </w:rPr>
              <w:t>•  Public Website (Blazor SSR), static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an on-site desk tool used by staff to print and issue badges at the venue.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dormant-account sweep, registration-gate auto-close, session reminders, e-mail dispatch.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These are the primary system workflows.</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component and interaction view. Every component, and how each one communicates with the others. Answers technical review points 1 and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system and data flow. A data flow diagram in Gane and Sarson notation: a level 0 context view and a level 1 decomposition that balances with it. Answers technical review point 7.</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and rate-limited per administrator.</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only and holds no video files; images are the only media uploaded into the file store. The public video library is published on the forum’s YouTube channel and surfaced in SIMF as links, so it needs no additional storage, encoding or bandwidth on ministry servers and does not change the hardware specification. It depends on the same approved firewall exception.</w:t>
            </w:r>
            <w:r>
              <w:rPr>
                <w:sz w:val="24"/>
              </w:rPr>
            </w:r>
          </w:p>
          <w:p w14:paraId="6B91F276" w14:textId="77777777" w:rsidR="00B23F52" w:rsidRDefault="00000000">
            <w:pPr>
              <w:bidi w:val="0"/>
              <w:spacing w:after="80"/>
              <w:jc w:val="left"/>
            </w:pPr>
            <w:r>
              <w:rPr>
                <w:i/>
                <w:color w:val="444444"/>
                <w:sz w:val="22"/>
              </w:rPr>
              <w:t>No inbound interface is exposed to any external entity.</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holds no media content.</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edge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AI endpoint once a provider is enabled,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once a provider is enabled</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entries</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context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Translation</w:t>
                  </w:r>
                </w:p>
              </w:tc>
              <w:tc>
                <w:tcPr>
                  <w:tcW w:type="dxa" w:w="3600"/>
                </w:tcPr>
                <w:p>
                  <w:pPr>
                    <w:bidi w:val="0"/>
                    <w:spacing w:before="20" w:after="20"/>
                    <w:jc w:val="left"/>
                  </w:pPr>
                  <w:r>
                    <w:rPr>
                      <w:rFonts w:ascii="Sakkal Majalla" w:hAnsi="Sakkal Majalla" w:cs="Sakkal Majalla"/>
                      <w:b w:val="0"/>
                      <w:sz w:val="18"/>
                    </w:rPr>
                    <w:t>the source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Live translation</w:t>
                  </w:r>
                </w:p>
              </w:tc>
              <w:tc>
                <w:tcPr>
                  <w:tcW w:type="dxa" w:w="3600"/>
                </w:tcPr>
                <w:p>
                  <w:pPr>
                    <w:bidi w:val="0"/>
                    <w:spacing w:before="20" w:after="20"/>
                    <w:jc w:val="left"/>
                  </w:pPr>
                  <w:r>
                    <w:rPr>
                      <w:rFonts w:ascii="Sakkal Majalla" w:hAnsi="Sakkal Majalla" w:cs="Sakkal Majalla"/>
                      <w:b w:val="0"/>
                      <w:sz w:val="18"/>
                    </w:rPr>
                    <w:t>the live caption line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Live sign language</w:t>
                  </w:r>
                </w:p>
              </w:tc>
              <w:tc>
                <w:tcPr>
                  <w:tcW w:type="dxa" w:w="3600"/>
                </w:tcPr>
                <w:p>
                  <w:pPr>
                    <w:bidi w:val="0"/>
                    <w:spacing w:before="20" w:after="20"/>
                    <w:jc w:val="left"/>
                  </w:pPr>
                  <w:r>
                    <w:rPr>
                      <w:rFonts w:ascii="Sakkal Majalla" w:hAnsi="Sakkal Majalla" w:cs="Sakkal Majalla"/>
                      <w:b w:val="0"/>
                      <w:sz w:val="18"/>
                    </w:rPr>
                    <w:t>the live caption line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the subtitle transcript in English and Arabic</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Configured AI endpoint</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context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Configured AI endpoint</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No provider is enabled in the delivered configuration, so none of these fields is sent anywhere today. The table states what each feature would send once the ministry enables a provider.</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It has no sign-in, registration or account page and stores no personal data.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attendees, administrators, and the single outbound external service (the YouTube caption API). No SIMF server runs here.</w:t>
            </w:r>
          </w:p>
          <w:p w14:paraId="4B97EF0B" w14:textId="77777777" w:rsidR="00B23F52" w:rsidRDefault="00000000">
            <w:pPr>
              <w:bidi w:val="0"/>
              <w:spacing w:after="80"/>
              <w:ind w:left="360"/>
              <w:jc w:val="left"/>
            </w:pPr>
            <w:r>
              <w:rPr>
                <w:sz w:val="24"/>
              </w:rPr>
              <w:t>•  SSA Zone, the WAF and load balancer, the website and Control Panel tiers, and the mobile edge.</w:t>
            </w:r>
          </w:p>
          <w:p w14:paraId="1EBA66C5" w14:textId="77777777" w:rsidR="00B23F52" w:rsidRDefault="00000000">
            <w:pPr>
              <w:bidi w:val="0"/>
              <w:spacing w:after="80"/>
              <w:ind w:left="360"/>
              <w:jc w:val="left"/>
            </w:pPr>
            <w:r>
              <w:rPr>
                <w:sz w:val="24"/>
              </w:rPr>
              <w:t>•  HSA Zone, the database Availability Group, the shared file store, and the backups, reached only from the application servers.</w:t>
            </w:r>
          </w:p>
          <w:p w14:paraId="70054B03" w14:textId="77777777" w:rsidR="00B23F52" w:rsidRDefault="00000000">
            <w:pPr>
              <w:bidi w:val="0"/>
              <w:spacing w:after="80"/>
              <w:ind w:left="360"/>
              <w:jc w:val="left"/>
            </w:pPr>
            <w:r>
              <w:rPr>
                <w:sz w:val="24"/>
              </w:rPr>
              <w:t>•  A firewall sits at each zone boundary.</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t>•  The API runs its scheduled jobs in-process, so restarting them restarts the API application pool; the operations script exposes this as a Jobs target. There is no separate worker server.</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SIMF.Api reaches it over SMTP with STARTTLS on TCP 587, and nothing else calls it. The log collector is an integration rather than a SIMF server, so it is not drawn; the application hosts ship syslog over TLS on TCP 6514 to the ministry collector. Both carry their protocol and port in the communication requirements matrix in section 2.8.</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edge gateway;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edge firewall or any Internet gateway.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in the system is the YouTube caption import, and its full path is: the Control Panel in SSA, under an FQDN allow-list that logs every request, then through the edge firewall and perimeter gateway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MinIO over the S3 API, e-mail is queued to the SMTP relay, AI inference is performed by the configured AI endpoint when one is enabled, and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readable secondary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a shared file store for avatars, identity documents, photos, recordings, presentations and media, encrypted at rest. Database rows hold references,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 Database rows hold object keys, never blobs.</w:t>
            </w:r>
          </w:p>
          <w:p w14:paraId="1FEA89F0" w14:textId="77777777" w:rsidR="00B23F52" w:rsidRDefault="00000000">
            <w:pPr>
              <w:bidi w:val="0"/>
              <w:spacing w:after="80"/>
              <w:jc w:val="left"/>
            </w:pPr>
            <w:r>
              <w:rPr>
                <w:sz w:val="24"/>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lastRenderedPageBreak/>
              <w:t>Communication Requirements Matrix</w:t>
            </w:r>
          </w:p>
          <w:p w14:paraId="2FA26FC8" w14:textId="77777777" w:rsidR="00B23F52" w:rsidRDefault="00000000">
            <w:pPr>
              <w:bidi w:val="0"/>
              <w:spacing w:after="80"/>
              <w:jc w:val="left"/>
            </w:pPr>
            <w:r>
              <w:rPr>
                <w:i/>
                <w:color w:val="444444"/>
                <w:sz w:val="22"/>
              </w:rPr>
              <w:t>The ports and protocols are the standard values for each flow. IP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API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SIMF.Web</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w:t>
                  </w:r>
                </w:p>
              </w:tc>
              <w:tc>
                <w:tcPr>
                  <w:tcW w:w="2232" w:type="dxa"/>
                </w:tcPr>
                <w:p w14:paraId="39AC7435" w14:textId="77777777" w:rsidR="00B23F52" w:rsidRDefault="00000000">
                  <w:pPr>
                    <w:framePr w:hSpace="180" w:wrap="around" w:vAnchor="page" w:hAnchor="margin" w:xAlign="center" w:y="3301"/>
                    <w:bidi w:val="0"/>
                    <w:jc w:val="left"/>
                  </w:pPr>
                  <w:r>
                    <w:rPr>
                      <w:sz w:val="16"/>
                    </w:rPr>
                    <w:t>Public website rendering (session affinity)</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SIMF.Api</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w:t>
                  </w:r>
                </w:p>
              </w:tc>
              <w:tc>
                <w:tcPr>
                  <w:tcW w:w="2232" w:type="dxa"/>
                </w:tcPr>
                <w:p w14:paraId="1109DB6A" w14:textId="77777777" w:rsidR="00B23F52" w:rsidRDefault="00000000">
                  <w:pPr>
                    <w:framePr w:hSpace="180" w:wrap="around" w:vAnchor="page" w:hAnchor="margin" w:xAlign="center" w:y="3301"/>
                    <w:bidi w:val="0"/>
                    <w:jc w:val="left"/>
                  </w:pPr>
                  <w:r>
                    <w:rPr>
                      <w:sz w:val="16"/>
                    </w:rPr>
                    <w:t>API to the mobile app (stateless, round-robin)</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SIMF.Web / SIMF.ControlPanel</w:t>
                  </w:r>
                </w:p>
              </w:tc>
              <w:tc>
                <w:tcPr>
                  <w:tcW w:w="1944" w:type="dxa"/>
                </w:tcPr>
                <w:p w14:paraId="43636061" w14:textId="77777777" w:rsidR="00B23F52" w:rsidRDefault="00000000">
                  <w:pPr>
                    <w:framePr w:hSpace="180" w:wrap="around" w:vAnchor="page" w:hAnchor="margin" w:xAlign="center" w:y="3301"/>
                    <w:bidi w:val="0"/>
                    <w:jc w:val="left"/>
                  </w:pPr>
                  <w:r>
                    <w:rPr>
                      <w:sz w:val="16"/>
                    </w:rPr>
                    <w:t>SIMF.Api</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w:t>
                  </w:r>
                </w:p>
              </w:tc>
              <w:tc>
                <w:tcPr>
                  <w:tcW w:w="2232" w:type="dxa"/>
                </w:tcPr>
                <w:p w14:paraId="0BF33650" w14:textId="77777777" w:rsidR="00B23F52" w:rsidRDefault="00000000">
                  <w:pPr>
                    <w:framePr w:hSpace="180" w:wrap="around" w:vAnchor="page" w:hAnchor="margin" w:xAlign="center" w:y="3301"/>
                    <w:bidi w:val="0"/>
                    <w:jc w:val="left"/>
                  </w:pPr>
                  <w:r>
                    <w:rPr>
                      <w:sz w:val="16"/>
                    </w:rPr>
                    <w:t>Server-to-server typed API client</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SIMF.Api / worker host</w:t>
                  </w:r>
                </w:p>
              </w:tc>
              <w:tc>
                <w:tcPr>
                  <w:tcW w:w="1944" w:type="dxa"/>
                </w:tcPr>
                <w:p w14:paraId="22E64572"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7702F3E3" w14:textId="77777777" w:rsidR="00B23F52" w:rsidRDefault="00000000">
                  <w:pPr>
                    <w:framePr w:hSpace="180" w:wrap="around" w:vAnchor="page" w:hAnchor="margin" w:xAlign="center" w:y="3301"/>
                    <w:bidi w:val="0"/>
                    <w:jc w:val="left"/>
                  </w:pPr>
                  <w:r>
                    <w:rPr>
                      <w:sz w:val="16"/>
                    </w:rPr>
                    <w:t>TCP / TDS</w:t>
                  </w:r>
                </w:p>
              </w:tc>
              <w:tc>
                <w:tcPr>
                  <w:tcW w:w="648" w:type="dxa"/>
                </w:tcPr>
                <w:p w14:paraId="475344A0" w14:textId="77777777" w:rsidR="00B23F52" w:rsidRDefault="00000000">
                  <w:pPr>
                    <w:framePr w:hSpace="180" w:wrap="around" w:vAnchor="page" w:hAnchor="margin" w:xAlign="center" w:y="3301"/>
                    <w:bidi w:val="0"/>
                    <w:jc w:val="left"/>
                  </w:pPr>
                  <w:r>
                    <w:rPr>
                      <w:sz w:val="16"/>
                    </w:rPr>
                    <w:t>1433</w:t>
                  </w:r>
                </w:p>
              </w:tc>
              <w:tc>
                <w:tcPr>
                  <w:tcW w:w="1224" w:type="dxa"/>
                </w:tcPr>
                <w:p w14:paraId="607C7D06" w14:textId="77777777" w:rsidR="00B23F52" w:rsidRDefault="00000000">
                  <w:pPr>
                    <w:framePr w:hSpace="180" w:wrap="around" w:vAnchor="page" w:hAnchor="margin" w:xAlign="center" w:y="3301"/>
                    <w:bidi w:val="0"/>
                    <w:jc w:val="left"/>
                  </w:pPr>
                  <w:r>
                    <w:rPr>
                      <w:sz w:val="16"/>
                    </w:rPr>
                    <w:t>Internal</w:t>
                  </w:r>
                </w:p>
              </w:tc>
              <w:tc>
                <w:tcPr>
                  <w:tcW w:w="2232" w:type="dxa"/>
                </w:tcPr>
                <w:p w14:paraId="22D53349" w14:textId="77777777" w:rsidR="00B23F52" w:rsidRDefault="00000000">
                  <w:pPr>
                    <w:framePr w:hSpace="180" w:wrap="around" w:vAnchor="page" w:hAnchor="margin" w:xAlign="center" w:y="3301"/>
                    <w:bidi w:val="0"/>
                    <w:jc w:val="left"/>
                  </w:pPr>
                  <w:r>
                    <w:rPr>
                      <w:sz w:val="16"/>
                    </w:rPr>
                    <w:t>Data access (SIMF.Identity + SIMF.App)</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5B58DC7A"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7B0F1054" w14:textId="77777777" w:rsidR="00B23F52" w:rsidRDefault="00000000">
                  <w:pPr>
                    <w:framePr w:hSpace="180" w:wrap="around" w:vAnchor="page" w:hAnchor="margin" w:xAlign="center" w:y="3301"/>
                    <w:bidi w:val="0"/>
                    <w:jc w:val="left"/>
                  </w:pPr>
                  <w:r>
                    <w:rPr>
                      <w:sz w:val="16"/>
                    </w:rPr>
                    <w:t>TCP</w:t>
                  </w:r>
                </w:p>
              </w:tc>
              <w:tc>
                <w:tcPr>
                  <w:tcW w:w="648" w:type="dxa"/>
                </w:tcPr>
                <w:p w14:paraId="0BF268D2" w14:textId="77777777" w:rsidR="00B23F52" w:rsidRDefault="00000000">
                  <w:pPr>
                    <w:framePr w:hSpace="180" w:wrap="around" w:vAnchor="page" w:hAnchor="margin" w:xAlign="center" w:y="3301"/>
                    <w:bidi w:val="0"/>
                    <w:jc w:val="left"/>
                  </w:pPr>
                  <w:r>
                    <w:rPr>
                      <w:sz w:val="16"/>
                    </w:rPr>
                    <w:t>5022</w:t>
                  </w:r>
                </w:p>
              </w:tc>
              <w:tc>
                <w:tcPr>
                  <w:tcW w:w="1224" w:type="dxa"/>
                </w:tcPr>
                <w:p w14:paraId="6DABEEF8" w14:textId="77777777" w:rsidR="00B23F52" w:rsidRDefault="00000000">
                  <w:pPr>
                    <w:framePr w:hSpace="180" w:wrap="around" w:vAnchor="page" w:hAnchor="margin" w:xAlign="center" w:y="3301"/>
                    <w:bidi w:val="0"/>
                    <w:jc w:val="left"/>
                  </w:pPr>
                  <w:r>
                    <w:rPr>
                      <w:sz w:val="16"/>
                    </w:rPr>
                    <w:t>Internal</w:t>
                  </w:r>
                </w:p>
              </w:tc>
              <w:tc>
                <w:tcPr>
                  <w:tcW w:w="2232" w:type="dxa"/>
                </w:tcPr>
                <w:p w14:paraId="77FB8026" w14:textId="77777777" w:rsidR="00B23F52" w:rsidRDefault="00000000">
                  <w:pPr>
                    <w:framePr w:hSpace="180" w:wrap="around" w:vAnchor="page" w:hAnchor="margin" w:xAlign="center" w:y="3301"/>
                    <w:bidi w:val="0"/>
                    <w:jc w:val="left"/>
                  </w:pPr>
                  <w:r>
                    <w:rPr>
                      <w:sz w:val="16"/>
                    </w:rPr>
                    <w:t>Availability Group replication</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 / worker host</w:t>
                  </w:r>
                </w:p>
              </w:tc>
              <w:tc>
                <w:tcPr>
                  <w:tcW w:w="1944" w:type="dxa"/>
                </w:tcPr>
                <w:p w14:paraId="47A409C0" w14:textId="77777777" w:rsidR="00B23F52" w:rsidRDefault="00000000">
                  <w:pPr>
                    <w:framePr w:hSpace="180" w:wrap="around" w:vAnchor="page" w:hAnchor="margin" w:xAlign="center" w:y="3301"/>
                    <w:bidi w:val="0"/>
                    <w:jc w:val="left"/>
                  </w:pPr>
                  <w:r>
                    <w:rPr>
                      <w:sz w:val="16"/>
                    </w:rPr>
                    <w:t>SMTP relay</w:t>
                  </w:r>
                </w:p>
              </w:tc>
              <w:tc>
                <w:tcPr>
                  <w:tcW w:w="1224" w:type="dxa"/>
                </w:tcPr>
                <w:p w14:paraId="7B16E1BD" w14:textId="77777777" w:rsidR="00B23F52" w:rsidRDefault="00000000">
                  <w:pPr>
                    <w:framePr w:hSpace="180" w:wrap="around" w:vAnchor="page" w:hAnchor="margin" w:xAlign="center" w:y="3301"/>
                    <w:bidi w:val="0"/>
                    <w:jc w:val="left"/>
                  </w:pPr>
                  <w:r>
                    <w:rPr>
                      <w:sz w:val="16"/>
                    </w:rPr>
                    <w:t>SMTP / TLS</w:t>
                  </w:r>
                </w:p>
              </w:tc>
              <w:tc>
                <w:tcPr>
                  <w:tcW w:w="648" w:type="dxa"/>
                </w:tcPr>
                <w:p w14:paraId="37DF0B71" w14:textId="77777777" w:rsidR="00B23F52" w:rsidRDefault="00000000">
                  <w:pPr>
                    <w:framePr w:hSpace="180" w:wrap="around" w:vAnchor="page" w:hAnchor="margin" w:xAlign="center" w:y="3301"/>
                    <w:bidi w:val="0"/>
                    <w:jc w:val="left"/>
                  </w:pPr>
                  <w:r>
                    <w:rPr>
                      <w:sz w:val="16"/>
                    </w:rPr>
                    <w:t>587</w:t>
                  </w:r>
                </w:p>
              </w:tc>
              <w:tc>
                <w:tcPr>
                  <w:tcW w:w="1224" w:type="dxa"/>
                </w:tcPr>
                <w:p w14:paraId="02C6CA97" w14:textId="77777777" w:rsidR="00B23F52" w:rsidRDefault="00000000">
                  <w:pPr>
                    <w:framePr w:hSpace="180" w:wrap="around" w:vAnchor="page" w:hAnchor="margin" w:xAlign="center" w:y="3301"/>
                    <w:bidi w:val="0"/>
                    <w:jc w:val="left"/>
                  </w:pPr>
                  <w:r>
                    <w:rPr>
                      <w:sz w:val="16"/>
                    </w:rPr>
                    <w:t>Internal</w:t>
                  </w:r>
                </w:p>
              </w:tc>
              <w:tc>
                <w:tcPr>
                  <w:tcW w:w="2232" w:type="dxa"/>
                </w:tcPr>
                <w:p w14:paraId="1F56C2D9" w14:textId="77777777" w:rsidR="00B23F52" w:rsidRDefault="00000000">
                  <w:pPr>
                    <w:framePr w:hSpace="180" w:wrap="around" w:vAnchor="page" w:hAnchor="margin" w:xAlign="center" w:y="3301"/>
                    <w:bidi w:val="0"/>
                    <w:jc w:val="left"/>
                  </w:pPr>
                  <w:r>
                    <w:rPr>
                      <w:sz w:val="16"/>
                    </w:rPr>
                    <w:t>Transactional e-mail dispatch, internal relay, no Internet gateway</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1F9AFD6C" w14:textId="77777777" w:rsidR="00B23F52" w:rsidRDefault="00000000">
                  <w:pPr>
                    <w:framePr w:hSpace="180" w:wrap="around" w:vAnchor="page" w:hAnchor="margin" w:xAlign="center" w:y="3301"/>
                    <w:bidi w:val="0"/>
                    <w:jc w:val="left"/>
                  </w:pPr>
                  <w:r>
                    <w:rPr>
                      <w:sz w:val="16"/>
                    </w:rPr>
                    <w:t>Log collector / SIEM</w:t>
                  </w:r>
                </w:p>
              </w:tc>
              <w:tc>
                <w:tcPr>
                  <w:tcW w:w="1224" w:type="dxa"/>
                </w:tcPr>
                <w:p w14:paraId="17F8D827" w14:textId="77777777" w:rsidR="00B23F52" w:rsidRDefault="00000000">
                  <w:pPr>
                    <w:framePr w:hSpace="180" w:wrap="around" w:vAnchor="page" w:hAnchor="margin" w:xAlign="center" w:y="3301"/>
                    <w:bidi w:val="0"/>
                    <w:jc w:val="left"/>
                  </w:pPr>
                  <w:r>
                    <w:rPr>
                      <w:sz w:val="16"/>
                    </w:rPr>
                    <w:t>Syslog / TLS</w:t>
                  </w:r>
                </w:p>
              </w:tc>
              <w:tc>
                <w:tcPr>
                  <w:tcW w:w="648" w:type="dxa"/>
                </w:tcPr>
                <w:p w14:paraId="40890152" w14:textId="77777777" w:rsidR="00B23F52" w:rsidRDefault="00000000">
                  <w:pPr>
                    <w:framePr w:hSpace="180" w:wrap="around" w:vAnchor="page" w:hAnchor="margin" w:xAlign="center" w:y="3301"/>
                    <w:bidi w:val="0"/>
                    <w:jc w:val="left"/>
                  </w:pPr>
                  <w:r>
                    <w:rPr>
                      <w:sz w:val="16"/>
                    </w:rPr>
                    <w:t>6514</w:t>
                  </w:r>
                </w:p>
              </w:tc>
              <w:tc>
                <w:tcPr>
                  <w:tcW w:w="1224" w:type="dxa"/>
                </w:tcPr>
                <w:p w14:paraId="6304869F" w14:textId="77777777" w:rsidR="00B23F52" w:rsidRDefault="00000000">
                  <w:pPr>
                    <w:framePr w:hSpace="180" w:wrap="around" w:vAnchor="page" w:hAnchor="margin" w:xAlign="center" w:y="3301"/>
                    <w:bidi w:val="0"/>
                    <w:jc w:val="left"/>
                  </w:pPr>
                  <w:r>
                    <w:rPr>
                      <w:sz w:val="16"/>
                    </w:rPr>
                    <w:t>Internal</w:t>
                  </w:r>
                </w:p>
              </w:tc>
              <w:tc>
                <w:tcPr>
                  <w:tcW w:w="2232" w:type="dxa"/>
                </w:tcPr>
                <w:p w14:paraId="3FAD67D0" w14:textId="77777777" w:rsidR="00B23F52" w:rsidRDefault="00000000">
                  <w:pPr>
                    <w:framePr w:hSpace="180" w:wrap="around" w:vAnchor="page" w:hAnchor="margin" w:xAlign="center" w:y="3301"/>
                    <w:bidi w:val="0"/>
                    <w:jc w:val="left"/>
                  </w:pPr>
                  <w:r>
                    <w:rPr>
                      <w:sz w:val="16"/>
                    </w:rPr>
                    <w:t>Centralised structured logging, forwarded by a host log shipper</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Shared file store</w:t>
                  </w:r>
                </w:p>
              </w:tc>
              <w:tc>
                <w:tcPr>
                  <w:tcW w:w="1224" w:type="dxa"/>
                </w:tcPr>
                <w:p w14:paraId="45602E92" w14:textId="77777777" w:rsidR="00B23F52" w:rsidRDefault="00000000">
                  <w:pPr>
                    <w:framePr w:hSpace="180" w:wrap="around" w:vAnchor="page" w:hAnchor="margin" w:xAlign="center" w:y="3301"/>
                    <w:bidi w:val="0"/>
                    <w:jc w:val="left"/>
                  </w:pPr>
                  <w:r>
                    <w:rPr>
                      <w:sz w:val="16"/>
                    </w:rPr>
                    <w:t>SMB</w:t>
                  </w:r>
                </w:p>
              </w:tc>
              <w:tc>
                <w:tcPr>
                  <w:tcW w:w="648" w:type="dxa"/>
                </w:tcPr>
                <w:p w14:paraId="15E77454" w14:textId="77777777" w:rsidR="00B23F52" w:rsidRDefault="00000000">
                  <w:pPr>
                    <w:framePr w:hSpace="180" w:wrap="around" w:vAnchor="page" w:hAnchor="margin" w:xAlign="center" w:y="3301"/>
                    <w:bidi w:val="0"/>
                    <w:jc w:val="left"/>
                  </w:pPr>
                  <w:r>
                    <w:rPr>
                      <w:sz w:val="16"/>
                    </w:rPr>
                    <w:t>445</w:t>
                  </w:r>
                </w:p>
              </w:tc>
              <w:tc>
                <w:tcPr>
                  <w:tcW w:w="1224" w:type="dxa"/>
                </w:tcPr>
                <w:p w14:paraId="6B667375" w14:textId="77777777" w:rsidR="00B23F52" w:rsidRDefault="00000000">
                  <w:pPr>
                    <w:framePr w:hSpace="180" w:wrap="around" w:vAnchor="page" w:hAnchor="margin" w:xAlign="center" w:y="3301"/>
                    <w:bidi w:val="0"/>
                    <w:jc w:val="left"/>
                  </w:pPr>
                  <w:r>
                    <w:rPr>
                      <w:sz w:val="16"/>
                    </w:rPr>
                    <w:t>Internal</w:t>
                  </w:r>
                </w:p>
              </w:tc>
              <w:tc>
                <w:tcPr>
                  <w:tcW w:w="2232" w:type="dxa"/>
                </w:tcPr>
                <w:p w14:paraId="54685181" w14:textId="77777777" w:rsidR="00B23F52" w:rsidRDefault="00000000">
                  <w:pPr>
                    <w:framePr w:hSpace="180" w:wrap="around" w:vAnchor="page" w:hAnchor="margin" w:xAlign="center" w:y="3301"/>
                    <w:bidi w:val="0"/>
                    <w:jc w:val="left"/>
                  </w:pPr>
                  <w:r>
                    <w:rPr>
                      <w:sz w:val="16"/>
                    </w:rPr>
                    <w:t>File store access</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Controlled egress point</w:t>
                  </w:r>
                </w:p>
              </w:tc>
              <w:tc>
                <w:tcPr>
                  <w:tcW w:w="1224" w:type="dxa"/>
                </w:tcPr>
                <w:p w14:paraId="6D0FB599" w14:textId="77777777" w:rsidR="00B23F52" w:rsidRDefault="00000000">
                  <w:pPr>
                    <w:framePr w:hSpace="180" w:wrap="around" w:vAnchor="page" w:hAnchor="margin" w:xAlign="center" w:y="3301"/>
                    <w:bidi w:val="0"/>
                    <w:jc w:val="left"/>
                  </w:pPr>
                  <w:r>
                    <w:rPr>
                      <w:sz w:val="16"/>
                    </w:rPr>
                    <w:t>HTTPS</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Outbound</w:t>
                  </w:r>
                </w:p>
              </w:tc>
              <w:tc>
                <w:tcPr>
                  <w:tcW w:w="2232" w:type="dxa"/>
                </w:tcPr>
                <w:p w14:paraId="5670D8C4" w14:textId="77777777" w:rsidR="00B23F52" w:rsidRDefault="00000000">
                  <w:pPr>
                    <w:framePr w:hSpace="180" w:wrap="around" w:vAnchor="page" w:hAnchor="margin" w:xAlign="center" w:y="3301"/>
                    <w:bidi w:val="0"/>
                    <w:jc w:val="left"/>
                  </w:pPr>
                  <w:r>
                    <w:rPr>
                      <w:sz w:val="16"/>
                    </w:rPr>
                    <w:t>Outbound caption import, the only outbound flow</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SIMF.Api</w:t>
                  </w:r>
                </w:p>
              </w:tc>
              <w:tc>
                <w:tcPr>
                  <w:tcW w:w="1944" w:type="dxa"/>
                </w:tcPr>
                <w:p w14:paraId="014DAFDB" w14:textId="77777777" w:rsidR="00B23F52" w:rsidRDefault="00000000">
                  <w:pPr>
                    <w:framePr w:hSpace="180" w:wrap="around" w:vAnchor="page" w:hAnchor="margin" w:xAlign="center" w:y="3301"/>
                    <w:bidi w:val="0"/>
                    <w:jc w:val="left"/>
                  </w:pPr>
                  <w:r>
                    <w:rPr>
                      <w:sz w:val="16"/>
                    </w:rPr>
                    <w:t>AI endpoint (configured)</w:t>
                  </w:r>
                </w:p>
              </w:tc>
              <w:tc>
                <w:tcPr>
                  <w:tcW w:w="1224" w:type="dxa"/>
                </w:tcPr>
                <w:p w14:paraId="1C601D0F" w14:textId="77777777" w:rsidR="00B23F52" w:rsidRDefault="00000000">
                  <w:pPr>
                    <w:framePr w:hSpace="180" w:wrap="around" w:vAnchor="page" w:hAnchor="margin" w:xAlign="center" w:y="3301"/>
                    <w:bidi w:val="0"/>
                    <w:jc w:val="left"/>
                  </w:pPr>
                  <w:r>
                    <w:rPr>
                      <w:sz w:val="16"/>
                    </w:rPr>
                    <w:t>HTTPS</w:t>
                  </w:r>
                </w:p>
              </w:tc>
              <w:tc>
                <w:tcPr>
                  <w:tcW w:w="648" w:type="dxa"/>
                </w:tcPr>
                <w:p w14:paraId="2E477A47" w14:textId="77777777" w:rsidR="00B23F52" w:rsidRDefault="00000000">
                  <w:pPr>
                    <w:framePr w:hSpace="180" w:wrap="around" w:vAnchor="page" w:hAnchor="margin" w:xAlign="center" w:y="3301"/>
                    <w:bidi w:val="0"/>
                    <w:jc w:val="left"/>
                  </w:pPr>
                  <w:r>
                    <w:rPr>
                      <w:sz w:val="16"/>
                    </w:rPr>
                    <w:t>443</w:t>
                  </w:r>
                </w:p>
              </w:tc>
              <w:tc>
                <w:tcPr>
                  <w:tcW w:w="1224" w:type="dxa"/>
                </w:tcPr>
                <w:p w14:paraId="072AD31F" w14:textId="77777777" w:rsidR="00B23F52" w:rsidRDefault="00000000">
                  <w:pPr>
                    <w:framePr w:hSpace="180" w:wrap="around" w:vAnchor="page" w:hAnchor="margin" w:xAlign="center" w:y="3301"/>
                    <w:bidi w:val="0"/>
                    <w:jc w:val="left"/>
                  </w:pPr>
                  <w:r>
                    <w:rPr>
                      <w:sz w:val="16"/>
                    </w:rPr>
                    <w:t>Internal</w:t>
                  </w:r>
                </w:p>
              </w:tc>
              <w:tc>
                <w:tcPr>
                  <w:tcW w:w="2232" w:type="dxa"/>
                </w:tcPr>
                <w:p w14:paraId="10F1F583" w14:textId="77777777" w:rsidR="00B23F52" w:rsidRDefault="00000000">
                  <w:pPr>
                    <w:framePr w:hSpace="180" w:wrap="around" w:vAnchor="page" w:hAnchor="margin" w:xAlign="center" w:y="3301"/>
                    <w:bidi w:val="0"/>
                    <w:jc w:val="left"/>
                  </w:pPr>
                  <w:r>
                    <w:rPr>
                      <w:sz w:val="16"/>
                    </w:rPr>
                    <w:t>AI inference. No provider enabled in this delivery</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Controlled egress point</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14:paraId="7C0D0976" w14:textId="77777777" w:rsidR="00B23F52" w:rsidRDefault="00B23F52"/>
          <w:p w14:paraId="1B30EB15" w14:textId="77777777" w:rsidR="00B23F52" w:rsidRDefault="00000000">
            <w:pPr>
              <w:bidi w:val="0"/>
              <w:jc w:val="left"/>
            </w:pPr>
            <w:r>
              <w:rPr>
                <w:i/>
                <w:color w:val="444444"/>
                <w:sz w:val="22"/>
              </w:rPr>
              <w:t>IP addresses and ranges are assigned by the site network team.</w:t>
            </w:r>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personal or operational data is sent to any cloud artificial-intelligence service; what may be sent is session content to summarise and question text to filter, carrying no attendee identity.</w:t>
            </w:r>
            <w:r>
              <w:rPr>
                <w:sz w:val="24"/>
              </w:rPr>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 Development and test use a single Standard-edition node.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Enterprise Availability Group scales the read-heavy load on its readable secondary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client polling on a bounded interval for live data, with no server-push transport in this build; indexed, projected and server-paged queries; asynchronous e-mail dispatch; and application-layer caching. Load-test to peak shapes in staging and monitor via dashboards, scaling on usage thresholds.</w:t>
            </w:r>
            <w:r>
              <w:rPr>
                <w:sz w:val="24"/>
              </w:rPr>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 xml:space="preserve">Potential Impact: </w:t>
            </w:r>
            <w:r>
              <w:rPr>
                <w:sz w:val="24"/>
              </w:rPr>
              <w:t>the caption import depends on outbound internet access. If egress is not approved, subtitle import does not operate and the administrator pastes or uploads the transcript instead. The AI features are not affected, because inference is performed A misconfigured egress rule could widen the attack surface, and enabling an external AI provider would add a second outbound destination that needs a data-residency decision first.</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 The only outbound route in the estate belongs to the Control Panel, for the YouTube caption import.</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18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Provided. Figure 2 for components and interaction, Figure 3 for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AI provider today.</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Both internal to the SSA zone. SMTP on 587, SIEM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No AI egress exists today. Any egress is via the egress point and edge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