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2591"/>
        <w:tblW w:w="58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3338"/>
        <w:gridCol w:w="2800"/>
        <w:gridCol w:w="1445"/>
        <w:gridCol w:w="904"/>
        <w:gridCol w:w="2458"/>
      </w:tblGrid>
      <w:tr w:rsidR="007A37ED" w:rsidRPr="00B1374D" w14:paraId="138B9054" w14:textId="77777777" w:rsidTr="00B1374D">
        <w:trPr>
          <w:trHeight w:val="344"/>
        </w:trPr>
        <w:tc>
          <w:tcPr>
            <w:tcW w:w="5000" w:type="pct"/>
            <w:gridSpan w:val="5"/>
            <w:shd w:val="clear" w:color="auto" w:fill="29504D"/>
            <w:vAlign w:val="center"/>
          </w:tcPr>
          <w:p w14:paraId="638F826E" w14:textId="77777777" w:rsidR="00D54080" w:rsidRPr="00B1374D" w:rsidRDefault="0025115B" w:rsidP="00B1374D">
            <w:pPr>
              <w:bidi w:val="0"/>
              <w:jc w:val="left"/>
              <w:rPr>
                <w:sz w:val="20"/>
                <w:szCs w:val="20"/>
                <w:rtl/>
              </w:rPr>
            </w:pPr>
            <w:bookmarkStart w:id="0" w:name="_Toc530397830"/>
            <w:bookmarkStart w:id="1" w:name="_Toc57114561"/>
            <w:r w:rsidRPr="00B1374D">
              <w:rPr>
                <w:color w:val="FFFFFF" w:themeColor="background1"/>
                <w:sz w:val="20"/>
                <w:szCs w:val="20"/>
              </w:rPr>
              <w:t>Requester information</w:t>
            </w:r>
          </w:p>
        </w:tc>
      </w:tr>
      <w:tr w:rsidR="009E78F7" w:rsidRPr="00B1374D" w14:paraId="384C7649" w14:textId="77777777" w:rsidTr="00B1374D">
        <w:trPr>
          <w:trHeight w:val="269"/>
        </w:trPr>
        <w:tc>
          <w:tcPr>
            <w:tcW w:w="1525" w:type="pct"/>
            <w:shd w:val="clear" w:color="auto" w:fill="E7E6E6" w:themeFill="background2"/>
            <w:vAlign w:val="center"/>
          </w:tcPr>
          <w:p w14:paraId="6C2C9C3D" w14:textId="77777777" w:rsidR="007A37ED" w:rsidRPr="00B1374D" w:rsidRDefault="0025115B" w:rsidP="00B1374D">
            <w:pPr>
              <w:bidi w:val="0"/>
              <w:jc w:val="left"/>
              <w:rPr>
                <w:sz w:val="20"/>
                <w:szCs w:val="20"/>
                <w:rtl/>
              </w:rPr>
            </w:pPr>
            <w:r w:rsidRPr="00B1374D">
              <w:rPr>
                <w:sz w:val="20"/>
                <w:szCs w:val="20"/>
              </w:rPr>
              <w:t>Requester Name:</w:t>
            </w:r>
          </w:p>
        </w:tc>
        <w:tc>
          <w:tcPr>
            <w:tcW w:w="1279" w:type="pct"/>
            <w:vAlign w:val="center"/>
          </w:tcPr>
          <w:p w14:paraId="0672B312" w14:textId="612AAC31" w:rsidR="00B23F52" w:rsidRPr="00B1374D" w:rsidRDefault="00FA456E" w:rsidP="00B1374D">
            <w:pPr>
              <w:bidi w:val="0"/>
              <w:jc w:val="left"/>
              <w:rPr>
                <w:sz w:val="20"/>
                <w:szCs w:val="20"/>
              </w:rPr>
            </w:pPr>
            <w:r w:rsidRPr="00B1374D">
              <w:rPr>
                <w:sz w:val="20"/>
                <w:szCs w:val="20"/>
              </w:rPr>
              <w:t xml:space="preserve">  </w:t>
            </w:r>
          </w:p>
        </w:tc>
        <w:tc>
          <w:tcPr>
            <w:tcW w:w="1073" w:type="pct"/>
            <w:gridSpan w:val="2"/>
            <w:shd w:val="clear" w:color="auto" w:fill="E7E6E6" w:themeFill="background2"/>
            <w:vAlign w:val="center"/>
          </w:tcPr>
          <w:p w14:paraId="794C6405" w14:textId="77777777" w:rsidR="007A37ED" w:rsidRPr="00B1374D" w:rsidRDefault="0025115B" w:rsidP="00B1374D">
            <w:pPr>
              <w:bidi w:val="0"/>
              <w:jc w:val="left"/>
              <w:rPr>
                <w:sz w:val="20"/>
                <w:szCs w:val="20"/>
              </w:rPr>
            </w:pPr>
            <w:r w:rsidRPr="00B1374D">
              <w:rPr>
                <w:sz w:val="20"/>
                <w:szCs w:val="20"/>
              </w:rPr>
              <w:t>General Department:</w:t>
            </w:r>
          </w:p>
        </w:tc>
        <w:tc>
          <w:tcPr>
            <w:tcW w:w="1123" w:type="pct"/>
            <w:vAlign w:val="center"/>
          </w:tcPr>
          <w:p w14:paraId="02A613A6" w14:textId="22C64A0C" w:rsidR="00B23F52" w:rsidRPr="00B1374D" w:rsidRDefault="00FA456E" w:rsidP="00B1374D">
            <w:pPr>
              <w:bidi w:val="0"/>
              <w:jc w:val="left"/>
              <w:rPr>
                <w:sz w:val="20"/>
                <w:szCs w:val="20"/>
              </w:rPr>
            </w:pPr>
            <w:r w:rsidRPr="00B1374D">
              <w:rPr>
                <w:sz w:val="20"/>
                <w:szCs w:val="20"/>
              </w:rPr>
              <w:t xml:space="preserve"> </w:t>
            </w:r>
          </w:p>
        </w:tc>
      </w:tr>
      <w:tr w:rsidR="009E78F7" w:rsidRPr="00B1374D" w14:paraId="5ED1002C" w14:textId="77777777" w:rsidTr="00B1374D">
        <w:trPr>
          <w:trHeight w:val="269"/>
        </w:trPr>
        <w:tc>
          <w:tcPr>
            <w:tcW w:w="1525" w:type="pct"/>
            <w:shd w:val="clear" w:color="auto" w:fill="E7E6E6" w:themeFill="background2"/>
            <w:vAlign w:val="center"/>
          </w:tcPr>
          <w:p w14:paraId="6862A416" w14:textId="77777777" w:rsidR="007A37ED" w:rsidRPr="00B1374D" w:rsidRDefault="0025115B" w:rsidP="00B1374D">
            <w:pPr>
              <w:bidi w:val="0"/>
              <w:jc w:val="left"/>
              <w:rPr>
                <w:sz w:val="20"/>
                <w:szCs w:val="20"/>
                <w:rtl/>
              </w:rPr>
            </w:pPr>
            <w:r w:rsidRPr="00B1374D">
              <w:rPr>
                <w:sz w:val="20"/>
                <w:szCs w:val="20"/>
              </w:rPr>
              <w:t>Email:</w:t>
            </w:r>
          </w:p>
        </w:tc>
        <w:tc>
          <w:tcPr>
            <w:tcW w:w="1279" w:type="pct"/>
            <w:vAlign w:val="center"/>
          </w:tcPr>
          <w:p w14:paraId="2B3DE178" w14:textId="13129DAA" w:rsidR="00B23F52" w:rsidRPr="00B1374D" w:rsidRDefault="00FA456E" w:rsidP="00B1374D">
            <w:pPr>
              <w:bidi w:val="0"/>
              <w:jc w:val="left"/>
              <w:rPr>
                <w:sz w:val="20"/>
                <w:szCs w:val="20"/>
              </w:rPr>
            </w:pPr>
            <w:r w:rsidRPr="00B1374D">
              <w:rPr>
                <w:sz w:val="20"/>
                <w:szCs w:val="20"/>
              </w:rPr>
              <w:t xml:space="preserve"> </w:t>
            </w:r>
          </w:p>
        </w:tc>
        <w:tc>
          <w:tcPr>
            <w:tcW w:w="1073" w:type="pct"/>
            <w:gridSpan w:val="2"/>
            <w:shd w:val="clear" w:color="auto" w:fill="E7E6E6" w:themeFill="background2"/>
            <w:vAlign w:val="center"/>
          </w:tcPr>
          <w:p w14:paraId="7FFF8DA2" w14:textId="77777777" w:rsidR="007A37ED" w:rsidRPr="00B1374D" w:rsidRDefault="0025115B" w:rsidP="00B1374D">
            <w:pPr>
              <w:bidi w:val="0"/>
              <w:jc w:val="left"/>
              <w:rPr>
                <w:sz w:val="20"/>
                <w:szCs w:val="20"/>
              </w:rPr>
            </w:pPr>
            <w:r w:rsidRPr="00B1374D">
              <w:rPr>
                <w:sz w:val="20"/>
                <w:szCs w:val="20"/>
              </w:rPr>
              <w:t>Section:</w:t>
            </w:r>
          </w:p>
        </w:tc>
        <w:tc>
          <w:tcPr>
            <w:tcW w:w="1123" w:type="pct"/>
            <w:vAlign w:val="center"/>
          </w:tcPr>
          <w:p w14:paraId="09E98647" w14:textId="7CF62847" w:rsidR="00B23F52" w:rsidRPr="00B1374D" w:rsidRDefault="00FA456E" w:rsidP="00B1374D">
            <w:pPr>
              <w:bidi w:val="0"/>
              <w:jc w:val="left"/>
              <w:rPr>
                <w:sz w:val="20"/>
                <w:szCs w:val="20"/>
              </w:rPr>
            </w:pPr>
            <w:r w:rsidRPr="00B1374D">
              <w:rPr>
                <w:sz w:val="20"/>
                <w:szCs w:val="20"/>
              </w:rPr>
              <w:t xml:space="preserve"> </w:t>
            </w:r>
          </w:p>
        </w:tc>
      </w:tr>
      <w:tr w:rsidR="009E78F7" w:rsidRPr="00B1374D" w14:paraId="0378BC40" w14:textId="77777777" w:rsidTr="00B1374D">
        <w:trPr>
          <w:trHeight w:val="269"/>
        </w:trPr>
        <w:tc>
          <w:tcPr>
            <w:tcW w:w="1525" w:type="pct"/>
            <w:shd w:val="clear" w:color="auto" w:fill="E7E6E6" w:themeFill="background2"/>
            <w:vAlign w:val="center"/>
          </w:tcPr>
          <w:p w14:paraId="13008289" w14:textId="77777777" w:rsidR="007A37ED" w:rsidRPr="00B1374D" w:rsidRDefault="0025115B" w:rsidP="00B1374D">
            <w:pPr>
              <w:pStyle w:val="NoSpacing"/>
              <w:rPr>
                <w:rFonts w:asciiTheme="minorHAnsi" w:eastAsiaTheme="minorHAnsi" w:hAnsiTheme="minorHAnsi" w:cstheme="minorHAnsi"/>
                <w:sz w:val="20"/>
                <w:szCs w:val="20"/>
                <w:rtl/>
              </w:rPr>
            </w:pPr>
            <w:r w:rsidRPr="00B1374D">
              <w:rPr>
                <w:rFonts w:asciiTheme="minorHAnsi" w:eastAsiaTheme="minorHAnsi" w:hAnsiTheme="minorHAnsi" w:cstheme="minorHAnsi"/>
                <w:b/>
                <w:bCs/>
                <w:sz w:val="20"/>
                <w:szCs w:val="20"/>
              </w:rPr>
              <w:t>Phone Number/extension:</w:t>
            </w:r>
          </w:p>
        </w:tc>
        <w:tc>
          <w:tcPr>
            <w:tcW w:w="1279" w:type="pct"/>
            <w:vAlign w:val="center"/>
          </w:tcPr>
          <w:p w14:paraId="159C807D" w14:textId="7CAFB2E6" w:rsidR="00B23F52" w:rsidRPr="00B1374D" w:rsidRDefault="00FA456E" w:rsidP="00B1374D">
            <w:pPr>
              <w:bidi w:val="0"/>
              <w:jc w:val="left"/>
              <w:rPr>
                <w:sz w:val="20"/>
                <w:szCs w:val="20"/>
              </w:rPr>
            </w:pPr>
            <w:r w:rsidRPr="00B1374D">
              <w:rPr>
                <w:sz w:val="20"/>
                <w:szCs w:val="20"/>
              </w:rPr>
              <w:t xml:space="preserve"> </w:t>
            </w:r>
          </w:p>
        </w:tc>
        <w:tc>
          <w:tcPr>
            <w:tcW w:w="1073" w:type="pct"/>
            <w:gridSpan w:val="2"/>
            <w:shd w:val="clear" w:color="auto" w:fill="E7E6E6" w:themeFill="background2"/>
            <w:vAlign w:val="center"/>
          </w:tcPr>
          <w:p w14:paraId="2FF9F029" w14:textId="77777777" w:rsidR="007A37ED" w:rsidRPr="00B1374D" w:rsidRDefault="0025115B" w:rsidP="00B1374D">
            <w:pPr>
              <w:bidi w:val="0"/>
              <w:jc w:val="left"/>
              <w:rPr>
                <w:sz w:val="20"/>
                <w:szCs w:val="20"/>
              </w:rPr>
            </w:pPr>
            <w:r w:rsidRPr="00B1374D">
              <w:rPr>
                <w:sz w:val="20"/>
                <w:szCs w:val="20"/>
              </w:rPr>
              <w:t xml:space="preserve">Force or </w:t>
            </w:r>
            <w:r w:rsidR="008A5C89" w:rsidRPr="00B1374D">
              <w:rPr>
                <w:sz w:val="20"/>
                <w:szCs w:val="20"/>
              </w:rPr>
              <w:t>BU</w:t>
            </w:r>
            <w:r w:rsidRPr="00B1374D">
              <w:rPr>
                <w:sz w:val="20"/>
                <w:szCs w:val="20"/>
              </w:rPr>
              <w:t>:</w:t>
            </w:r>
          </w:p>
        </w:tc>
        <w:tc>
          <w:tcPr>
            <w:tcW w:w="1123" w:type="pct"/>
            <w:vAlign w:val="center"/>
          </w:tcPr>
          <w:p w14:paraId="227F29F1" w14:textId="56C4E2F7" w:rsidR="00B23F52" w:rsidRPr="00B1374D" w:rsidRDefault="00FA456E" w:rsidP="00B1374D">
            <w:pPr>
              <w:bidi w:val="0"/>
              <w:jc w:val="left"/>
              <w:rPr>
                <w:sz w:val="20"/>
                <w:szCs w:val="20"/>
              </w:rPr>
            </w:pPr>
            <w:r w:rsidRPr="00B1374D">
              <w:rPr>
                <w:sz w:val="20"/>
                <w:szCs w:val="20"/>
              </w:rPr>
              <w:t xml:space="preserve"> </w:t>
            </w:r>
          </w:p>
        </w:tc>
      </w:tr>
      <w:tr w:rsidR="007A37ED" w:rsidRPr="00B1374D" w14:paraId="610BF84B" w14:textId="77777777" w:rsidTr="00B1374D">
        <w:trPr>
          <w:trHeight w:val="549"/>
        </w:trPr>
        <w:tc>
          <w:tcPr>
            <w:tcW w:w="5000" w:type="pct"/>
            <w:gridSpan w:val="5"/>
            <w:shd w:val="clear" w:color="auto" w:fill="29504D"/>
            <w:vAlign w:val="center"/>
          </w:tcPr>
          <w:p w14:paraId="49DA917B" w14:textId="77777777" w:rsidR="00D54080" w:rsidRPr="00B1374D" w:rsidRDefault="00ED64C0" w:rsidP="00B1374D">
            <w:pPr>
              <w:bidi w:val="0"/>
              <w:jc w:val="left"/>
              <w:rPr>
                <w:bCs/>
                <w:sz w:val="20"/>
                <w:szCs w:val="20"/>
                <w:rtl/>
              </w:rPr>
            </w:pPr>
            <w:r w:rsidRPr="00B1374D">
              <w:rPr>
                <w:color w:val="FFFFFF" w:themeColor="background1"/>
                <w:sz w:val="20"/>
                <w:szCs w:val="20"/>
              </w:rPr>
              <w:t>Strategic Information</w:t>
            </w:r>
            <w:r w:rsidR="002D001F" w:rsidRPr="00B1374D">
              <w:rPr>
                <w:color w:val="FFFFFF" w:themeColor="background1"/>
                <w:sz w:val="20"/>
                <w:szCs w:val="20"/>
              </w:rPr>
              <w:t xml:space="preserve"> </w:t>
            </w:r>
            <w:r w:rsidR="007502CA" w:rsidRPr="00B1374D">
              <w:rPr>
                <w:color w:val="FFFFFF" w:themeColor="background1"/>
                <w:sz w:val="20"/>
                <w:szCs w:val="20"/>
              </w:rPr>
              <w:t>(</w:t>
            </w:r>
            <w:r w:rsidR="003B600B" w:rsidRPr="00B1374D">
              <w:rPr>
                <w:color w:val="FFFFFF" w:themeColor="background1"/>
                <w:sz w:val="20"/>
                <w:szCs w:val="20"/>
              </w:rPr>
              <w:t xml:space="preserve">Filled </w:t>
            </w:r>
            <w:proofErr w:type="gramStart"/>
            <w:r w:rsidR="003B600B" w:rsidRPr="00B1374D">
              <w:rPr>
                <w:color w:val="FFFFFF" w:themeColor="background1"/>
                <w:sz w:val="20"/>
                <w:szCs w:val="20"/>
              </w:rPr>
              <w:t>By</w:t>
            </w:r>
            <w:proofErr w:type="gramEnd"/>
            <w:r w:rsidR="003B600B" w:rsidRPr="00B1374D">
              <w:rPr>
                <w:color w:val="FFFFFF" w:themeColor="background1"/>
                <w:sz w:val="20"/>
                <w:szCs w:val="20"/>
              </w:rPr>
              <w:t xml:space="preserve"> </w:t>
            </w:r>
            <w:r w:rsidR="007502CA" w:rsidRPr="00B1374D">
              <w:rPr>
                <w:color w:val="FFFFFF" w:themeColor="background1"/>
                <w:sz w:val="20"/>
                <w:szCs w:val="20"/>
              </w:rPr>
              <w:t>Project</w:t>
            </w:r>
            <w:r w:rsidR="002D001F" w:rsidRPr="00B1374D">
              <w:rPr>
                <w:color w:val="FFFFFF" w:themeColor="background1"/>
                <w:sz w:val="20"/>
                <w:szCs w:val="20"/>
              </w:rPr>
              <w:t xml:space="preserve"> </w:t>
            </w:r>
            <w:r w:rsidR="007502CA" w:rsidRPr="00B1374D">
              <w:rPr>
                <w:color w:val="FFFFFF" w:themeColor="background1"/>
                <w:sz w:val="20"/>
                <w:szCs w:val="20"/>
              </w:rPr>
              <w:t>Owner)</w:t>
            </w:r>
          </w:p>
        </w:tc>
      </w:tr>
      <w:tr w:rsidR="00BE3A54" w:rsidRPr="00B1374D" w14:paraId="5B985599" w14:textId="77777777" w:rsidTr="00B1374D">
        <w:trPr>
          <w:trHeight w:val="211"/>
        </w:trPr>
        <w:tc>
          <w:tcPr>
            <w:tcW w:w="1525" w:type="pct"/>
            <w:shd w:val="clear" w:color="auto" w:fill="F2F2F2" w:themeFill="background1" w:themeFillShade="F2"/>
            <w:vAlign w:val="center"/>
          </w:tcPr>
          <w:p w14:paraId="23414292" w14:textId="77777777" w:rsidR="00BE3A54" w:rsidRPr="00B1374D" w:rsidRDefault="00ED64C0" w:rsidP="00B1374D">
            <w:pPr>
              <w:bidi w:val="0"/>
              <w:jc w:val="left"/>
              <w:rPr>
                <w:sz w:val="20"/>
                <w:szCs w:val="20"/>
              </w:rPr>
            </w:pPr>
            <w:r w:rsidRPr="00B1374D">
              <w:rPr>
                <w:sz w:val="20"/>
                <w:szCs w:val="20"/>
              </w:rPr>
              <w:t>Initiative Name</w:t>
            </w:r>
          </w:p>
        </w:tc>
        <w:tc>
          <w:tcPr>
            <w:tcW w:w="1279" w:type="pct"/>
            <w:shd w:val="clear" w:color="auto" w:fill="FFFFFF" w:themeFill="background1"/>
            <w:vAlign w:val="center"/>
          </w:tcPr>
          <w:p w14:paraId="19A38F0B" w14:textId="4134DD83" w:rsidR="00B23F52" w:rsidRPr="00B1374D" w:rsidRDefault="00FA456E" w:rsidP="00B1374D">
            <w:pPr>
              <w:bidi w:val="0"/>
              <w:jc w:val="left"/>
              <w:rPr>
                <w:sz w:val="20"/>
                <w:szCs w:val="20"/>
              </w:rPr>
            </w:pPr>
            <w:r w:rsidRPr="00B1374D">
              <w:rPr>
                <w:sz w:val="20"/>
                <w:szCs w:val="20"/>
              </w:rPr>
              <w:t xml:space="preserve"> </w:t>
            </w:r>
          </w:p>
        </w:tc>
        <w:tc>
          <w:tcPr>
            <w:tcW w:w="1073" w:type="pct"/>
            <w:gridSpan w:val="2"/>
            <w:shd w:val="clear" w:color="auto" w:fill="F2F2F2" w:themeFill="background1" w:themeFillShade="F2"/>
            <w:vAlign w:val="center"/>
          </w:tcPr>
          <w:p w14:paraId="32B34EB9" w14:textId="77777777" w:rsidR="00BE3A54" w:rsidRPr="00B1374D" w:rsidRDefault="00ED64C0" w:rsidP="00B1374D">
            <w:pPr>
              <w:bidi w:val="0"/>
              <w:jc w:val="left"/>
              <w:rPr>
                <w:sz w:val="20"/>
                <w:szCs w:val="20"/>
                <w:rtl/>
              </w:rPr>
            </w:pPr>
            <w:r w:rsidRPr="00B1374D">
              <w:rPr>
                <w:sz w:val="20"/>
                <w:szCs w:val="20"/>
              </w:rPr>
              <w:t>Priority</w:t>
            </w:r>
          </w:p>
        </w:tc>
        <w:tc>
          <w:tcPr>
            <w:tcW w:w="1123" w:type="pct"/>
            <w:vAlign w:val="center"/>
          </w:tcPr>
          <w:p w14:paraId="23DFCBC0" w14:textId="64E7C0DB" w:rsidR="00B23F52" w:rsidRPr="00B1374D" w:rsidRDefault="00FA456E" w:rsidP="00B1374D">
            <w:pPr>
              <w:bidi w:val="0"/>
              <w:jc w:val="left"/>
              <w:rPr>
                <w:sz w:val="20"/>
                <w:szCs w:val="20"/>
              </w:rPr>
            </w:pPr>
            <w:r w:rsidRPr="00B1374D">
              <w:rPr>
                <w:sz w:val="20"/>
                <w:szCs w:val="20"/>
              </w:rPr>
              <w:t xml:space="preserve"> </w:t>
            </w:r>
          </w:p>
        </w:tc>
      </w:tr>
      <w:tr w:rsidR="0038073F" w:rsidRPr="00B1374D" w14:paraId="28BC744B" w14:textId="77777777" w:rsidTr="00B1374D">
        <w:trPr>
          <w:trHeight w:val="220"/>
        </w:trPr>
        <w:tc>
          <w:tcPr>
            <w:tcW w:w="1525" w:type="pct"/>
            <w:tcBorders>
              <w:bottom w:val="single" w:sz="4" w:space="0" w:color="auto"/>
            </w:tcBorders>
            <w:shd w:val="clear" w:color="auto" w:fill="F2F2F2" w:themeFill="background1" w:themeFillShade="F2"/>
          </w:tcPr>
          <w:p w14:paraId="7E18A80B" w14:textId="77777777" w:rsidR="0038073F" w:rsidRPr="00B1374D" w:rsidRDefault="0038073F" w:rsidP="00B1374D">
            <w:pPr>
              <w:pStyle w:val="NoSpacing"/>
              <w:rPr>
                <w:rFonts w:asciiTheme="minorHAnsi" w:eastAsiaTheme="minorHAnsi" w:hAnsiTheme="minorHAnsi" w:cstheme="minorHAnsi"/>
                <w:b/>
                <w:bCs/>
                <w:sz w:val="20"/>
                <w:szCs w:val="20"/>
                <w:rtl/>
              </w:rPr>
            </w:pPr>
            <w:r w:rsidRPr="00B1374D">
              <w:rPr>
                <w:rFonts w:asciiTheme="minorHAnsi" w:eastAsiaTheme="minorHAnsi" w:hAnsiTheme="minorHAnsi" w:cstheme="minorHAnsi"/>
                <w:b/>
                <w:bCs/>
                <w:sz w:val="20"/>
                <w:szCs w:val="20"/>
              </w:rPr>
              <w:t>Project Name, from Roadmap</w:t>
            </w:r>
          </w:p>
        </w:tc>
        <w:tc>
          <w:tcPr>
            <w:tcW w:w="3475" w:type="pct"/>
            <w:gridSpan w:val="4"/>
            <w:tcBorders>
              <w:bottom w:val="single" w:sz="4" w:space="0" w:color="auto"/>
            </w:tcBorders>
            <w:shd w:val="clear" w:color="auto" w:fill="FFFFFF" w:themeFill="background1"/>
          </w:tcPr>
          <w:p w14:paraId="12F3A98E" w14:textId="77777777" w:rsidR="00B23F52" w:rsidRPr="00B1374D" w:rsidRDefault="00DF6E22" w:rsidP="00B1374D">
            <w:pPr>
              <w:bidi w:val="0"/>
              <w:jc w:val="left"/>
              <w:rPr>
                <w:sz w:val="20"/>
                <w:szCs w:val="20"/>
              </w:rPr>
            </w:pPr>
            <w:r w:rsidRPr="00B1374D">
              <w:rPr>
                <w:sz w:val="20"/>
                <w:szCs w:val="20"/>
              </w:rPr>
              <w:t>SIMF 4th Edition 2026</w:t>
            </w:r>
          </w:p>
        </w:tc>
      </w:tr>
      <w:tr w:rsidR="0038073F" w:rsidRPr="00B1374D" w14:paraId="349432A9" w14:textId="77777777" w:rsidTr="00B1374D">
        <w:trPr>
          <w:trHeight w:val="269"/>
        </w:trPr>
        <w:tc>
          <w:tcPr>
            <w:tcW w:w="1525" w:type="pct"/>
            <w:tcBorders>
              <w:bottom w:val="single" w:sz="4" w:space="0" w:color="auto"/>
            </w:tcBorders>
            <w:shd w:val="clear" w:color="auto" w:fill="F2F2F2" w:themeFill="background1" w:themeFillShade="F2"/>
          </w:tcPr>
          <w:p w14:paraId="60C63491" w14:textId="77777777" w:rsidR="0038073F" w:rsidRPr="00B1374D" w:rsidRDefault="0038073F" w:rsidP="00B1374D">
            <w:pPr>
              <w:pStyle w:val="NoSpacing"/>
              <w:rPr>
                <w:rFonts w:asciiTheme="minorHAnsi" w:eastAsiaTheme="minorHAnsi" w:hAnsiTheme="minorHAnsi" w:cstheme="minorHAnsi"/>
                <w:b/>
                <w:bCs/>
                <w:sz w:val="20"/>
                <w:szCs w:val="20"/>
              </w:rPr>
            </w:pPr>
            <w:r w:rsidRPr="00B1374D">
              <w:rPr>
                <w:rFonts w:asciiTheme="minorHAnsi" w:eastAsiaTheme="minorHAnsi" w:hAnsiTheme="minorHAnsi" w:cstheme="minorHAnsi"/>
                <w:b/>
                <w:bCs/>
                <w:sz w:val="20"/>
                <w:szCs w:val="20"/>
              </w:rPr>
              <w:t>Components from To-B</w:t>
            </w:r>
            <w:r w:rsidR="002D001F" w:rsidRPr="00B1374D">
              <w:rPr>
                <w:rFonts w:asciiTheme="minorHAnsi" w:eastAsiaTheme="minorHAnsi" w:hAnsiTheme="minorHAnsi" w:cstheme="minorHAnsi"/>
                <w:b/>
                <w:bCs/>
                <w:sz w:val="20"/>
                <w:szCs w:val="20"/>
              </w:rPr>
              <w:t>e</w:t>
            </w:r>
            <w:r w:rsidRPr="00B1374D">
              <w:rPr>
                <w:rFonts w:asciiTheme="minorHAnsi" w:eastAsiaTheme="minorHAnsi" w:hAnsiTheme="minorHAnsi" w:cstheme="minorHAnsi"/>
                <w:b/>
                <w:bCs/>
                <w:sz w:val="20"/>
                <w:szCs w:val="20"/>
              </w:rPr>
              <w:t xml:space="preserve"> Architecture Realized</w:t>
            </w:r>
          </w:p>
        </w:tc>
        <w:tc>
          <w:tcPr>
            <w:tcW w:w="3475" w:type="pct"/>
            <w:gridSpan w:val="4"/>
            <w:tcBorders>
              <w:bottom w:val="single" w:sz="4" w:space="0" w:color="auto"/>
            </w:tcBorders>
            <w:shd w:val="clear" w:color="auto" w:fill="FFFFFF" w:themeFill="background1"/>
          </w:tcPr>
          <w:p>
            <w:pPr/>
          </w:p>
        </w:tc>
      </w:tr>
      <w:tr w:rsidR="00BE3A54" w:rsidRPr="00B1374D" w14:paraId="2107348F" w14:textId="77777777" w:rsidTr="00B1374D">
        <w:trPr>
          <w:trHeight w:val="478"/>
        </w:trPr>
        <w:tc>
          <w:tcPr>
            <w:tcW w:w="5000" w:type="pct"/>
            <w:gridSpan w:val="5"/>
            <w:tcBorders>
              <w:bottom w:val="single" w:sz="4" w:space="0" w:color="auto"/>
            </w:tcBorders>
            <w:shd w:val="clear" w:color="auto" w:fill="29504D"/>
            <w:vAlign w:val="center"/>
          </w:tcPr>
          <w:p w14:paraId="34685164" w14:textId="77777777" w:rsidR="00BE3A54" w:rsidRPr="00B1374D" w:rsidRDefault="0038073F" w:rsidP="00B1374D">
            <w:pPr>
              <w:bidi w:val="0"/>
              <w:jc w:val="left"/>
              <w:rPr>
                <w:bCs/>
                <w:sz w:val="20"/>
                <w:szCs w:val="20"/>
              </w:rPr>
            </w:pPr>
            <w:r w:rsidRPr="00B1374D">
              <w:rPr>
                <w:color w:val="FFFFFF" w:themeColor="background1"/>
                <w:sz w:val="20"/>
                <w:szCs w:val="20"/>
              </w:rPr>
              <w:t>Screening Questions</w:t>
            </w:r>
            <w:r w:rsidR="002D001F" w:rsidRPr="00B1374D">
              <w:rPr>
                <w:color w:val="FFFFFF" w:themeColor="background1"/>
                <w:sz w:val="20"/>
                <w:szCs w:val="20"/>
              </w:rPr>
              <w:t xml:space="preserve"> </w:t>
            </w:r>
            <w:r w:rsidR="007502CA" w:rsidRPr="00B1374D">
              <w:rPr>
                <w:color w:val="FFFFFF" w:themeColor="background1"/>
                <w:sz w:val="20"/>
                <w:szCs w:val="20"/>
              </w:rPr>
              <w:t>(</w:t>
            </w:r>
            <w:r w:rsidR="003B600B" w:rsidRPr="00B1374D">
              <w:rPr>
                <w:color w:val="FFFFFF" w:themeColor="background1"/>
                <w:sz w:val="20"/>
                <w:szCs w:val="20"/>
              </w:rPr>
              <w:t xml:space="preserve">Filled </w:t>
            </w:r>
            <w:r w:rsidR="00DF6E22" w:rsidRPr="00B1374D">
              <w:rPr>
                <w:color w:val="FFFFFF" w:themeColor="background1"/>
                <w:sz w:val="20"/>
                <w:szCs w:val="20"/>
              </w:rPr>
              <w:t>by</w:t>
            </w:r>
            <w:r w:rsidR="003B600B" w:rsidRPr="00B1374D">
              <w:rPr>
                <w:color w:val="FFFFFF" w:themeColor="background1"/>
                <w:sz w:val="20"/>
                <w:szCs w:val="20"/>
              </w:rPr>
              <w:t xml:space="preserve"> Technology</w:t>
            </w:r>
            <w:r w:rsidR="002D001F" w:rsidRPr="00B1374D">
              <w:rPr>
                <w:color w:val="FFFFFF" w:themeColor="background1"/>
                <w:sz w:val="20"/>
                <w:szCs w:val="20"/>
              </w:rPr>
              <w:t>)</w:t>
            </w:r>
          </w:p>
        </w:tc>
      </w:tr>
      <w:tr w:rsidR="00F74E32" w:rsidRPr="00B1374D" w14:paraId="051B0BE8" w14:textId="77777777" w:rsidTr="00B1374D">
        <w:trPr>
          <w:trHeight w:val="329"/>
        </w:trPr>
        <w:tc>
          <w:tcPr>
            <w:tcW w:w="1900" w:type="pct"/>
            <w:gridSpan w:val="3"/>
            <w:shd w:val="clear" w:color="auto" w:fill="E7E6E6" w:themeFill="background2"/>
            <w:vAlign w:val="center"/>
          </w:tcPr>
          <w:p w14:paraId="2C781383" w14:textId="77777777" w:rsidR="00F74E32" w:rsidRPr="00B1374D" w:rsidRDefault="00F74E32" w:rsidP="00B1374D">
            <w:pPr>
              <w:bidi w:val="0"/>
              <w:jc w:val="left"/>
              <w:rPr>
                <w:sz w:val="20"/>
                <w:szCs w:val="20"/>
                <w:rtl/>
              </w:rPr>
            </w:pPr>
            <w:r w:rsidRPr="00B1374D">
              <w:rPr>
                <w:sz w:val="20"/>
                <w:szCs w:val="20"/>
              </w:rPr>
              <w:t>Requirements/SRS/User Stories Defined and Approved</w:t>
            </w:r>
          </w:p>
        </w:tc>
        <w:tc>
          <w:tcPr>
            <w:tcW w:w="3100" w:type="pct"/>
            <w:gridSpan w:val="2"/>
            <w:vAlign w:val="center"/>
          </w:tcPr>
          <w:p>
            <w:pPr>
              <w:bidi w:val="0"/>
            </w:pPr>
            <w:r>
              <w:rPr>
                <w:sz w:val="20"/>
              </w:rPr>
              <w:t xml:space="preserve">Defined. The Business Requirements Document delivered with this design carries 132 numbered, individually testable requirements. The Solution Design Document, also delivered with this design, traces every one of those identifiers to the module that implements it and to its verification method. Approval is the Ministry's.</w:t>
            </w:r>
          </w:p>
        </w:tc>
      </w:tr>
      <w:tr w:rsidR="008E0ABC" w:rsidRPr="00B1374D" w14:paraId="34A42967" w14:textId="77777777" w:rsidTr="00B1374D">
        <w:trPr>
          <w:trHeight w:val="269"/>
        </w:trPr>
        <w:tc>
          <w:tcPr>
            <w:tcW w:w="1900" w:type="pct"/>
            <w:gridSpan w:val="3"/>
            <w:shd w:val="clear" w:color="auto" w:fill="E7E6E6" w:themeFill="background2"/>
          </w:tcPr>
          <w:p w14:paraId="79A464D9" w14:textId="77777777" w:rsidR="008E0ABC" w:rsidRPr="00B1374D" w:rsidRDefault="008E0ABC" w:rsidP="00B1374D">
            <w:pPr>
              <w:bidi w:val="0"/>
              <w:jc w:val="left"/>
              <w:rPr>
                <w:sz w:val="20"/>
                <w:szCs w:val="20"/>
                <w:rtl/>
              </w:rPr>
            </w:pPr>
            <w:r w:rsidRPr="00B1374D">
              <w:rPr>
                <w:sz w:val="20"/>
                <w:szCs w:val="20"/>
              </w:rPr>
              <w:t>Integration Requirements Defined and Approved</w:t>
            </w:r>
          </w:p>
        </w:tc>
        <w:tc>
          <w:tcPr>
            <w:tcW w:w="3100" w:type="pct"/>
            <w:gridSpan w:val="2"/>
          </w:tcPr>
          <w:p>
            <w:pPr>
              <w:bidi w:val="0"/>
            </w:pPr>
            <w:r>
              <w:rPr>
                <w:sz w:val="20"/>
              </w:rPr>
              <w:t>Defined. Section 2.4 gives every interface with its protocol, port, payload and authentication, and section 2.8 carries the Communication Requirements Matrix. One outbound integration remains pending its firewall exception.</w:t>
            </w:r>
          </w:p>
        </w:tc>
      </w:tr>
      <w:tr w:rsidR="008E0ABC" w:rsidRPr="00B1374D" w14:paraId="2784382C" w14:textId="77777777" w:rsidTr="00B1374D">
        <w:trPr>
          <w:trHeight w:val="568"/>
        </w:trPr>
        <w:tc>
          <w:tcPr>
            <w:tcW w:w="1900" w:type="pct"/>
            <w:gridSpan w:val="3"/>
            <w:shd w:val="clear" w:color="auto" w:fill="E7E6E6" w:themeFill="background2"/>
            <w:vAlign w:val="center"/>
          </w:tcPr>
          <w:p w14:paraId="18D51CCD" w14:textId="77777777" w:rsidR="008E0ABC" w:rsidRPr="00B1374D" w:rsidRDefault="008E0ABC" w:rsidP="00B1374D">
            <w:pPr>
              <w:bidi w:val="0"/>
              <w:jc w:val="left"/>
              <w:rPr>
                <w:sz w:val="20"/>
                <w:szCs w:val="20"/>
              </w:rPr>
            </w:pPr>
            <w:r w:rsidRPr="00B1374D">
              <w:rPr>
                <w:sz w:val="20"/>
                <w:szCs w:val="20"/>
              </w:rPr>
              <w:t>Security Requirements Defined and Approved</w:t>
            </w:r>
          </w:p>
        </w:tc>
        <w:tc>
          <w:tcPr>
            <w:tcW w:w="3100" w:type="pct"/>
            <w:gridSpan w:val="2"/>
          </w:tcPr>
          <w:p>
            <w:pPr>
              <w:bidi w:val="0"/>
            </w:pPr>
            <w:r>
              <w:rPr>
                <w:sz w:val="20"/>
              </w:rPr>
              <w:t>Defined. Section 2.9 Solution Security View, aligned to the National Cybersecurity Authority Secure Application Development Standard and to the Personal Data Protection Law. Open items are listed in section 3.</w:t>
            </w:r>
          </w:p>
        </w:tc>
      </w:tr>
      <w:tr w:rsidR="008E0ABC" w:rsidRPr="00B1374D" w14:paraId="36795AE8" w14:textId="77777777" w:rsidTr="00B1374D">
        <w:trPr>
          <w:trHeight w:val="568"/>
        </w:trPr>
        <w:tc>
          <w:tcPr>
            <w:tcW w:w="1900" w:type="pct"/>
            <w:gridSpan w:val="3"/>
            <w:shd w:val="clear" w:color="auto" w:fill="E7E6E6" w:themeFill="background2"/>
            <w:vAlign w:val="center"/>
          </w:tcPr>
          <w:p w14:paraId="166BB3A6" w14:textId="77777777" w:rsidR="008E0ABC" w:rsidRPr="00B1374D" w:rsidRDefault="008E0ABC" w:rsidP="00B1374D">
            <w:pPr>
              <w:bidi w:val="0"/>
              <w:jc w:val="left"/>
              <w:rPr>
                <w:sz w:val="20"/>
                <w:szCs w:val="20"/>
              </w:rPr>
            </w:pPr>
            <w:r w:rsidRPr="00B1374D">
              <w:rPr>
                <w:sz w:val="20"/>
                <w:szCs w:val="20"/>
              </w:rPr>
              <w:t>Uses approved Architecture/Design Methodology</w:t>
            </w:r>
          </w:p>
        </w:tc>
        <w:tc>
          <w:tcPr>
            <w:tcW w:w="3100" w:type="pct"/>
            <w:gridSpan w:val="2"/>
          </w:tcPr>
          <w:p>
            <w:pPr>
              <w:bidi w:val="0"/>
            </w:pPr>
            <w:r>
              <w:rPr>
                <w:sz w:val="20"/>
              </w:rPr>
              <w:t>Modular monolith with Domain Driven Design layering and defence in depth, described in sections 2.1 and 2.2, with the alternatives considered and rejected recorded in the section 2.1 decisions table. Confirmation against Technology's approved methodology rests with Technology.</w:t>
            </w:r>
          </w:p>
        </w:tc>
      </w:tr>
      <w:tr w:rsidR="008E0ABC" w:rsidRPr="00B1374D" w14:paraId="5189650A" w14:textId="77777777" w:rsidTr="00B1374D">
        <w:trPr>
          <w:trHeight w:val="559"/>
        </w:trPr>
        <w:tc>
          <w:tcPr>
            <w:tcW w:w="1900" w:type="pct"/>
            <w:gridSpan w:val="3"/>
            <w:shd w:val="clear" w:color="auto" w:fill="E7E6E6" w:themeFill="background2"/>
            <w:vAlign w:val="center"/>
          </w:tcPr>
          <w:p w14:paraId="68A148B3" w14:textId="77777777" w:rsidR="008E0ABC" w:rsidRPr="00B1374D" w:rsidRDefault="008E0ABC" w:rsidP="00B1374D">
            <w:pPr>
              <w:bidi w:val="0"/>
              <w:jc w:val="left"/>
              <w:rPr>
                <w:sz w:val="20"/>
                <w:szCs w:val="20"/>
              </w:rPr>
            </w:pPr>
            <w:r w:rsidRPr="00B1374D">
              <w:rPr>
                <w:sz w:val="20"/>
                <w:szCs w:val="20"/>
              </w:rPr>
              <w:t>Architecture Constraints Documented</w:t>
            </w:r>
          </w:p>
        </w:tc>
        <w:tc>
          <w:tcPr>
            <w:tcW w:w="3100" w:type="pct"/>
            <w:gridSpan w:val="2"/>
          </w:tcPr>
          <w:p>
            <w:pPr>
              <w:bidi w:val="0"/>
            </w:pPr>
            <w:r>
              <w:rPr>
                <w:sz w:val="20"/>
              </w:rPr>
              <w:t>Yes. The Architecture Constraints row of this section states them, and sections 1.2, 2.1 and 2.7 carry the hosting, zone and network constraints that follow from them.</w:t>
            </w:r>
          </w:p>
        </w:tc>
      </w:tr>
      <w:tr w:rsidR="008E0ABC" w:rsidRPr="00B1374D" w14:paraId="061005F8" w14:textId="77777777" w:rsidTr="00B1374D">
        <w:trPr>
          <w:trHeight w:val="568"/>
        </w:trPr>
        <w:tc>
          <w:tcPr>
            <w:tcW w:w="1900" w:type="pct"/>
            <w:gridSpan w:val="3"/>
            <w:shd w:val="clear" w:color="auto" w:fill="E7E6E6" w:themeFill="background2"/>
            <w:vAlign w:val="center"/>
          </w:tcPr>
          <w:p w14:paraId="1EF60022" w14:textId="77777777" w:rsidR="008E0ABC" w:rsidRPr="00B1374D" w:rsidRDefault="008E0ABC" w:rsidP="00B1374D">
            <w:pPr>
              <w:bidi w:val="0"/>
              <w:jc w:val="left"/>
              <w:rPr>
                <w:sz w:val="20"/>
                <w:szCs w:val="20"/>
              </w:rPr>
            </w:pPr>
            <w:r w:rsidRPr="00B1374D">
              <w:rPr>
                <w:sz w:val="20"/>
                <w:szCs w:val="20"/>
              </w:rPr>
              <w:t>Uses Approved Solution Stack (Hardware/Software)</w:t>
            </w:r>
          </w:p>
        </w:tc>
        <w:tc>
          <w:tcPr>
            <w:tcW w:w="3100" w:type="pct"/>
            <w:gridSpan w:val="2"/>
          </w:tcPr>
          <w:p>
            <w:pPr>
              <w:bidi w:val="0"/>
            </w:pPr>
            <w:r>
              <w:rPr>
                <w:sz w:val="20"/>
              </w:rPr>
              <w:t>The stack is stated in the Software Specification and Hardware Specification rows of this section, with per node sizing in the section 2.1 table. Confirmation against Technology's approved stack rests with Technology.</w:t>
            </w:r>
          </w:p>
        </w:tc>
      </w:tr>
      <w:tr w:rsidR="008E0ABC" w:rsidRPr="00B1374D" w14:paraId="06F271F0" w14:textId="77777777" w:rsidTr="00B1374D">
        <w:trPr>
          <w:trHeight w:val="568"/>
        </w:trPr>
        <w:tc>
          <w:tcPr>
            <w:tcW w:w="1900" w:type="pct"/>
            <w:gridSpan w:val="3"/>
            <w:shd w:val="clear" w:color="auto" w:fill="E7E6E6" w:themeFill="background2"/>
            <w:vAlign w:val="center"/>
          </w:tcPr>
          <w:p w14:paraId="2FC1BBFC" w14:textId="77777777" w:rsidR="008E0ABC" w:rsidRPr="00B1374D" w:rsidRDefault="008E0ABC" w:rsidP="00B1374D">
            <w:pPr>
              <w:bidi w:val="0"/>
              <w:jc w:val="left"/>
              <w:rPr>
                <w:sz w:val="20"/>
                <w:szCs w:val="20"/>
              </w:rPr>
            </w:pPr>
            <w:r w:rsidRPr="00B1374D">
              <w:rPr>
                <w:sz w:val="20"/>
                <w:szCs w:val="20"/>
              </w:rPr>
              <w:t>Is system described sufficiently (Section 1.1 to 1.3))</w:t>
            </w:r>
          </w:p>
        </w:tc>
        <w:tc>
          <w:tcPr>
            <w:tcW w:w="3100" w:type="pct"/>
            <w:gridSpan w:val="2"/>
          </w:tcPr>
          <w:p>
            <w:pPr>
              <w:bidi w:val="0"/>
            </w:pPr>
            <w:r>
              <w:rPr>
                <w:sz w:val="20"/>
              </w:rPr>
              <w:t>Yes. Section 1.1 gives the purpose, scope and glossary, section 1.2 the goals, quality goals, assumptions and non-goals, and section 1.3 the stakeholders, their concerns and the system boundary.</w:t>
            </w:r>
          </w:p>
        </w:tc>
      </w:tr>
      <w:tr w:rsidR="008E0ABC" w:rsidRPr="00B1374D" w14:paraId="289A926C" w14:textId="77777777" w:rsidTr="00B1374D">
        <w:trPr>
          <w:trHeight w:val="568"/>
        </w:trPr>
        <w:tc>
          <w:tcPr>
            <w:tcW w:w="1900" w:type="pct"/>
            <w:gridSpan w:val="3"/>
            <w:shd w:val="clear" w:color="auto" w:fill="E7E6E6" w:themeFill="background2"/>
            <w:vAlign w:val="center"/>
          </w:tcPr>
          <w:p w14:paraId="1E09C8C0" w14:textId="77777777" w:rsidR="008E0ABC" w:rsidRPr="00B1374D" w:rsidRDefault="008E0ABC" w:rsidP="00B1374D">
            <w:pPr>
              <w:bidi w:val="0"/>
              <w:jc w:val="left"/>
              <w:rPr>
                <w:sz w:val="20"/>
                <w:szCs w:val="20"/>
              </w:rPr>
            </w:pPr>
            <w:r w:rsidRPr="00B1374D">
              <w:rPr>
                <w:sz w:val="20"/>
                <w:szCs w:val="20"/>
              </w:rPr>
              <w:t>Is solution design described sufficiently (Section 2.1 to 2.9)</w:t>
            </w:r>
          </w:p>
        </w:tc>
        <w:tc>
          <w:tcPr>
            <w:tcW w:w="3100" w:type="pct"/>
            <w:gridSpan w:val="2"/>
          </w:tcPr>
          <w:p>
            <w:pPr>
              <w:bidi w:val="0"/>
            </w:pPr>
            <w:r>
              <w:rPr>
                <w:sz w:val="20"/>
              </w:rPr>
              <w:t>Yes. Sections 2.1 to 2.9 are complete, with three figures, the per tier sizing table, the architecture decisions table, the interface table and the Communication Requirements Matrix.</w:t>
            </w:r>
          </w:p>
        </w:tc>
      </w:tr>
      <w:tr w:rsidR="008E0ABC" w:rsidRPr="00B1374D" w14:paraId="3821D5F3" w14:textId="77777777" w:rsidTr="00B1374D">
        <w:trPr>
          <w:trHeight w:val="568"/>
        </w:trPr>
        <w:tc>
          <w:tcPr>
            <w:tcW w:w="1900" w:type="pct"/>
            <w:gridSpan w:val="3"/>
            <w:shd w:val="clear" w:color="auto" w:fill="E7E6E6" w:themeFill="background2"/>
            <w:vAlign w:val="center"/>
          </w:tcPr>
          <w:p w14:paraId="4CF0103A" w14:textId="77777777" w:rsidR="008E0ABC" w:rsidRPr="00B1374D" w:rsidRDefault="008E0ABC" w:rsidP="00B1374D">
            <w:pPr>
              <w:bidi w:val="0"/>
              <w:jc w:val="left"/>
              <w:rPr>
                <w:sz w:val="20"/>
                <w:szCs w:val="20"/>
              </w:rPr>
            </w:pPr>
            <w:proofErr w:type="gramStart"/>
            <w:r w:rsidRPr="00B1374D">
              <w:rPr>
                <w:sz w:val="20"/>
                <w:szCs w:val="20"/>
              </w:rPr>
              <w:t>Is</w:t>
            </w:r>
            <w:proofErr w:type="gramEnd"/>
            <w:r w:rsidRPr="00B1374D">
              <w:rPr>
                <w:sz w:val="20"/>
                <w:szCs w:val="20"/>
              </w:rPr>
              <w:t xml:space="preserve"> the Risk and Mitigation Strategies provided</w:t>
            </w:r>
          </w:p>
        </w:tc>
        <w:tc>
          <w:tcPr>
            <w:tcW w:w="3100" w:type="pct"/>
            <w:gridSpan w:val="2"/>
          </w:tcPr>
          <w:p>
            <w:pPr>
              <w:bidi w:val="0"/>
            </w:pPr>
            <w:r>
              <w:rPr>
                <w:sz w:val="20"/>
              </w:rPr>
              <w:t>Yes. Section 3 gives the risk register with impact, likelihood, mitigation and owner for each risk, and the open items register with a closing condition for every item still outstanding.</w:t>
            </w:r>
          </w:p>
        </w:tc>
      </w:tr>
      <w:tr w:rsidR="008E0ABC" w:rsidRPr="00B1374D" w14:paraId="705BA326" w14:textId="77777777" w:rsidTr="00B1374D">
        <w:trPr>
          <w:trHeight w:val="568"/>
        </w:trPr>
        <w:tc>
          <w:tcPr>
            <w:tcW w:w="1900" w:type="pct"/>
            <w:gridSpan w:val="3"/>
            <w:shd w:val="clear" w:color="auto" w:fill="E7E6E6" w:themeFill="background2"/>
            <w:vAlign w:val="center"/>
          </w:tcPr>
          <w:p w14:paraId="05198B45" w14:textId="77777777" w:rsidR="008E0ABC" w:rsidRPr="00B1374D" w:rsidRDefault="008E0ABC" w:rsidP="00B1374D">
            <w:pPr>
              <w:bidi w:val="0"/>
              <w:jc w:val="left"/>
              <w:rPr>
                <w:sz w:val="20"/>
                <w:szCs w:val="20"/>
              </w:rPr>
            </w:pPr>
            <w:r w:rsidRPr="00B1374D">
              <w:rPr>
                <w:sz w:val="20"/>
                <w:szCs w:val="20"/>
              </w:rPr>
              <w:t>Document Completion Approved?</w:t>
            </w:r>
          </w:p>
        </w:tc>
        <w:tc>
          <w:tcPr>
            <w:tcW w:w="3100" w:type="pct"/>
            <w:gridSpan w:val="2"/>
          </w:tcPr>
          <w:p>
            <w:pPr>
              <w:bidi w:val="0"/>
            </w:pPr>
            <w:r>
              <w:rPr>
                <w:sz w:val="20"/>
              </w:rPr>
              <w:t>For Technology. This row records the review board's own verdict, and is the same decision the Approvals block signs.</w:t>
            </w:r>
          </w:p>
        </w:tc>
      </w:tr>
    </w:tbl>
    <w:p w14:paraId="068ECF3C" w14:textId="77777777" w:rsidR="00F03FED" w:rsidRDefault="00F03FED" w:rsidP="00E80022">
      <w:pPr>
        <w:bidi w:val="0"/>
      </w:pPr>
    </w:p>
    <w:p w14:paraId="2B1CC807" w14:textId="7726CC3C" w:rsidR="000663D3" w:rsidRDefault="000663D3" w:rsidP="000663D3">
      <w:pPr>
        <w:bidi w:val="0"/>
        <w:jc w:val="left"/>
      </w:pPr>
    </w:p>
    <w:p w14:paraId="19ED597A" w14:textId="77777777" w:rsidR="000663D3" w:rsidRDefault="000663D3" w:rsidP="000663D3">
      <w:pPr>
        <w:bidi w:val="0"/>
        <w:jc w:val="left"/>
      </w:pPr>
    </w:p>
    <w:tbl>
      <w:tblPr>
        <w:tblpPr w:leftFromText="187" w:rightFromText="187" w:vertAnchor="text" w:horzAnchor="margin" w:tblpXSpec="center" w:tblpY="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5E0" w:firstRow="1" w:lastRow="1" w:firstColumn="1" w:lastColumn="1" w:noHBand="0" w:noVBand="1"/>
      </w:tblPr>
      <w:tblGrid>
        <w:gridCol w:w="2874"/>
        <w:gridCol w:w="8030"/>
      </w:tblGrid>
      <w:tr w:rsidR="000663D3" w:rsidRPr="0041599B" w14:paraId="50FD323B" w14:textId="77777777" w:rsidTr="00B53F95">
        <w:trPr>
          <w:trHeight w:val="53"/>
        </w:trPr>
        <w:tc>
          <w:tcPr>
            <w:tcW w:w="5000" w:type="pct"/>
            <w:gridSpan w:val="2"/>
            <w:tcBorders>
              <w:bottom w:val="single" w:sz="4" w:space="0" w:color="auto"/>
            </w:tcBorders>
            <w:shd w:val="clear" w:color="auto" w:fill="00A05A"/>
            <w:vAlign w:val="center"/>
          </w:tcPr>
          <w:p>
            <w:pPr/>
          </w:p>
        </w:tc>
      </w:tr>
      <w:tr>
        <w:tc>
          <w:tcPr>
            <w:tcW w:type="dxa" w:w="2874"/>
          </w:tcPr>
          <w:p>
            <w:pPr>
              <w:bidi w:val="0"/>
            </w:pPr>
            <w:r>
              <w:rPr>
                <w:b/>
                <w:sz w:val="20"/>
              </w:rPr>
              <w:t>Document identification</w:t>
            </w:r>
          </w:p>
        </w:tc>
        <w:tc>
          <w:tcPr>
            <w:tcW w:type="dxa" w:w="8030"/>
          </w:tcPr>
          <w:p>
            <w:pPr>
              <w:bidi w:val="0"/>
              <w:jc w:val="both"/>
            </w:pPr>
            <w:r>
              <w:rPr>
                <w:b w:val="0"/>
                <w:sz w:val="20"/>
              </w:rPr>
              <w:t>Document SIMF-HLD-005, version 2.0, status Issued for review. Apexium issues and authors it for the Royal Saudi Naval Forces (RSNF) under a Ministry of Defense programme, roadmap project SIMF 4th Edition 2026. It conforms to IEEE 1016-2009 and ISO/IEC/IEEE 42010:2011. Issue date is TBD, owner Apexium, recorded in Hijri and Gregorian at issue.</w:t>
            </w:r>
          </w:p>
        </w:tc>
      </w:tr>
      <w:tr>
        <w:tc>
          <w:tcPr>
            <w:tcW w:type="dxa" w:w="2874"/>
          </w:tcPr>
          <w:p>
            <w:pPr>
              <w:bidi w:val="0"/>
            </w:pPr>
            <w:r>
              <w:rPr>
                <w:b/>
                <w:sz w:val="20"/>
              </w:rPr>
              <w:t>BRD (Business Requirements Document)</w:t>
            </w:r>
          </w:p>
        </w:tc>
        <w:tc>
          <w:tcPr>
            <w:tcW w:type="dxa" w:w="8030"/>
          </w:tcPr>
          <w:p>
            <w:pPr>
              <w:bidi w:val="0"/>
              <w:jc w:val="both"/>
            </w:pPr>
            <w:r>
              <w:rPr>
                <w:b w:val="0"/>
                <w:sz w:val="20"/>
              </w:rPr>
              <w:t xml:space="preserve">A Business Requirements Document is delivered with this design and records the business objectives, scope, stakeholders and business rules. The Solution Design Document traces every requirement identifier to the module that implements it.</w:t>
            </w:r>
          </w:p>
        </w:tc>
      </w:tr>
      <w:tr>
        <w:tc>
          <w:tcPr>
            <w:tcW w:type="dxa" w:w="2874"/>
          </w:tcPr>
          <w:p>
            <w:pPr>
              <w:bidi w:val="0"/>
            </w:pPr>
            <w:r>
              <w:rPr>
                <w:b/>
                <w:sz w:val="20"/>
              </w:rPr>
              <w:t>SRS / User Stories</w:t>
            </w:r>
          </w:p>
        </w:tc>
        <w:tc>
          <w:tcPr>
            <w:tcW w:type="dxa" w:w="8030"/>
          </w:tcPr>
          <w:p>
            <w:pPr>
              <w:bidi w:val="0"/>
              <w:jc w:val="both"/>
            </w:pPr>
            <w:r>
              <w:rPr>
                <w:b w:val="0"/>
                <w:sz w:val="20"/>
              </w:rPr>
              <w:t xml:space="preserve">The functional, non-functional and operational requirements are carried in the Business Requirements Document rather than a separate specification. The Solution Design Document carries the traceability and the verification method for each of them.</w:t>
            </w:r>
          </w:p>
        </w:tc>
      </w:tr>
      <w:tr>
        <w:tc>
          <w:tcPr>
            <w:tcW w:type="dxa" w:w="2874"/>
          </w:tcPr>
          <w:p>
            <w:pPr>
              <w:bidi w:val="0"/>
            </w:pPr>
            <w:r>
              <w:rPr>
                <w:b/>
                <w:sz w:val="20"/>
              </w:rPr>
              <w:t>Solution Requirements</w:t>
            </w:r>
          </w:p>
        </w:tc>
        <w:tc>
          <w:tcPr>
            <w:tcW w:type="dxa" w:w="8030"/>
          </w:tcPr>
          <w:p>
            <w:pPr>
              <w:bidi w:val="0"/>
              <w:jc w:val="both"/>
            </w:pPr>
            <w:r>
              <w:rPr>
                <w:b w:val="0"/>
                <w:sz w:val="20"/>
              </w:rPr>
              <w:t>The platform is single-tenant and open to public and international registration. Four client applications share one backend API and two databases. Sections 1.2 and 1.3 give the goals and the system boundary; section 2.2 names the modules.</w:t>
            </w:r>
          </w:p>
        </w:tc>
      </w:tr>
      <w:tr>
        <w:tc>
          <w:tcPr>
            <w:tcW w:type="dxa" w:w="2874"/>
          </w:tcPr>
          <w:p>
            <w:pPr>
              <w:bidi w:val="0"/>
            </w:pPr>
            <w:r>
              <w:rPr>
                <w:b/>
                <w:sz w:val="20"/>
              </w:rPr>
              <w:t>Integration Requirements</w:t>
            </w:r>
          </w:p>
        </w:tc>
        <w:tc>
          <w:tcPr>
            <w:tcW w:type="dxa" w:w="8030"/>
          </w:tcPr>
          <w:p>
            <w:pPr>
              <w:bidi w:val="0"/>
              <w:jc w:val="both"/>
            </w:pPr>
            <w:r>
              <w:rPr>
                <w:b w:val="0"/>
                <w:sz w:val="20"/>
              </w:rPr>
              <w:t>Section 1.3 fixes the system boundary and names every external and internal system the platform depends on. Section 2.4 defines each interface, with its direction, protocol and port, authentication and error behaviour, and marks the interfaces still to be agreed.</w:t>
            </w:r>
          </w:p>
        </w:tc>
      </w:tr>
      <w:tr>
        <w:tc>
          <w:tcPr>
            <w:tcW w:type="dxa" w:w="2874"/>
          </w:tcPr>
          <w:p>
            <w:pPr>
              <w:bidi w:val="0"/>
            </w:pPr>
            <w:r>
              <w:rPr>
                <w:b/>
                <w:sz w:val="20"/>
              </w:rPr>
              <w:t>Security Requirements</w:t>
            </w:r>
          </w:p>
        </w:tc>
        <w:tc>
          <w:tcPr>
            <w:tcW w:type="dxa" w:w="8030"/>
          </w:tcPr>
          <w:p>
            <w:pPr>
              <w:bidi w:val="0"/>
              <w:jc w:val="both"/>
            </w:pPr>
            <w:r>
              <w:rPr>
                <w:b w:val="0"/>
                <w:sz w:val="20"/>
              </w:rPr>
              <w:t>The platform runs its own identity store, and sign-in uses an e-mail address, a password and a second factor. Permissions are granted per page and per action, and confidential columns and files use AES-256-GCM with keys in a key management service. Section 2.9 carries the full posture and the alignment to the Saudi Personal Data Protection Law (PDPL).</w:t>
            </w:r>
          </w:p>
        </w:tc>
      </w:tr>
      <w:tr>
        <w:tc>
          <w:tcPr>
            <w:tcW w:type="dxa" w:w="2874"/>
          </w:tcPr>
          <w:p>
            <w:pPr>
              <w:bidi w:val="0"/>
            </w:pPr>
            <w:r>
              <w:rPr>
                <w:b/>
                <w:sz w:val="20"/>
              </w:rPr>
              <w:t>Hosting Requirements</w:t>
            </w:r>
          </w:p>
        </w:tc>
        <w:tc>
          <w:tcPr>
            <w:tcW w:type="dxa" w:w="8030"/>
          </w:tcPr>
          <w:p>
            <w:pPr>
              <w:bidi w:val="0"/>
              <w:jc w:val="both"/>
            </w:pPr>
            <w:r>
              <w:rPr>
                <w:b w:val="0"/>
                <w:sz w:val="20"/>
              </w:rPr>
              <w:t>Hosting is on premises on the SITE Private Cloud, on Windows Server 2022 with SQL Server 2022. Two security areas contain four network zones. Figure 1 and section 2.1 give the network layout; section 2.7 maps components onto environments.</w:t>
            </w:r>
          </w:p>
        </w:tc>
      </w:tr>
      <w:tr>
        <w:tc>
          <w:tcPr>
            <w:tcW w:type="dxa" w:w="2874"/>
          </w:tcPr>
          <w:p>
            <w:pPr>
              <w:bidi w:val="0"/>
            </w:pPr>
            <w:r>
              <w:rPr>
                <w:b/>
                <w:sz w:val="20"/>
              </w:rPr>
              <w:t>Architecture Methodology or Best Practice used</w:t>
            </w:r>
          </w:p>
        </w:tc>
        <w:tc>
          <w:tcPr>
            <w:tcW w:type="dxa" w:w="8030"/>
          </w:tcPr>
          <w:p>
            <w:pPr>
              <w:bidi w:val="0"/>
              <w:jc w:val="both"/>
            </w:pPr>
            <w:r>
              <w:rPr>
                <w:b w:val="0"/>
                <w:sz w:val="20"/>
              </w:rPr>
              <w:t>Section 2.1 records the architectural style and the decisions taken with their rejected alternatives; section 2.2 sets out the layering and the module boundaries. The design follows defence in depth, keeps the application tier stateless and makes the database tier highly available.</w:t>
            </w:r>
          </w:p>
        </w:tc>
      </w:tr>
      <w:tr>
        <w:tc>
          <w:tcPr>
            <w:tcW w:type="dxa" w:w="2874"/>
          </w:tcPr>
          <w:p>
            <w:pPr>
              <w:bidi w:val="0"/>
            </w:pPr>
            <w:r>
              <w:rPr>
                <w:b/>
                <w:sz w:val="20"/>
              </w:rPr>
              <w:t>Architecture Constraints</w:t>
            </w:r>
          </w:p>
        </w:tc>
        <w:tc>
          <w:tcPr>
            <w:tcW w:type="dxa" w:w="8030"/>
          </w:tcPr>
          <w:p>
            <w:pPr>
              <w:bidi w:val="0"/>
              <w:jc w:val="both"/>
            </w:pPr>
            <w:r>
              <w:rPr>
                <w:b w:val="0"/>
                <w:sz w:val="20"/>
              </w:rPr>
              <w:t>The forum runs on fixed dates, the platform freezes before it opens, and an outage cannot be rescheduled. There is no public-cloud dependency, and the source code is handed over to the customer. Section 1.2 numbers the constraints; section 2.8 states the two-database separation invariants.</w:t>
            </w:r>
          </w:p>
        </w:tc>
      </w:tr>
      <w:tr>
        <w:tc>
          <w:tcPr>
            <w:tcW w:type="dxa" w:w="2874"/>
          </w:tcPr>
          <w:p>
            <w:pPr>
              <w:bidi w:val="0"/>
            </w:pPr>
            <w:r>
              <w:rPr>
                <w:b/>
                <w:sz w:val="20"/>
              </w:rPr>
              <w:t>Software Specification</w:t>
            </w:r>
          </w:p>
        </w:tc>
        <w:tc>
          <w:tcPr>
            <w:tcW w:type="dxa" w:w="8030"/>
          </w:tcPr>
          <w:p>
            <w:pPr>
              <w:bidi w:val="0"/>
              <w:jc w:val="both"/>
            </w:pPr>
            <w:r>
              <w:rPr>
                <w:b w:val="0"/>
                <w:sz w:val="20"/>
              </w:rPr>
              <w:t>The stack is .NET 10 with FastEndpoints, FluentValidation and EF Core in code-first mode. The front ends use Blazor Server and Blazor SSR over the shared SIMF.Components library, with Flutter and Dart for Android and iOS. IIS hosts the web tier, Serilog carries logging, and section 2.2 assigns each part to its module.</w:t>
            </w:r>
          </w:p>
        </w:tc>
      </w:tr>
      <w:tr>
        <w:tc>
          <w:tcPr>
            <w:tcW w:type="dxa" w:w="2874"/>
          </w:tcPr>
          <w:p>
            <w:pPr>
              <w:bidi w:val="0"/>
            </w:pPr>
            <w:r>
              <w:rPr>
                <w:b/>
                <w:sz w:val="20"/>
              </w:rPr>
              <w:t>Hardware Specification</w:t>
            </w:r>
          </w:p>
        </w:tc>
        <w:tc>
          <w:tcPr>
            <w:tcW w:type="dxa" w:w="8030"/>
          </w:tcPr>
          <w:p>
            <w:pPr>
              <w:bidi w:val="0"/>
              <w:jc w:val="both"/>
            </w:pPr>
            <w:r>
              <w:rPr>
                <w:b w:val="0"/>
                <w:sz w:val="20"/>
              </w:rPr>
              <w:t xml:space="preserve">The figures below are the hardware agreed with the customer. Production runs four API hosts, two website hosts, two Control Panel hosts, two SIMF.MobileEdge hosts and two database hosts. Traffic passes two active/passive pairs. A web application firewall (WAF) and load balancer pair sits at the internet edge. An API load balancer pair sits in front of the application tier. Section 2.1 gives per-node sizing; the mobile edge and MinIO figures are a supplier proposal in the section 3 register.</w:t>
            </w:r>
          </w:p>
        </w:tc>
      </w:tr>
    </w:tbl>
    <w:p w14:paraId="41686AE3" w14:textId="77777777" w:rsidR="006E7488" w:rsidRDefault="006E7488" w:rsidP="00E80022">
      <w:pPr>
        <w:bidi w:val="0"/>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4F0070" w:rsidRPr="0041599B" w14:paraId="755678C4" w14:textId="77777777" w:rsidTr="00D12CD4">
        <w:trPr>
          <w:trHeight w:val="488"/>
        </w:trPr>
        <w:tc>
          <w:tcPr>
            <w:tcW w:w="5000" w:type="pct"/>
            <w:tcBorders>
              <w:bottom w:val="single" w:sz="4" w:space="0" w:color="auto"/>
            </w:tcBorders>
            <w:shd w:val="clear" w:color="auto" w:fill="29504D"/>
            <w:vAlign w:val="center"/>
          </w:tcPr>
          <w:p w14:paraId="5DD9531D" w14:textId="77777777" w:rsidR="004F0070" w:rsidRPr="000B3B17" w:rsidRDefault="00744955" w:rsidP="00E80022">
            <w:pPr>
              <w:pStyle w:val="ListParagraph"/>
              <w:numPr>
                <w:ilvl w:val="1"/>
                <w:numId w:val="1"/>
              </w:numPr>
              <w:bidi w:val="0"/>
              <w:rPr>
                <w:color w:val="FFFFFF" w:themeColor="background1"/>
              </w:rPr>
            </w:pPr>
            <w:r w:rsidRPr="000B3B17">
              <w:rPr>
                <w:color w:val="FFFFFF" w:themeColor="background1"/>
              </w:rPr>
              <w:lastRenderedPageBreak/>
              <w:t>1.1 Purpose</w:t>
            </w:r>
          </w:p>
        </w:tc>
      </w:tr>
      <w:tr w:rsidR="004F0070" w:rsidRPr="0041599B" w14:paraId="427BE983" w14:textId="77777777" w:rsidTr="004F0070">
        <w:trPr>
          <w:trHeight w:val="336"/>
        </w:trPr>
        <w:tc>
          <w:tcPr>
            <w:tcW w:w="5000" w:type="pct"/>
            <w:shd w:val="clear" w:color="auto" w:fill="E7E6E6" w:themeFill="background2"/>
            <w:vAlign w:val="center"/>
          </w:tcPr>
          <w:p>
            <w:pPr>
              <w:jc w:val="both"/>
              <w:bidi w:val="0"/>
            </w:pPr>
            <w:r>
              <w:rPr>
                <w:b w:val="0"/>
                <w:sz w:val="20"/>
              </w:rPr>
              <w:t>This document is the high-level design of the platform built for the Saudi International Maritime Forum (SIMF). It addresses the Ministry of Defense technology review board and the Royal Saudi Naval Forces (RSNF) as system owner. It also serves the teams that build, host and support the platform. Section 1.3 names each stakeholder and their concerns.</w:t>
            </w:r>
          </w:p>
          <w:p>
            <w:pPr>
              <w:jc w:val="both"/>
              <w:bidi w:val="0"/>
            </w:pPr>
            <w:r>
              <w:rPr>
                <w:b w:val="0"/>
                <w:sz w:val="20"/>
              </w:rPr>
              <w:t>The description conforms to IEEE 1016-2009 for software design descriptions and to ISO/IEC/IEEE 42010:2011 for architecture description.</w:t>
            </w:r>
          </w:p>
          <w:p>
            <w:pPr>
              <w:jc w:val="both"/>
              <w:bidi w:val="0"/>
            </w:pPr>
            <w:r>
              <w:rPr>
                <w:b w:val="0"/>
                <w:sz w:val="20"/>
              </w:rPr>
              <w:t>This document carries no database schema, no interface specification and no unit-level logic. The Solution Design Document, delivered alongside it, carries all three.</w:t>
            </w:r>
          </w:p>
          <w:p>
            <w:pPr>
              <w:jc w:val="both"/>
              <w:bidi w:val="0"/>
            </w:pPr>
            <w:r>
              <w:rPr>
                <w:b w:val="0"/>
                <w:sz w:val="20"/>
              </w:rPr>
              <w:t>The Requester Information, Strategic Information and Approvals blocks are Ministry-owned; the Ministry completes them on receipt.</w:t>
            </w:r>
          </w:p>
          <w:p>
            <w:pPr>
              <w:jc w:val="left"/>
              <w:bidi w:val="0"/>
            </w:pPr>
            <w:r>
              <w:rPr>
                <w:b/>
                <w:sz w:val="20"/>
              </w:rPr>
              <w:t>Glossary</w:t>
            </w:r>
          </w:p>
          <w:p>
            <w:pPr>
              <w:jc w:val="both"/>
              <w:bidi w:val="0"/>
            </w:pPr>
            <w:r>
              <w:rPr>
                <w:b w:val="0"/>
                <w:sz w:val="20"/>
              </w:rPr>
              <w:t>Each acronym below carries its expansion and its role in the design.</w:t>
            </w:r>
          </w:p>
          <w:tbl>
            <w:tblPr>
              <w:tblStyle w:val="TableGrid"/>
              <w:tblLayout w:type="autofit"/>
              <w:tblLook w:firstColumn="1" w:firstRow="1" w:lastColumn="0" w:lastRow="0" w:noHBand="0" w:noVBand="1" w:val="04A0"/>
              <w:tblW w:w="5000" w:type="pct"/>
            </w:tblPr>
            <w:tblGrid>
              <w:gridCol w:w="3480"/>
              <w:gridCol w:w="3480"/>
              <w:gridCol w:w="3480"/>
            </w:tblGrid>
            <w:tr>
              <w:tc>
                <w:tcPr>
                  <w:tcW w:type="dxa" w:w="480"/>
                </w:tcPr>
                <w:p>
                  <w:pPr>
                    <w:bidi w:val="0"/>
                  </w:pPr>
                  <w:r/>
                  <w:r>
                    <w:rPr>
                      <w:b/>
                      <w:sz w:val="20"/>
                    </w:rPr>
                    <w:t>Acronym</w:t>
                  </w:r>
                </w:p>
              </w:tc>
              <w:tc>
                <w:tcPr>
                  <w:tcW w:type="dxa" w:w="480"/>
                </w:tcPr>
                <w:p>
                  <w:pPr>
                    <w:bidi w:val="0"/>
                  </w:pPr>
                  <w:r/>
                  <w:r>
                    <w:rPr>
                      <w:b/>
                      <w:sz w:val="20"/>
                    </w:rPr>
                    <w:t>Expansion</w:t>
                  </w:r>
                </w:p>
              </w:tc>
              <w:tc>
                <w:tcPr>
                  <w:tcW w:type="dxa" w:w="480"/>
                </w:tcPr>
                <w:p>
                  <w:pPr>
                    <w:bidi w:val="0"/>
                  </w:pPr>
                  <w:r/>
                  <w:r>
                    <w:rPr>
                      <w:b/>
                      <w:sz w:val="20"/>
                    </w:rPr>
                    <w:t>Role in this design</w:t>
                  </w:r>
                </w:p>
              </w:tc>
            </w:tr>
            <w:tr>
              <w:tc>
                <w:tcPr>
                  <w:tcW w:type="dxa" w:w="3480"/>
                </w:tcPr>
                <w:p>
                  <w:pPr>
                    <w:bidi w:val="0"/>
                  </w:pPr>
                  <w:r/>
                  <w:r>
                    <w:rPr>
                      <w:sz w:val="20"/>
                    </w:rPr>
                    <w:t>SIMF</w:t>
                  </w:r>
                </w:p>
              </w:tc>
              <w:tc>
                <w:tcPr>
                  <w:tcW w:type="dxa" w:w="3480"/>
                </w:tcPr>
                <w:p>
                  <w:pPr>
                    <w:bidi w:val="0"/>
                  </w:pPr>
                  <w:r/>
                  <w:r>
                    <w:rPr>
                      <w:sz w:val="20"/>
                    </w:rPr>
                    <w:t>Saudi International Maritime Forum</w:t>
                  </w:r>
                </w:p>
              </w:tc>
              <w:tc>
                <w:tcPr>
                  <w:tcW w:type="dxa" w:w="3480"/>
                </w:tcPr>
                <w:p>
                  <w:pPr>
                    <w:bidi w:val="0"/>
                  </w:pPr>
                  <w:r/>
                  <w:r>
                    <w:rPr>
                      <w:sz w:val="20"/>
                    </w:rPr>
                    <w:t>The forum and its platform</w:t>
                  </w:r>
                </w:p>
              </w:tc>
            </w:tr>
            <w:tr>
              <w:tc>
                <w:tcPr>
                  <w:tcW w:type="dxa" w:w="3480"/>
                </w:tcPr>
                <w:p>
                  <w:pPr>
                    <w:bidi w:val="0"/>
                  </w:pPr>
                  <w:r/>
                  <w:r>
                    <w:rPr>
                      <w:sz w:val="20"/>
                    </w:rPr>
                    <w:t>RSNF</w:t>
                  </w:r>
                </w:p>
              </w:tc>
              <w:tc>
                <w:tcPr>
                  <w:tcW w:type="dxa" w:w="3480"/>
                </w:tcPr>
                <w:p>
                  <w:pPr>
                    <w:bidi w:val="0"/>
                  </w:pPr>
                  <w:r/>
                  <w:r>
                    <w:rPr>
                      <w:sz w:val="20"/>
                    </w:rPr>
                    <w:t>Royal Saudi Naval Forces</w:t>
                  </w:r>
                </w:p>
              </w:tc>
              <w:tc>
                <w:tcPr>
                  <w:tcW w:type="dxa" w:w="3480"/>
                </w:tcPr>
                <w:p>
                  <w:pPr>
                    <w:bidi w:val="0"/>
                  </w:pPr>
                  <w:r/>
                  <w:r>
                    <w:rPr>
                      <w:sz w:val="20"/>
                    </w:rPr>
                    <w:t>System owner</w:t>
                  </w:r>
                </w:p>
              </w:tc>
            </w:tr>
            <w:tr>
              <w:tc>
                <w:tcPr>
                  <w:tcW w:type="dxa" w:w="3480"/>
                </w:tcPr>
                <w:p>
                  <w:pPr>
                    <w:bidi w:val="0"/>
                  </w:pPr>
                  <w:r/>
                  <w:r>
                    <w:rPr>
                      <w:sz w:val="20"/>
                    </w:rPr>
                    <w:t>SITE</w:t>
                  </w:r>
                </w:p>
              </w:tc>
              <w:tc>
                <w:tcPr>
                  <w:tcW w:type="dxa" w:w="3480"/>
                </w:tcPr>
                <w:p>
                  <w:pPr>
                    <w:bidi w:val="0"/>
                  </w:pPr>
                  <w:r/>
                  <w:r>
                    <w:rPr>
                      <w:sz w:val="20"/>
                    </w:rPr>
                    <w:t>TBD</w:t>
                  </w:r>
                </w:p>
              </w:tc>
              <w:tc>
                <w:tcPr>
                  <w:tcW w:type="dxa" w:w="3480"/>
                </w:tcPr>
                <w:p>
                  <w:pPr>
                    <w:bidi w:val="0"/>
                  </w:pPr>
                  <w:r/>
                  <w:r>
                    <w:rPr>
                      <w:sz w:val="20"/>
                    </w:rPr>
                    <w:t>Hosting provider</w:t>
                  </w:r>
                </w:p>
              </w:tc>
            </w:tr>
            <w:tr>
              <w:tc>
                <w:tcPr>
                  <w:tcW w:type="dxa" w:w="3480"/>
                </w:tcPr>
                <w:p>
                  <w:pPr>
                    <w:bidi w:val="0"/>
                  </w:pPr>
                  <w:r/>
                  <w:r>
                    <w:rPr>
                      <w:sz w:val="20"/>
                    </w:rPr>
                    <w:t>SSA</w:t>
                  </w:r>
                </w:p>
              </w:tc>
              <w:tc>
                <w:tcPr>
                  <w:tcW w:type="dxa" w:w="3480"/>
                </w:tcPr>
                <w:p>
                  <w:pPr>
                    <w:bidi w:val="0"/>
                  </w:pPr>
                  <w:r/>
                  <w:r>
                    <w:rPr>
                      <w:sz w:val="20"/>
                    </w:rPr>
                    <w:t>Secure Service Area</w:t>
                  </w:r>
                </w:p>
              </w:tc>
              <w:tc>
                <w:tcPr>
                  <w:tcW w:type="dxa" w:w="3480"/>
                </w:tcPr>
                <w:p>
                  <w:pPr>
                    <w:bidi w:val="0"/>
                  </w:pPr>
                  <w:r/>
                  <w:r>
                    <w:rPr>
                      <w:sz w:val="20"/>
                    </w:rPr>
                    <w:t>Outer security area</w:t>
                  </w:r>
                </w:p>
              </w:tc>
            </w:tr>
            <w:tr>
              <w:tc>
                <w:tcPr>
                  <w:tcW w:type="dxa" w:w="3480"/>
                </w:tcPr>
                <w:p>
                  <w:pPr>
                    <w:bidi w:val="0"/>
                  </w:pPr>
                  <w:r/>
                  <w:r>
                    <w:rPr>
                      <w:sz w:val="20"/>
                    </w:rPr>
                    <w:t>HSA</w:t>
                  </w:r>
                </w:p>
              </w:tc>
              <w:tc>
                <w:tcPr>
                  <w:tcW w:type="dxa" w:w="3480"/>
                </w:tcPr>
                <w:p>
                  <w:pPr>
                    <w:bidi w:val="0"/>
                  </w:pPr>
                  <w:r/>
                  <w:r>
                    <w:rPr>
                      <w:sz w:val="20"/>
                    </w:rPr>
                    <w:t>High Security Area</w:t>
                  </w:r>
                </w:p>
              </w:tc>
              <w:tc>
                <w:tcPr>
                  <w:tcW w:type="dxa" w:w="3480"/>
                </w:tcPr>
                <w:p>
                  <w:pPr>
                    <w:bidi w:val="0"/>
                  </w:pPr>
                  <w:r/>
                  <w:r>
                    <w:rPr>
                      <w:sz w:val="20"/>
                    </w:rPr>
                    <w:t>Inner security area</w:t>
                  </w:r>
                </w:p>
              </w:tc>
            </w:tr>
            <w:tr>
              <w:tc>
                <w:tcPr>
                  <w:tcW w:type="dxa" w:w="3480"/>
                </w:tcPr>
                <w:p>
                  <w:pPr>
                    <w:bidi w:val="0"/>
                  </w:pPr>
                  <w:r/>
                  <w:r>
                    <w:rPr>
                      <w:sz w:val="20"/>
                    </w:rPr>
                    <w:t>NCA</w:t>
                  </w:r>
                </w:p>
              </w:tc>
              <w:tc>
                <w:tcPr>
                  <w:tcW w:type="dxa" w:w="3480"/>
                </w:tcPr>
                <w:p>
                  <w:pPr>
                    <w:bidi w:val="0"/>
                  </w:pPr>
                  <w:r/>
                  <w:r>
                    <w:rPr>
                      <w:sz w:val="20"/>
                    </w:rPr>
                    <w:t>National Cybersecurity Authority</w:t>
                  </w:r>
                </w:p>
              </w:tc>
              <w:tc>
                <w:tcPr>
                  <w:tcW w:type="dxa" w:w="3480"/>
                </w:tcPr>
                <w:p>
                  <w:pPr>
                    <w:bidi w:val="0"/>
                  </w:pPr>
                  <w:r/>
                  <w:r>
                    <w:rPr>
                      <w:sz w:val="20"/>
                    </w:rPr>
                    <w:t>Cybersecurity regulator</w:t>
                  </w:r>
                </w:p>
              </w:tc>
            </w:tr>
            <w:tr>
              <w:tc>
                <w:tcPr>
                  <w:tcW w:type="dxa" w:w="3480"/>
                </w:tcPr>
                <w:p>
                  <w:pPr>
                    <w:bidi w:val="0"/>
                  </w:pPr>
                  <w:r/>
                  <w:r>
                    <w:rPr>
                      <w:sz w:val="20"/>
                    </w:rPr>
                    <w:t>ECC</w:t>
                  </w:r>
                </w:p>
              </w:tc>
              <w:tc>
                <w:tcPr>
                  <w:tcW w:type="dxa" w:w="3480"/>
                </w:tcPr>
                <w:p>
                  <w:pPr>
                    <w:bidi w:val="0"/>
                  </w:pPr>
                  <w:r/>
                  <w:r>
                    <w:rPr>
                      <w:sz w:val="20"/>
                    </w:rPr>
                    <w:t>Essential Cybersecurity Controls</w:t>
                  </w:r>
                </w:p>
              </w:tc>
              <w:tc>
                <w:tcPr>
                  <w:tcW w:type="dxa" w:w="3480"/>
                </w:tcPr>
                <w:p>
                  <w:pPr>
                    <w:bidi w:val="0"/>
                  </w:pPr>
                  <w:r/>
                  <w:r>
                    <w:rPr>
                      <w:sz w:val="20"/>
                    </w:rPr>
                    <w:t>NCA control baseline</w:t>
                  </w:r>
                </w:p>
              </w:tc>
            </w:tr>
            <w:tr>
              <w:tc>
                <w:tcPr>
                  <w:tcW w:type="dxa" w:w="3480"/>
                </w:tcPr>
                <w:p>
                  <w:pPr>
                    <w:bidi w:val="0"/>
                  </w:pPr>
                  <w:r/>
                  <w:r>
                    <w:rPr>
                      <w:sz w:val="20"/>
                    </w:rPr>
                    <w:t>PDPL</w:t>
                  </w:r>
                </w:p>
              </w:tc>
              <w:tc>
                <w:tcPr>
                  <w:tcW w:type="dxa" w:w="3480"/>
                </w:tcPr>
                <w:p>
                  <w:pPr>
                    <w:bidi w:val="0"/>
                  </w:pPr>
                  <w:r/>
                  <w:r>
                    <w:rPr>
                      <w:sz w:val="20"/>
                    </w:rPr>
                    <w:t>Personal Data Protection Law</w:t>
                  </w:r>
                </w:p>
              </w:tc>
              <w:tc>
                <w:tcPr>
                  <w:tcW w:type="dxa" w:w="3480"/>
                </w:tcPr>
                <w:p>
                  <w:pPr>
                    <w:bidi w:val="0"/>
                  </w:pPr>
                  <w:r/>
                  <w:r>
                    <w:rPr>
                      <w:sz w:val="20"/>
                    </w:rPr>
                    <w:t>Saudi data protection law</w:t>
                  </w:r>
                </w:p>
              </w:tc>
            </w:tr>
            <w:tr>
              <w:tc>
                <w:tcPr>
                  <w:tcW w:type="dxa" w:w="3480"/>
                </w:tcPr>
                <w:p>
                  <w:pPr>
                    <w:bidi w:val="0"/>
                  </w:pPr>
                  <w:r/>
                  <w:r>
                    <w:rPr>
                      <w:sz w:val="20"/>
                    </w:rPr>
                    <w:t>OWASP</w:t>
                  </w:r>
                </w:p>
              </w:tc>
              <w:tc>
                <w:tcPr>
                  <w:tcW w:type="dxa" w:w="3480"/>
                </w:tcPr>
                <w:p>
                  <w:pPr>
                    <w:bidi w:val="0"/>
                  </w:pPr>
                  <w:r/>
                  <w:r>
                    <w:rPr>
                      <w:sz w:val="20"/>
                    </w:rPr>
                    <w:t>Open Worldwide Application Security Project</w:t>
                  </w:r>
                </w:p>
              </w:tc>
              <w:tc>
                <w:tcPr>
                  <w:tcW w:type="dxa" w:w="3480"/>
                </w:tcPr>
                <w:p>
                  <w:pPr>
                    <w:bidi w:val="0"/>
                  </w:pPr>
                  <w:r/>
                  <w:r>
                    <w:rPr>
                      <w:sz w:val="20"/>
                    </w:rPr>
                    <w:t>Application security baseline</w:t>
                  </w:r>
                </w:p>
              </w:tc>
            </w:tr>
            <w:tr>
              <w:tc>
                <w:tcPr>
                  <w:tcW w:type="dxa" w:w="3480"/>
                </w:tcPr>
                <w:p>
                  <w:pPr>
                    <w:bidi w:val="0"/>
                  </w:pPr>
                  <w:r/>
                  <w:r>
                    <w:rPr>
                      <w:sz w:val="20"/>
                    </w:rPr>
                    <w:t>WAF</w:t>
                  </w:r>
                </w:p>
              </w:tc>
              <w:tc>
                <w:tcPr>
                  <w:tcW w:type="dxa" w:w="3480"/>
                </w:tcPr>
                <w:p>
                  <w:pPr>
                    <w:bidi w:val="0"/>
                  </w:pPr>
                  <w:r/>
                  <w:r>
                    <w:rPr>
                      <w:sz w:val="20"/>
                    </w:rPr>
                    <w:t>Web application firewall</w:t>
                  </w:r>
                </w:p>
              </w:tc>
              <w:tc>
                <w:tcPr>
                  <w:tcW w:type="dxa" w:w="3480"/>
                </w:tcPr>
                <w:p>
                  <w:pPr>
                    <w:bidi w:val="0"/>
                  </w:pPr>
                  <w:r/>
                  <w:r>
                    <w:rPr>
                      <w:sz w:val="20"/>
                    </w:rPr>
                    <w:t>Perimeter control</w:t>
                  </w:r>
                </w:p>
              </w:tc>
            </w:tr>
            <w:tr>
              <w:tc>
                <w:tcPr>
                  <w:tcW w:type="dxa" w:w="3480"/>
                </w:tcPr>
                <w:p>
                  <w:pPr>
                    <w:bidi w:val="0"/>
                  </w:pPr>
                  <w:r/>
                  <w:r>
                    <w:rPr>
                      <w:sz w:val="20"/>
                    </w:rPr>
                    <w:t>KMS</w:t>
                  </w:r>
                </w:p>
              </w:tc>
              <w:tc>
                <w:tcPr>
                  <w:tcW w:type="dxa" w:w="3480"/>
                </w:tcPr>
                <w:p>
                  <w:pPr>
                    <w:bidi w:val="0"/>
                  </w:pPr>
                  <w:r/>
                  <w:r>
                    <w:rPr>
                      <w:sz w:val="20"/>
                    </w:rPr>
                    <w:t>Key management service</w:t>
                  </w:r>
                </w:p>
              </w:tc>
              <w:tc>
                <w:tcPr>
                  <w:tcW w:type="dxa" w:w="3480"/>
                </w:tcPr>
                <w:p>
                  <w:pPr>
                    <w:bidi w:val="0"/>
                  </w:pPr>
                  <w:r/>
                  <w:r>
                    <w:rPr>
                      <w:sz w:val="20"/>
                    </w:rPr>
                    <w:t>Holds encryption keys</w:t>
                  </w:r>
                </w:p>
              </w:tc>
            </w:tr>
            <w:tr>
              <w:tc>
                <w:tcPr>
                  <w:tcW w:type="dxa" w:w="3480"/>
                </w:tcPr>
                <w:p>
                  <w:pPr>
                    <w:bidi w:val="0"/>
                  </w:pPr>
                  <w:r/>
                  <w:r>
                    <w:rPr>
                      <w:sz w:val="20"/>
                    </w:rPr>
                    <w:t>HSM</w:t>
                  </w:r>
                </w:p>
              </w:tc>
              <w:tc>
                <w:tcPr>
                  <w:tcW w:type="dxa" w:w="3480"/>
                </w:tcPr>
                <w:p>
                  <w:pPr>
                    <w:bidi w:val="0"/>
                  </w:pPr>
                  <w:r/>
                  <w:r>
                    <w:rPr>
                      <w:sz w:val="20"/>
                    </w:rPr>
                    <w:t>Hardware security module</w:t>
                  </w:r>
                </w:p>
              </w:tc>
              <w:tc>
                <w:tcPr>
                  <w:tcW w:type="dxa" w:w="3480"/>
                </w:tcPr>
                <w:p>
                  <w:pPr>
                    <w:bidi w:val="0"/>
                  </w:pPr>
                  <w:r/>
                  <w:r>
                    <w:rPr>
                      <w:sz w:val="20"/>
                    </w:rPr>
                    <w:t>Backs the KMS</w:t>
                  </w:r>
                </w:p>
              </w:tc>
            </w:tr>
            <w:tr>
              <w:tc>
                <w:tcPr>
                  <w:tcW w:type="dxa" w:w="3480"/>
                </w:tcPr>
                <w:p>
                  <w:pPr>
                    <w:bidi w:val="0"/>
                  </w:pPr>
                  <w:r/>
                  <w:r>
                    <w:rPr>
                      <w:sz w:val="20"/>
                    </w:rPr>
                    <w:t>AG</w:t>
                  </w:r>
                </w:p>
              </w:tc>
              <w:tc>
                <w:tcPr>
                  <w:tcW w:type="dxa" w:w="3480"/>
                </w:tcPr>
                <w:p>
                  <w:pPr>
                    <w:bidi w:val="0"/>
                  </w:pPr>
                  <w:r/>
                  <w:r>
                    <w:rPr>
                      <w:sz w:val="20"/>
                    </w:rPr>
                    <w:t>Availability Group</w:t>
                  </w:r>
                </w:p>
              </w:tc>
              <w:tc>
                <w:tcPr>
                  <w:tcW w:type="dxa" w:w="3480"/>
                </w:tcPr>
                <w:p>
                  <w:pPr>
                    <w:bidi w:val="0"/>
                  </w:pPr>
                  <w:r/>
                  <w:r>
                    <w:rPr>
                      <w:sz w:val="20"/>
                    </w:rPr>
                    <w:t>Database high availability</w:t>
                  </w:r>
                </w:p>
              </w:tc>
            </w:tr>
            <w:tr>
              <w:tc>
                <w:tcPr>
                  <w:tcW w:type="dxa" w:w="3480"/>
                </w:tcPr>
                <w:p>
                  <w:pPr>
                    <w:bidi w:val="0"/>
                  </w:pPr>
                  <w:r/>
                  <w:r>
                    <w:rPr>
                      <w:sz w:val="20"/>
                    </w:rPr>
                    <w:t>TDS</w:t>
                  </w:r>
                </w:p>
              </w:tc>
              <w:tc>
                <w:tcPr>
                  <w:tcW w:type="dxa" w:w="3480"/>
                </w:tcPr>
                <w:p>
                  <w:pPr>
                    <w:bidi w:val="0"/>
                  </w:pPr>
                  <w:r/>
                  <w:r>
                    <w:rPr>
                      <w:sz w:val="20"/>
                    </w:rPr>
                    <w:t>Tabular Data Stream</w:t>
                  </w:r>
                </w:p>
              </w:tc>
              <w:tc>
                <w:tcPr>
                  <w:tcW w:type="dxa" w:w="3480"/>
                </w:tcPr>
                <w:p>
                  <w:pPr>
                    <w:bidi w:val="0"/>
                  </w:pPr>
                  <w:r/>
                  <w:r>
                    <w:rPr>
                      <w:sz w:val="20"/>
                    </w:rPr>
                    <w:t>SQL Server wire protocol</w:t>
                  </w:r>
                </w:p>
              </w:tc>
            </w:tr>
            <w:tr>
              <w:tc>
                <w:tcPr>
                  <w:tcW w:type="dxa" w:w="3480"/>
                </w:tcPr>
                <w:p>
                  <w:pPr>
                    <w:bidi w:val="0"/>
                  </w:pPr>
                  <w:r/>
                  <w:r>
                    <w:rPr>
                      <w:sz w:val="20"/>
                    </w:rPr>
                    <w:t>API</w:t>
                  </w:r>
                </w:p>
              </w:tc>
              <w:tc>
                <w:tcPr>
                  <w:tcW w:type="dxa" w:w="3480"/>
                </w:tcPr>
                <w:p>
                  <w:pPr>
                    <w:bidi w:val="0"/>
                  </w:pPr>
                  <w:r/>
                  <w:r>
                    <w:rPr>
                      <w:sz w:val="20"/>
                    </w:rPr>
                    <w:t>Application programming interface</w:t>
                  </w:r>
                </w:p>
              </w:tc>
              <w:tc>
                <w:tcPr>
                  <w:tcW w:type="dxa" w:w="3480"/>
                </w:tcPr>
                <w:p>
                  <w:pPr>
                    <w:bidi w:val="0"/>
                  </w:pPr>
                  <w:r/>
                  <w:r>
                    <w:rPr>
                      <w:sz w:val="20"/>
                    </w:rPr>
                    <w:t>Backend service surface</w:t>
                  </w:r>
                </w:p>
              </w:tc>
            </w:tr>
            <w:tr>
              <w:tc>
                <w:tcPr>
                  <w:tcW w:type="dxa" w:w="3480"/>
                </w:tcPr>
                <w:p>
                  <w:pPr>
                    <w:bidi w:val="0"/>
                  </w:pPr>
                  <w:r/>
                  <w:r>
                    <w:rPr>
                      <w:sz w:val="20"/>
                    </w:rPr>
                    <w:t>REST</w:t>
                  </w:r>
                </w:p>
              </w:tc>
              <w:tc>
                <w:tcPr>
                  <w:tcW w:type="dxa" w:w="3480"/>
                </w:tcPr>
                <w:p>
                  <w:pPr>
                    <w:bidi w:val="0"/>
                  </w:pPr>
                  <w:r/>
                  <w:r>
                    <w:rPr>
                      <w:sz w:val="20"/>
                    </w:rPr>
                    <w:t>Representational State Transfer</w:t>
                  </w:r>
                </w:p>
              </w:tc>
              <w:tc>
                <w:tcPr>
                  <w:tcW w:type="dxa" w:w="3480"/>
                </w:tcPr>
                <w:p>
                  <w:pPr>
                    <w:bidi w:val="0"/>
                  </w:pPr>
                  <w:r/>
                  <w:r>
                    <w:rPr>
                      <w:sz w:val="20"/>
                    </w:rPr>
                    <w:t>Interface style for the API</w:t>
                  </w:r>
                </w:p>
              </w:tc>
            </w:tr>
            <w:tr>
              <w:tc>
                <w:tcPr>
                  <w:tcW w:type="dxa" w:w="3480"/>
                </w:tcPr>
                <w:p>
                  <w:pPr>
                    <w:bidi w:val="0"/>
                  </w:pPr>
                  <w:r/>
                  <w:r>
                    <w:rPr>
                      <w:sz w:val="20"/>
                    </w:rPr>
                    <w:t>RTO</w:t>
                  </w:r>
                </w:p>
              </w:tc>
              <w:tc>
                <w:tcPr>
                  <w:tcW w:type="dxa" w:w="3480"/>
                </w:tcPr>
                <w:p>
                  <w:pPr>
                    <w:bidi w:val="0"/>
                  </w:pPr>
                  <w:r/>
                  <w:r>
                    <w:rPr>
                      <w:sz w:val="20"/>
                    </w:rPr>
                    <w:t>Recovery time objective</w:t>
                  </w:r>
                </w:p>
              </w:tc>
              <w:tc>
                <w:tcPr>
                  <w:tcW w:type="dxa" w:w="3480"/>
                </w:tcPr>
                <w:p>
                  <w:pPr>
                    <w:bidi w:val="0"/>
                  </w:pPr>
                  <w:r/>
                  <w:r>
                    <w:rPr>
                      <w:sz w:val="20"/>
                    </w:rPr>
                    <w:t>Availability commitment</w:t>
                  </w:r>
                </w:p>
              </w:tc>
            </w:tr>
            <w:tr>
              <w:tc>
                <w:tcPr>
                  <w:tcW w:type="dxa" w:w="3480"/>
                </w:tcPr>
                <w:p>
                  <w:pPr>
                    <w:bidi w:val="0"/>
                  </w:pPr>
                  <w:r/>
                  <w:r>
                    <w:rPr>
                      <w:sz w:val="20"/>
                    </w:rPr>
                    <w:t>RPO</w:t>
                  </w:r>
                </w:p>
              </w:tc>
              <w:tc>
                <w:tcPr>
                  <w:tcW w:type="dxa" w:w="3480"/>
                </w:tcPr>
                <w:p>
                  <w:pPr>
                    <w:bidi w:val="0"/>
                  </w:pPr>
                  <w:r/>
                  <w:r>
                    <w:rPr>
                      <w:sz w:val="20"/>
                    </w:rPr>
                    <w:t>Recovery point objective</w:t>
                  </w:r>
                </w:p>
              </w:tc>
              <w:tc>
                <w:tcPr>
                  <w:tcW w:type="dxa" w:w="3480"/>
                </w:tcPr>
                <w:p>
                  <w:pPr>
                    <w:bidi w:val="0"/>
                  </w:pPr>
                  <w:r/>
                  <w:r>
                    <w:rPr>
                      <w:sz w:val="20"/>
                    </w:rPr>
                    <w:t>Availability commitment</w:t>
                  </w:r>
                </w:p>
              </w:tc>
            </w:tr>
            <w:tr>
              <w:tc>
                <w:tcPr>
                  <w:tcW w:type="dxa" w:w="3480"/>
                </w:tcPr>
                <w:p>
                  <w:pPr>
                    <w:bidi w:val="0"/>
                  </w:pPr>
                  <w:r/>
                  <w:r>
                    <w:rPr>
                      <w:sz w:val="20"/>
                    </w:rPr>
                    <w:t>OTP</w:t>
                  </w:r>
                </w:p>
              </w:tc>
              <w:tc>
                <w:tcPr>
                  <w:tcW w:type="dxa" w:w="3480"/>
                </w:tcPr>
                <w:p>
                  <w:pPr>
                    <w:bidi w:val="0"/>
                  </w:pPr>
                  <w:r/>
                  <w:r>
                    <w:rPr>
                      <w:sz w:val="20"/>
                    </w:rPr>
                    <w:t>One-time password</w:t>
                  </w:r>
                </w:p>
              </w:tc>
              <w:tc>
                <w:tcPr>
                  <w:tcW w:type="dxa" w:w="3480"/>
                </w:tcPr>
                <w:p>
                  <w:pPr>
                    <w:bidi w:val="0"/>
                  </w:pPr>
                  <w:r/>
                  <w:r>
                    <w:rPr>
                      <w:sz w:val="20"/>
                    </w:rPr>
                    <w:t>Second factor</w:t>
                  </w:r>
                </w:p>
              </w:tc>
            </w:tr>
            <w:tr>
              <w:tc>
                <w:tcPr>
                  <w:tcW w:type="dxa" w:w="3480"/>
                </w:tcPr>
                <w:p>
                  <w:pPr>
                    <w:bidi w:val="0"/>
                  </w:pPr>
                  <w:r/>
                  <w:r>
                    <w:rPr>
                      <w:sz w:val="20"/>
                    </w:rPr>
                    <w:t>TOTP</w:t>
                  </w:r>
                </w:p>
              </w:tc>
              <w:tc>
                <w:tcPr>
                  <w:tcW w:type="dxa" w:w="3480"/>
                </w:tcPr>
                <w:p>
                  <w:pPr>
                    <w:bidi w:val="0"/>
                  </w:pPr>
                  <w:r/>
                  <w:r>
                    <w:rPr>
                      <w:sz w:val="20"/>
                    </w:rPr>
                    <w:t>Time-based one-time password</w:t>
                  </w:r>
                </w:p>
              </w:tc>
              <w:tc>
                <w:tcPr>
                  <w:tcW w:type="dxa" w:w="3480"/>
                </w:tcPr>
                <w:p>
                  <w:pPr>
                    <w:bidi w:val="0"/>
                  </w:pPr>
                  <w:r/>
                  <w:r>
                    <w:rPr>
                      <w:sz w:val="20"/>
                    </w:rPr>
                    <w:t>Second factor</w:t>
                  </w:r>
                </w:p>
              </w:tc>
            </w:tr>
            <w:tr>
              <w:tc>
                <w:tcPr>
                  <w:tcW w:type="dxa" w:w="3480"/>
                </w:tcPr>
                <w:p>
                  <w:pPr>
                    <w:bidi w:val="0"/>
                  </w:pPr>
                  <w:r/>
                  <w:r>
                    <w:rPr>
                      <w:sz w:val="20"/>
                    </w:rPr>
                    <w:t>DDD</w:t>
                  </w:r>
                </w:p>
              </w:tc>
              <w:tc>
                <w:tcPr>
                  <w:tcW w:type="dxa" w:w="3480"/>
                </w:tcPr>
                <w:p>
                  <w:pPr>
                    <w:bidi w:val="0"/>
                  </w:pPr>
                  <w:r/>
                  <w:r>
                    <w:rPr>
                      <w:sz w:val="20"/>
                    </w:rPr>
                    <w:t>Domain-Driven Design</w:t>
                  </w:r>
                </w:p>
              </w:tc>
              <w:tc>
                <w:tcPr>
                  <w:tcW w:type="dxa" w:w="3480"/>
                </w:tcPr>
                <w:p>
                  <w:pPr>
                    <w:bidi w:val="0"/>
                  </w:pPr>
                  <w:r/>
                  <w:r>
                    <w:rPr>
                      <w:sz w:val="20"/>
                    </w:rPr>
                    <w:t>Backend layering</w:t>
                  </w:r>
                </w:p>
              </w:tc>
            </w:tr>
            <w:tr>
              <w:tc>
                <w:tcPr>
                  <w:tcW w:type="dxa" w:w="3480"/>
                </w:tcPr>
                <w:p>
                  <w:pPr>
                    <w:bidi w:val="0"/>
                  </w:pPr>
                  <w:r/>
                  <w:r>
                    <w:rPr>
                      <w:sz w:val="20"/>
                    </w:rPr>
                    <w:t>TBD</w:t>
                  </w:r>
                </w:p>
              </w:tc>
              <w:tc>
                <w:tcPr>
                  <w:tcW w:type="dxa" w:w="3480"/>
                </w:tcPr>
                <w:p>
                  <w:pPr>
                    <w:bidi w:val="0"/>
                  </w:pPr>
                  <w:r/>
                  <w:r>
                    <w:rPr>
                      <w:sz w:val="20"/>
                    </w:rPr>
                    <w:t>To be determined</w:t>
                  </w:r>
                </w:p>
              </w:tc>
              <w:tc>
                <w:tcPr>
                  <w:tcW w:type="dxa" w:w="3480"/>
                </w:tcPr>
                <w:p>
                  <w:pPr>
                    <w:bidi w:val="0"/>
                  </w:pPr>
                  <w:r/>
                  <w:r>
                    <w:rPr>
                      <w:sz w:val="20"/>
                    </w:rPr>
                    <w:t>Open item with a named owner</w:t>
                  </w:r>
                </w:p>
              </w:tc>
            </w:tr>
          </w:tbl>
          <w:p/>
          <w:p>
            <w:pPr/>
          </w:p>
          <w:p>
            <w:pPr>
              <w:jc w:val="both"/>
              <w:bidi w:val="0"/>
            </w:pPr>
            <w:r>
              <w:rPr>
                <w:b w:val="0"/>
                <w:sz w:val="20"/>
              </w:rPr>
              <w:t>Apexium closes the SITE expansion when SITE confirms its name in writing.</w:t>
            </w:r>
          </w:p>
        </w:tc>
      </w:tr>
      <w:tr w:rsidR="00011535" w:rsidRPr="0041599B" w14:paraId="4D4FCF92" w14:textId="77777777" w:rsidTr="00011535">
        <w:trPr>
          <w:trHeight w:val="336"/>
        </w:trPr>
        <w:tc>
          <w:tcPr>
            <w:tcW w:w="5000" w:type="pct"/>
            <w:shd w:val="clear" w:color="auto" w:fill="29504D"/>
            <w:vAlign w:val="center"/>
          </w:tcPr>
          <w:p w14:paraId="26BA1F4F" w14:textId="77777777" w:rsidR="00011535" w:rsidRPr="000B3B17" w:rsidRDefault="00A93EEA" w:rsidP="00E80022">
            <w:pPr>
              <w:bidi w:val="0"/>
              <w:rPr>
                <w:color w:val="FFFFFF" w:themeColor="background1"/>
              </w:rPr>
            </w:pPr>
            <w:r w:rsidRPr="000B3B17">
              <w:rPr>
                <w:color w:val="FFFFFF" w:themeColor="background1"/>
              </w:rPr>
              <w:t xml:space="preserve">1.2 </w:t>
            </w:r>
            <w:r w:rsidR="00011535" w:rsidRPr="000B3B17">
              <w:rPr>
                <w:color w:val="FFFFFF" w:themeColor="background1"/>
              </w:rPr>
              <w:t>System Overview</w:t>
            </w:r>
          </w:p>
        </w:tc>
      </w:tr>
      <w:tr w:rsidR="009F4953" w:rsidRPr="0041599B" w14:paraId="7D64B930" w14:textId="77777777" w:rsidTr="009F4953">
        <w:trPr>
          <w:trHeight w:val="336"/>
        </w:trPr>
        <w:tc>
          <w:tcPr>
            <w:tcW w:w="5000" w:type="pct"/>
            <w:shd w:val="clear" w:color="auto" w:fill="FFFFFF" w:themeFill="background1"/>
            <w:vAlign w:val="center"/>
          </w:tcPr>
          <w:p>
            <w:pPr>
              <w:jc w:val="both"/>
              <w:bidi w:val="0"/>
            </w:pPr>
            <w:r>
              <w:rPr>
                <w:b w:val="0"/>
                <w:sz w:val="20"/>
              </w:rPr>
              <w:t>The Saudi International Maritime Forum (SIMF) platform is a single-tenant event platform. It serves the Royal Saudi Naval Forces (RSNF) under a Ministry of Defense programme, and the current edition is SIMF 4th Edition 2026. Any member of the public may register, in the Kingdom or abroad, subject to administrator approval. The platform verifies each registrant, issues a digital badge and controls entry by gate scan. It publishes the programme, takes seat reservations, sends reminders, streams live sessions and moderates audience questions. It presents the exhibition, sponsors, media partners, news and the past-edition archive, and it supports networking and meeting requests. It collects ratings, feedback and statistics, and organisers administer the whole event from the Control Panel without a code release.</w:t>
            </w:r>
          </w:p>
          <w:p>
            <w:pPr>
              <w:jc w:val="both"/>
              <w:bidi w:val="0"/>
            </w:pPr>
            <w:r>
              <w:rPr>
                <w:b w:val="0"/>
                <w:sz w:val="20"/>
              </w:rPr>
              <w:t>Attendance at the forum is free. The platform holds no payment, ticketing, invoicing or finance capability, and none is planned.</w:t>
            </w:r>
          </w:p>
          <w:p>
            <w:pPr>
              <w:jc w:val="left"/>
              <w:bidi w:val="0"/>
            </w:pPr>
            <w:r>
              <w:rPr>
                <w:b/>
                <w:sz w:val="20"/>
              </w:rPr>
              <w:t>Quality goals</w:t>
            </w:r>
          </w:p>
          <w:p>
            <w:pPr>
              <w:jc w:val="both"/>
              <w:bidi w:val="0"/>
            </w:pPr>
            <w:r>
              <w:rPr>
                <w:b w:val="0"/>
                <w:sz w:val="20"/>
              </w:rPr>
              <w:t>Four quality goals shape the design, each stated with the scenario that measures it.</w:t>
            </w:r>
          </w:p>
          <w:tbl>
            <w:tblPr>
              <w:tblStyle w:val="TableGrid"/>
              <w:tblLayout w:type="autofit"/>
              <w:tblLook w:firstColumn="1" w:firstRow="1" w:lastColumn="0" w:lastRow="0" w:noHBand="0" w:noVBand="1" w:val="04A0"/>
              <w:tblW w:w="5000" w:type="pct"/>
            </w:tblPr>
            <w:tblGrid>
              <w:gridCol w:w="3480"/>
              <w:gridCol w:w="3480"/>
              <w:gridCol w:w="3480"/>
            </w:tblGrid>
            <w:tr>
              <w:tc>
                <w:tcPr>
                  <w:tcW w:type="dxa" w:w="480"/>
                </w:tcPr>
                <w:p>
                  <w:pPr>
                    <w:bidi w:val="0"/>
                  </w:pPr>
                  <w:r/>
                  <w:r>
                    <w:rPr>
                      <w:b/>
                      <w:sz w:val="20"/>
                    </w:rPr>
                    <w:t>Quality goal</w:t>
                  </w:r>
                </w:p>
              </w:tc>
              <w:tc>
                <w:tcPr>
                  <w:tcW w:type="dxa" w:w="480"/>
                </w:tcPr>
                <w:p>
                  <w:pPr>
                    <w:bidi w:val="0"/>
                  </w:pPr>
                  <w:r/>
                  <w:r>
                    <w:rPr>
                      <w:b/>
                      <w:sz w:val="20"/>
                    </w:rPr>
                    <w:t>Measurable scenario</w:t>
                  </w:r>
                </w:p>
              </w:tc>
              <w:tc>
                <w:tcPr>
                  <w:tcW w:type="dxa" w:w="480"/>
                </w:tcPr>
                <w:p>
                  <w:pPr>
                    <w:bidi w:val="0"/>
                  </w:pPr>
                  <w:r/>
                  <w:r>
                    <w:rPr>
                      <w:b/>
                      <w:sz w:val="20"/>
                    </w:rPr>
                    <w:t>Target</w:t>
                  </w:r>
                </w:p>
              </w:tc>
            </w:tr>
            <w:tr>
              <w:tc>
                <w:tcPr>
                  <w:tcW w:type="dxa" w:w="3480"/>
                </w:tcPr>
                <w:p>
                  <w:pPr>
                    <w:bidi w:val="0"/>
                  </w:pPr>
                  <w:r/>
                  <w:r>
                    <w:rPr>
                      <w:sz w:val="20"/>
                    </w:rPr>
                    <w:t>Availability across the forum days</w:t>
                  </w:r>
                </w:p>
              </w:tc>
              <w:tc>
                <w:tcPr>
                  <w:tcW w:type="dxa" w:w="3480"/>
                </w:tcPr>
                <w:p>
                  <w:pPr>
                    <w:bidi w:val="0"/>
                  </w:pPr>
                  <w:r/>
                  <w:r>
                    <w:rPr>
                      <w:sz w:val="20"/>
                    </w:rPr>
                    <w:t>Attendees, gate operators and organisers use the platform throughout the three forum days.</w:t>
                  </w:r>
                </w:p>
              </w:tc>
              <w:tc>
                <w:tcPr>
                  <w:tcW w:type="dxa" w:w="3480"/>
                </w:tcPr>
                <w:p>
                  <w:pPr>
                    <w:bidi w:val="0"/>
                  </w:pPr>
                  <w:r/>
                  <w:r>
                    <w:rPr>
                      <w:sz w:val="20"/>
                    </w:rPr>
                    <w:t>The availability objectives in section 2.9</w:t>
                  </w:r>
                </w:p>
              </w:tc>
            </w:tr>
            <w:tr>
              <w:tc>
                <w:tcPr>
                  <w:tcW w:type="dxa" w:w="3480"/>
                </w:tcPr>
                <w:p>
                  <w:pPr>
                    <w:bidi w:val="0"/>
                  </w:pPr>
                  <w:r/>
                  <w:r>
                    <w:rPr>
                      <w:sz w:val="20"/>
                    </w:rPr>
                    <w:t>Gate response under peak arrival</w:t>
                  </w:r>
                </w:p>
              </w:tc>
              <w:tc>
                <w:tcPr>
                  <w:tcW w:type="dxa" w:w="3480"/>
                </w:tcPr>
                <w:p>
                  <w:pPr>
                    <w:bidi w:val="0"/>
                  </w:pPr>
                  <w:r/>
                  <w:r>
                    <w:rPr>
                      <w:sz w:val="20"/>
                    </w:rPr>
                    <w:t>An operator scans a badge at the gate while arrivals peak.</w:t>
                  </w:r>
                </w:p>
              </w:tc>
              <w:tc>
                <w:tcPr>
                  <w:tcW w:type="dxa" w:w="3480"/>
                </w:tcPr>
                <w:p>
                  <w:pPr>
                    <w:bidi w:val="0"/>
                  </w:pPr>
                  <w:r/>
                  <w:r>
                    <w:rPr>
                      <w:sz w:val="20"/>
                    </w:rPr>
                    <w:t>250 ms at the 95th percentile for a gate scan, at 30,000 concurrent attendees</w:t>
                  </w:r>
                </w:p>
              </w:tc>
            </w:tr>
            <w:tr>
              <w:tc>
                <w:tcPr>
                  <w:tcW w:type="dxa" w:w="3480"/>
                </w:tcPr>
                <w:p>
                  <w:pPr>
                    <w:bidi w:val="0"/>
                  </w:pPr>
                  <w:r/>
                  <w:r>
                    <w:rPr>
                      <w:sz w:val="20"/>
                    </w:rPr>
                    <w:t>Confidentiality of personal data</w:t>
                  </w:r>
                </w:p>
              </w:tc>
              <w:tc>
                <w:tcPr>
                  <w:tcW w:type="dxa" w:w="3480"/>
                </w:tcPr>
                <w:p>
                  <w:pPr>
                    <w:bidi w:val="0"/>
                  </w:pPr>
                  <w:r/>
                  <w:r>
                    <w:rPr>
                      <w:sz w:val="20"/>
                    </w:rPr>
                    <w:t>A reader reaches database rows or stored files without holding the encryption keys.</w:t>
                  </w:r>
                </w:p>
              </w:tc>
              <w:tc>
                <w:tcPr>
                  <w:tcW w:type="dxa" w:w="3480"/>
                </w:tcPr>
                <w:p>
                  <w:pPr>
                    <w:bidi w:val="0"/>
                  </w:pPr>
                  <w:r/>
                  <w:r>
                    <w:rPr>
                      <w:sz w:val="20"/>
                    </w:rPr>
                    <w:t>Identity numbers, mobile numbers and identity-document images stay unreadable; controls in section 2.9</w:t>
                  </w:r>
                </w:p>
              </w:tc>
            </w:tr>
            <w:tr>
              <w:tc>
                <w:tcPr>
                  <w:tcW w:type="dxa" w:w="3480"/>
                </w:tcPr>
                <w:p>
                  <w:pPr>
                    <w:bidi w:val="0"/>
                  </w:pPr>
                  <w:r/>
                  <w:r>
                    <w:rPr>
                      <w:sz w:val="20"/>
                    </w:rPr>
                    <w:t>Feature freeze before launch</w:t>
                  </w:r>
                </w:p>
              </w:tc>
              <w:tc>
                <w:tcPr>
                  <w:tcW w:type="dxa" w:w="3480"/>
                </w:tcPr>
                <w:p>
                  <w:pPr>
                    <w:bidi w:val="0"/>
                  </w:pPr>
                  <w:r/>
                  <w:r>
                    <w:rPr>
                      <w:sz w:val="20"/>
                    </w:rPr>
                    <w:t>The forum opens on its fixed dates.</w:t>
                  </w:r>
                </w:p>
              </w:tc>
              <w:tc>
                <w:tcPr>
                  <w:tcW w:type="dxa" w:w="3480"/>
                </w:tcPr>
                <w:p>
                  <w:pPr>
                    <w:bidi w:val="0"/>
                  </w:pPr>
                  <w:r/>
                  <w:r>
                    <w:rPr>
                      <w:sz w:val="20"/>
                    </w:rPr>
                    <w:t>Feature-complete and frozen before opening day, with defect corrections only after that point</w:t>
                  </w:r>
                </w:p>
              </w:tc>
            </w:tr>
          </w:tbl>
          <w:p/>
          <w:p>
            <w:pPr/>
          </w:p>
          <w:p>
            <w:pPr>
              <w:jc w:val="left"/>
              <w:bidi w:val="0"/>
            </w:pPr>
            <w:r>
              <w:rPr>
                <w:b/>
                <w:sz w:val="20"/>
              </w:rPr>
              <w:t>Assumptions and constraints</w:t>
            </w:r>
          </w:p>
          <w:p>
            <w:pPr>
              <w:jc w:val="both"/>
              <w:bidi w:val="0"/>
            </w:pPr>
            <w:r>
              <w:rPr>
                <w:b w:val="0"/>
                <w:sz w:val="20"/>
              </w:rPr>
              <w:t>1. The forum runs on fixed dates, so the delivery date cannot move.</w:t>
            </w:r>
          </w:p>
          <w:p>
            <w:pPr>
              <w:jc w:val="both"/>
              <w:bidi w:val="0"/>
            </w:pPr>
            <w:r>
              <w:rPr>
                <w:b w:val="0"/>
                <w:sz w:val="20"/>
              </w:rPr>
              <w:t>2. An outage inside the event window cannot be rescheduled.</w:t>
            </w:r>
          </w:p>
          <w:p>
            <w:pPr>
              <w:jc w:val="both"/>
              <w:bidi w:val="0"/>
            </w:pPr>
            <w:r>
              <w:rPr>
                <w:b w:val="0"/>
                <w:sz w:val="20"/>
              </w:rPr>
              <w:t>3. Hosting stays on premises, with no public-cloud dependency.</w:t>
            </w:r>
          </w:p>
          <w:p>
            <w:pPr>
              <w:jc w:val="both"/>
              <w:bidi w:val="0"/>
            </w:pPr>
            <w:r>
              <w:rPr>
                <w:b w:val="0"/>
                <w:sz w:val="20"/>
              </w:rPr>
              <w:t>4. The source code passes to the customer at handover, as the contract requires.</w:t>
            </w:r>
          </w:p>
        </w:tc>
      </w:tr>
      <w:tr w:rsidR="00A11C84" w:rsidRPr="0041599B" w14:paraId="4979A72B" w14:textId="77777777" w:rsidTr="00265616">
        <w:trPr>
          <w:trHeight w:val="336"/>
        </w:trPr>
        <w:tc>
          <w:tcPr>
            <w:tcW w:w="5000" w:type="pct"/>
            <w:shd w:val="clear" w:color="auto" w:fill="29504D"/>
            <w:vAlign w:val="center"/>
          </w:tcPr>
          <w:p w14:paraId="1C216DB0" w14:textId="77777777" w:rsidR="00A11C84" w:rsidRDefault="00A93EEA" w:rsidP="00E80022">
            <w:pPr>
              <w:bidi w:val="0"/>
            </w:pPr>
            <w:r>
              <w:lastRenderedPageBreak/>
              <w:t xml:space="preserve">1.3 </w:t>
            </w:r>
            <w:r w:rsidR="00A11C84">
              <w:t>System Context</w:t>
            </w:r>
          </w:p>
        </w:tc>
      </w:tr>
      <w:tr w:rsidR="00265616" w:rsidRPr="0041599B" w14:paraId="36C3B413" w14:textId="77777777" w:rsidTr="004F0070">
        <w:trPr>
          <w:trHeight w:val="3758"/>
        </w:trPr>
        <w:tc>
          <w:tcPr>
            <w:tcW w:w="5000" w:type="pct"/>
            <w:shd w:val="clear" w:color="auto" w:fill="FFFFFF" w:themeFill="background1"/>
          </w:tcPr>
          <w:p>
            <w:pPr>
              <w:jc w:val="both"/>
              <w:bidi w:val="0"/>
            </w:pPr>
            <w:r>
              <w:rPr>
                <w:b w:val="0"/>
                <w:sz w:val="20"/>
              </w:rPr>
              <w:t>At this level the platform is a black box: named users on one side, named systems on the other.</w:t>
            </w:r>
          </w:p>
          <w:p>
            <w:pPr>
              <w:jc w:val="both"/>
              <w:bidi w:val="0"/>
            </w:pPr>
            <w:r>
              <w:rPr>
                <w:b w:val="0"/>
                <w:sz w:val="20"/>
              </w:rPr>
              <w:t>Four client applications sit on that boundary: the Flutter mobile app for Android and iOS, the public website, the Control Panel, and the on-site SIMF.BadgeDesk. The mobile app reaches the platform through SIMF.MobileEdge rather than the backend API.</w:t>
            </w:r>
          </w:p>
          <w:p>
            <w:pPr>
              <w:jc w:val="both"/>
              <w:bidi w:val="0"/>
            </w:pPr>
            <w:r>
              <w:rPr>
                <w:b w:val="0"/>
                <w:sz w:val="20"/>
              </w:rPr>
              <w:t>Nine stakeholder groups hold a distinct interface and a distinct concern.</w:t>
            </w:r>
          </w:p>
          <w:tbl>
            <w:tblPr>
              <w:tblStyle w:val="TableGrid"/>
              <w:tblLayout w:type="autofit"/>
              <w:tblLook w:firstColumn="1" w:firstRow="1" w:lastColumn="0" w:lastRow="0" w:noHBand="0" w:noVBand="1" w:val="04A0"/>
              <w:tblW w:w="5000" w:type="pct"/>
            </w:tblPr>
            <w:tblGrid>
              <w:gridCol w:w="3480"/>
              <w:gridCol w:w="3480"/>
              <w:gridCol w:w="3480"/>
            </w:tblGrid>
            <w:tr>
              <w:tc>
                <w:tcPr>
                  <w:tcW w:type="dxa" w:w="480"/>
                </w:tcPr>
                <w:p>
                  <w:pPr>
                    <w:bidi w:val="0"/>
                  </w:pPr>
                  <w:r/>
                  <w:r>
                    <w:rPr>
                      <w:b/>
                      <w:sz w:val="20"/>
                    </w:rPr>
                    <w:t>Stakeholder</w:t>
                  </w:r>
                </w:p>
              </w:tc>
              <w:tc>
                <w:tcPr>
                  <w:tcW w:type="dxa" w:w="480"/>
                </w:tcPr>
                <w:p>
                  <w:pPr>
                    <w:bidi w:val="0"/>
                  </w:pPr>
                  <w:r/>
                  <w:r>
                    <w:rPr>
                      <w:b/>
                      <w:sz w:val="20"/>
                    </w:rPr>
                    <w:t>Interface</w:t>
                  </w:r>
                </w:p>
              </w:tc>
              <w:tc>
                <w:tcPr>
                  <w:tcW w:type="dxa" w:w="480"/>
                </w:tcPr>
                <w:p>
                  <w:pPr>
                    <w:bidi w:val="0"/>
                  </w:pPr>
                  <w:r/>
                  <w:r>
                    <w:rPr>
                      <w:b/>
                      <w:sz w:val="20"/>
                    </w:rPr>
                    <w:t>Primary concern</w:t>
                  </w:r>
                </w:p>
              </w:tc>
            </w:tr>
            <w:tr>
              <w:tc>
                <w:tcPr>
                  <w:tcW w:type="dxa" w:w="3480"/>
                </w:tcPr>
                <w:p>
                  <w:pPr>
                    <w:bidi w:val="0"/>
                  </w:pPr>
                  <w:r/>
                  <w:r>
                    <w:rPr>
                      <w:sz w:val="20"/>
                    </w:rPr>
                    <w:t>Attendees and VIP delegates</w:t>
                  </w:r>
                </w:p>
              </w:tc>
              <w:tc>
                <w:tcPr>
                  <w:tcW w:type="dxa" w:w="3480"/>
                </w:tcPr>
                <w:p>
                  <w:pPr>
                    <w:bidi w:val="0"/>
                  </w:pPr>
                  <w:r/>
                  <w:r>
                    <w:rPr>
                      <w:sz w:val="20"/>
                    </w:rPr>
                    <w:t>Mobile app</w:t>
                  </w:r>
                </w:p>
              </w:tc>
              <w:tc>
                <w:tcPr>
                  <w:tcW w:type="dxa" w:w="3480"/>
                </w:tcPr>
                <w:p>
                  <w:pPr>
                    <w:bidi w:val="0"/>
                  </w:pPr>
                  <w:r/>
                  <w:r>
                    <w:rPr>
                      <w:sz w:val="20"/>
                    </w:rPr>
                    <w:t>Purpose: registration, badge, seats, live participation</w:t>
                  </w:r>
                </w:p>
              </w:tc>
            </w:tr>
            <w:tr>
              <w:tc>
                <w:tcPr>
                  <w:tcW w:type="dxa" w:w="3480"/>
                </w:tcPr>
                <w:p>
                  <w:pPr>
                    <w:bidi w:val="0"/>
                  </w:pPr>
                  <w:r/>
                  <w:r>
                    <w:rPr>
                      <w:sz w:val="20"/>
                    </w:rPr>
                    <w:t>Anonymous public</w:t>
                  </w:r>
                </w:p>
              </w:tc>
              <w:tc>
                <w:tcPr>
                  <w:tcW w:type="dxa" w:w="3480"/>
                </w:tcPr>
                <w:p>
                  <w:pPr>
                    <w:bidi w:val="0"/>
                  </w:pPr>
                  <w:r/>
                  <w:r>
                    <w:rPr>
                      <w:sz w:val="20"/>
                    </w:rPr>
                    <w:t>Public website</w:t>
                  </w:r>
                </w:p>
              </w:tc>
              <w:tc>
                <w:tcPr>
                  <w:tcW w:type="dxa" w:w="3480"/>
                </w:tcPr>
                <w:p>
                  <w:pPr>
                    <w:bidi w:val="0"/>
                  </w:pPr>
                  <w:r/>
                  <w:r>
                    <w:rPr>
                      <w:sz w:val="20"/>
                    </w:rPr>
                    <w:t>Purpose: programme and visit information, no account</w:t>
                  </w:r>
                </w:p>
              </w:tc>
            </w:tr>
            <w:tr>
              <w:tc>
                <w:tcPr>
                  <w:tcW w:type="dxa" w:w="3480"/>
                </w:tcPr>
                <w:p>
                  <w:pPr>
                    <w:bidi w:val="0"/>
                  </w:pPr>
                  <w:r/>
                  <w:r>
                    <w:rPr>
                      <w:sz w:val="20"/>
                    </w:rPr>
                    <w:t>Administrators and organisers</w:t>
                  </w:r>
                </w:p>
              </w:tc>
              <w:tc>
                <w:tcPr>
                  <w:tcW w:type="dxa" w:w="3480"/>
                </w:tcPr>
                <w:p>
                  <w:pPr>
                    <w:bidi w:val="0"/>
                  </w:pPr>
                  <w:r/>
                  <w:r>
                    <w:rPr>
                      <w:sz w:val="20"/>
                    </w:rPr>
                    <w:t>Control Panel</w:t>
                  </w:r>
                </w:p>
              </w:tc>
              <w:tc>
                <w:tcPr>
                  <w:tcW w:type="dxa" w:w="3480"/>
                </w:tcPr>
                <w:p>
                  <w:pPr>
                    <w:bidi w:val="0"/>
                  </w:pPr>
                  <w:r/>
                  <w:r>
                    <w:rPr>
                      <w:sz w:val="20"/>
                    </w:rPr>
                    <w:t>Suitability: run the event without a code release</w:t>
                  </w:r>
                </w:p>
              </w:tc>
            </w:tr>
            <w:tr>
              <w:tc>
                <w:tcPr>
                  <w:tcW w:type="dxa" w:w="3480"/>
                </w:tcPr>
                <w:p>
                  <w:pPr>
                    <w:bidi w:val="0"/>
                  </w:pPr>
                  <w:r/>
                  <w:r>
                    <w:rPr>
                      <w:sz w:val="20"/>
                    </w:rPr>
                    <w:t>Scientific Committee</w:t>
                  </w:r>
                </w:p>
              </w:tc>
              <w:tc>
                <w:tcPr>
                  <w:tcW w:type="dxa" w:w="3480"/>
                </w:tcPr>
                <w:p>
                  <w:pPr>
                    <w:bidi w:val="0"/>
                  </w:pPr>
                  <w:r/>
                  <w:r>
                    <w:rPr>
                      <w:sz w:val="20"/>
                    </w:rPr>
                    <w:t>Control Panel</w:t>
                  </w:r>
                </w:p>
              </w:tc>
              <w:tc>
                <w:tcPr>
                  <w:tcW w:type="dxa" w:w="3480"/>
                </w:tcPr>
                <w:p>
                  <w:pPr>
                    <w:bidi w:val="0"/>
                  </w:pPr>
                  <w:r/>
                  <w:r>
                    <w:rPr>
                      <w:sz w:val="20"/>
                    </w:rPr>
                    <w:t>Suitability: the published forum programme</w:t>
                  </w:r>
                </w:p>
              </w:tc>
            </w:tr>
            <w:tr>
              <w:tc>
                <w:tcPr>
                  <w:tcW w:type="dxa" w:w="3480"/>
                </w:tcPr>
                <w:p>
                  <w:pPr>
                    <w:bidi w:val="0"/>
                  </w:pPr>
                  <w:r/>
                  <w:r>
                    <w:rPr>
                      <w:sz w:val="20"/>
                    </w:rPr>
                    <w:t>Gate operators and session moderators</w:t>
                  </w:r>
                </w:p>
              </w:tc>
              <w:tc>
                <w:tcPr>
                  <w:tcW w:type="dxa" w:w="3480"/>
                </w:tcPr>
                <w:p>
                  <w:pPr>
                    <w:bidi w:val="0"/>
                  </w:pPr>
                  <w:r/>
                  <w:r>
                    <w:rPr>
                      <w:sz w:val="20"/>
                    </w:rPr>
                    <w:t>Mobile app and Control Panel</w:t>
                  </w:r>
                </w:p>
              </w:tc>
              <w:tc>
                <w:tcPr>
                  <w:tcW w:type="dxa" w:w="3480"/>
                </w:tcPr>
                <w:p>
                  <w:pPr>
                    <w:bidi w:val="0"/>
                  </w:pPr>
                  <w:r/>
                  <w:r>
                    <w:rPr>
                      <w:sz w:val="20"/>
                    </w:rPr>
                    <w:t>Feasibility: scan throughput, moderated questions</w:t>
                  </w:r>
                </w:p>
              </w:tc>
            </w:tr>
            <w:tr>
              <w:tc>
                <w:tcPr>
                  <w:tcW w:type="dxa" w:w="3480"/>
                </w:tcPr>
                <w:p>
                  <w:pPr>
                    <w:bidi w:val="0"/>
                  </w:pPr>
                  <w:r/>
                  <w:r>
                    <w:rPr>
                      <w:sz w:val="20"/>
                    </w:rPr>
                    <w:t>Badge desk staff</w:t>
                  </w:r>
                </w:p>
              </w:tc>
              <w:tc>
                <w:tcPr>
                  <w:tcW w:type="dxa" w:w="3480"/>
                </w:tcPr>
                <w:p>
                  <w:pPr>
                    <w:bidi w:val="0"/>
                  </w:pPr>
                  <w:r/>
                  <w:r>
                    <w:rPr>
                      <w:sz w:val="20"/>
                    </w:rPr>
                    <w:t>SIMF.BadgeDesk</w:t>
                  </w:r>
                </w:p>
              </w:tc>
              <w:tc>
                <w:tcPr>
                  <w:tcW w:type="dxa" w:w="3480"/>
                </w:tcPr>
                <w:p>
                  <w:pPr>
                    <w:bidi w:val="0"/>
                  </w:pPr>
                  <w:r/>
                  <w:r>
                    <w:rPr>
                      <w:sz w:val="20"/>
                    </w:rPr>
                    <w:t>Feasibility: badges issued at the venue</w:t>
                  </w:r>
                </w:p>
              </w:tc>
            </w:tr>
            <w:tr>
              <w:tc>
                <w:tcPr>
                  <w:tcW w:type="dxa" w:w="3480"/>
                </w:tcPr>
                <w:p>
                  <w:pPr>
                    <w:bidi w:val="0"/>
                  </w:pPr>
                  <w:r/>
                  <w:r>
                    <w:rPr>
                      <w:sz w:val="20"/>
                    </w:rPr>
                    <w:t>RSNF, the Royal Saudi Naval Forces</w:t>
                  </w:r>
                </w:p>
              </w:tc>
              <w:tc>
                <w:tcPr>
                  <w:tcW w:type="dxa" w:w="3480"/>
                </w:tcPr>
                <w:p>
                  <w:pPr>
                    <w:bidi w:val="0"/>
                  </w:pPr>
                  <w:r/>
                  <w:r>
                    <w:rPr>
                      <w:sz w:val="20"/>
                    </w:rPr>
                    <w:t>Owner; receives platform and source code</w:t>
                  </w:r>
                </w:p>
              </w:tc>
              <w:tc>
                <w:tcPr>
                  <w:tcW w:type="dxa" w:w="3480"/>
                </w:tcPr>
                <w:p>
                  <w:pPr>
                    <w:bidi w:val="0"/>
                  </w:pPr>
                  <w:r/>
                  <w:r>
                    <w:rPr>
                      <w:sz w:val="20"/>
                    </w:rPr>
                    <w:t>Purpose and lifecycle risk: freeze, handover</w:t>
                  </w:r>
                </w:p>
              </w:tc>
            </w:tr>
            <w:tr>
              <w:tc>
                <w:tcPr>
                  <w:tcW w:type="dxa" w:w="3480"/>
                </w:tcPr>
                <w:p>
                  <w:pPr>
                    <w:bidi w:val="0"/>
                  </w:pPr>
                  <w:r/>
                  <w:r>
                    <w:rPr>
                      <w:sz w:val="20"/>
                    </w:rPr>
                    <w:t>SITE, the hosting provider</w:t>
                  </w:r>
                </w:p>
              </w:tc>
              <w:tc>
                <w:tcPr>
                  <w:tcW w:type="dxa" w:w="3480"/>
                </w:tcPr>
                <w:p>
                  <w:pPr>
                    <w:bidi w:val="0"/>
                  </w:pPr>
                  <w:r/>
                  <w:r>
                    <w:rPr>
                      <w:sz w:val="20"/>
                    </w:rPr>
                    <w:t>Private cloud, mail relay, inference server</w:t>
                  </w:r>
                </w:p>
              </w:tc>
              <w:tc>
                <w:tcPr>
                  <w:tcW w:type="dxa" w:w="3480"/>
                </w:tcPr>
                <w:p>
                  <w:pPr>
                    <w:bidi w:val="0"/>
                  </w:pPr>
                  <w:r/>
                  <w:r>
                    <w:rPr>
                      <w:sz w:val="20"/>
                    </w:rPr>
                    <w:t>Feasibility within supplied capacity</w:t>
                  </w:r>
                </w:p>
              </w:tc>
            </w:tr>
            <w:tr>
              <w:tc>
                <w:tcPr>
                  <w:tcW w:type="dxa" w:w="3480"/>
                </w:tcPr>
                <w:p>
                  <w:pPr>
                    <w:bidi w:val="0"/>
                  </w:pPr>
                  <w:r/>
                  <w:r>
                    <w:rPr>
                      <w:sz w:val="20"/>
                    </w:rPr>
                    <w:t>Smart Time, operator after handover</w:t>
                  </w:r>
                </w:p>
              </w:tc>
              <w:tc>
                <w:tcPr>
                  <w:tcW w:type="dxa" w:w="3480"/>
                </w:tcPr>
                <w:p>
                  <w:pPr>
                    <w:bidi w:val="0"/>
                  </w:pPr>
                  <w:r/>
                  <w:r>
                    <w:rPr>
                      <w:sz w:val="20"/>
                    </w:rPr>
                    <w:t>Whole platform</w:t>
                  </w:r>
                </w:p>
              </w:tc>
              <w:tc>
                <w:tcPr>
                  <w:tcW w:type="dxa" w:w="3480"/>
                </w:tcPr>
                <w:p>
                  <w:pPr>
                    <w:bidi w:val="0"/>
                  </w:pPr>
                  <w:r/>
                  <w:r>
                    <w:rPr>
                      <w:sz w:val="20"/>
                    </w:rPr>
                    <w:t>Maintainability and evolvability across editions</w:t>
                  </w:r>
                </w:p>
              </w:tc>
            </w:tr>
          </w:tbl>
          <w:p/>
          <w:p>
            <w:pPr/>
          </w:p>
          <w:p>
            <w:pPr>
              <w:jc w:val="both"/>
              <w:bidi w:val="0"/>
            </w:pPr>
            <w:r>
              <w:rPr>
                <w:b w:val="0"/>
                <w:sz w:val="20"/>
              </w:rPr>
              <w:t>One external system and six internal systems complete the context.</w:t>
            </w:r>
          </w:p>
          <w:tbl>
            <w:tblPr>
              <w:tblStyle w:val="TableGrid"/>
              <w:tblLayout w:type="autofit"/>
              <w:tblLook w:firstColumn="1" w:firstRow="1" w:lastColumn="0" w:lastRow="0" w:noHBand="0" w:noVBand="1" w:val="04A0"/>
              <w:tblW w:w="5000" w:type="pct"/>
            </w:tblPr>
            <w:tblGrid>
              <w:gridCol w:w="2610"/>
              <w:gridCol w:w="2610"/>
              <w:gridCol w:w="2610"/>
              <w:gridCol w:w="2610"/>
            </w:tblGrid>
            <w:tr>
              <w:tc>
                <w:tcPr>
                  <w:tcW w:type="dxa" w:w="360"/>
                </w:tcPr>
                <w:p>
                  <w:pPr>
                    <w:bidi w:val="0"/>
                  </w:pPr>
                  <w:r/>
                  <w:r>
                    <w:rPr>
                      <w:b/>
                      <w:sz w:val="20"/>
                    </w:rPr>
                    <w:t>System</w:t>
                  </w:r>
                </w:p>
              </w:tc>
              <w:tc>
                <w:tcPr>
                  <w:tcW w:type="dxa" w:w="360"/>
                </w:tcPr>
                <w:p>
                  <w:pPr>
                    <w:bidi w:val="0"/>
                  </w:pPr>
                  <w:r/>
                  <w:r>
                    <w:rPr>
                      <w:b/>
                      <w:sz w:val="20"/>
                    </w:rPr>
                    <w:t>Boundary</w:t>
                  </w:r>
                </w:p>
              </w:tc>
              <w:tc>
                <w:tcPr>
                  <w:tcW w:type="dxa" w:w="360"/>
                </w:tcPr>
                <w:p>
                  <w:pPr>
                    <w:bidi w:val="0"/>
                  </w:pPr>
                  <w:r/>
                  <w:r>
                    <w:rPr>
                      <w:b/>
                      <w:sz w:val="20"/>
                    </w:rPr>
                    <w:t>Direction</w:t>
                  </w:r>
                </w:p>
              </w:tc>
              <w:tc>
                <w:tcPr>
                  <w:tcW w:type="dxa" w:w="360"/>
                </w:tcPr>
                <w:p>
                  <w:pPr>
                    <w:bidi w:val="0"/>
                  </w:pPr>
                  <w:r/>
                  <w:r>
                    <w:rPr>
                      <w:b/>
                      <w:sz w:val="20"/>
                    </w:rPr>
                    <w:t>Channel</w:t>
                  </w:r>
                </w:p>
              </w:tc>
            </w:tr>
            <w:tr>
              <w:tc>
                <w:tcPr>
                  <w:tcW w:type="dxa" w:w="2610"/>
                </w:tcPr>
                <w:p>
                  <w:pPr>
                    <w:bidi w:val="0"/>
                  </w:pPr>
                  <w:r/>
                  <w:r>
                    <w:rPr>
                      <w:sz w:val="20"/>
                    </w:rPr>
                    <w:t>YouTube</w:t>
                  </w:r>
                </w:p>
              </w:tc>
              <w:tc>
                <w:tcPr>
                  <w:tcW w:type="dxa" w:w="2610"/>
                </w:tcPr>
                <w:p>
                  <w:pPr>
                    <w:bidi w:val="0"/>
                  </w:pPr>
                  <w:r/>
                  <w:r>
                    <w:rPr>
                      <w:sz w:val="20"/>
                    </w:rPr>
                    <w:t>External</w:t>
                  </w:r>
                </w:p>
              </w:tc>
              <w:tc>
                <w:tcPr>
                  <w:tcW w:type="dxa" w:w="2610"/>
                </w:tcPr>
                <w:p>
                  <w:pPr>
                    <w:bidi w:val="0"/>
                  </w:pPr>
                  <w:r/>
                  <w:r>
                    <w:rPr>
                      <w:sz w:val="20"/>
                    </w:rPr>
                    <w:t>Outbound only</w:t>
                  </w:r>
                </w:p>
              </w:tc>
              <w:tc>
                <w:tcPr>
                  <w:tcW w:type="dxa" w:w="2610"/>
                </w:tcPr>
                <w:p>
                  <w:pPr>
                    <w:bidi w:val="0"/>
                  </w:pPr>
                  <w:r/>
                  <w:r>
                    <w:rPr>
                      <w:sz w:val="20"/>
                    </w:rPr>
                    <w:t>HTTPS caption fetch; playback on the attendee device</w:t>
                  </w:r>
                </w:p>
              </w:tc>
            </w:tr>
            <w:tr>
              <w:tc>
                <w:tcPr>
                  <w:tcW w:type="dxa" w:w="2610"/>
                </w:tcPr>
                <w:p>
                  <w:pPr>
                    <w:bidi w:val="0"/>
                  </w:pPr>
                  <w:r/>
                  <w:r>
                    <w:rPr>
                      <w:sz w:val="20"/>
                    </w:rPr>
                    <w:t>SMTP mail relay</w:t>
                  </w:r>
                </w:p>
              </w:tc>
              <w:tc>
                <w:tcPr>
                  <w:tcW w:type="dxa" w:w="2610"/>
                </w:tcPr>
                <w:p>
                  <w:pPr>
                    <w:bidi w:val="0"/>
                  </w:pPr>
                  <w:r/>
                  <w:r>
                    <w:rPr>
                      <w:sz w:val="20"/>
                    </w:rPr>
                    <w:t>Internal, on site</w:t>
                  </w:r>
                </w:p>
              </w:tc>
              <w:tc>
                <w:tcPr>
                  <w:tcW w:type="dxa" w:w="2610"/>
                </w:tcPr>
                <w:p>
                  <w:pPr>
                    <w:bidi w:val="0"/>
                  </w:pPr>
                  <w:r/>
                  <w:r>
                    <w:rPr>
                      <w:sz w:val="20"/>
                    </w:rPr>
                    <w:t>Outbound from the API</w:t>
                  </w:r>
                </w:p>
              </w:tc>
              <w:tc>
                <w:tcPr>
                  <w:tcW w:type="dxa" w:w="2610"/>
                </w:tcPr>
                <w:p>
                  <w:pPr>
                    <w:bidi w:val="0"/>
                  </w:pPr>
                  <w:r/>
                  <w:r>
                    <w:rPr>
                      <w:sz w:val="20"/>
                    </w:rPr>
                    <w:t>SMTP, queued and asynchronous</w:t>
                  </w:r>
                </w:p>
              </w:tc>
            </w:tr>
            <w:tr>
              <w:tc>
                <w:tcPr>
                  <w:tcW w:type="dxa" w:w="2610"/>
                </w:tcPr>
                <w:p>
                  <w:pPr>
                    <w:bidi w:val="0"/>
                  </w:pPr>
                  <w:r/>
                  <w:r>
                    <w:rPr>
                      <w:sz w:val="20"/>
                    </w:rPr>
                    <w:t>MinIO object storage</w:t>
                  </w:r>
                </w:p>
              </w:tc>
              <w:tc>
                <w:tcPr>
                  <w:tcW w:type="dxa" w:w="2610"/>
                </w:tcPr>
                <w:p>
                  <w:pPr>
                    <w:bidi w:val="0"/>
                  </w:pPr>
                  <w:r/>
                  <w:r>
                    <w:rPr>
                      <w:sz w:val="20"/>
                    </w:rPr>
                    <w:t>Internal, on site</w:t>
                  </w:r>
                </w:p>
              </w:tc>
              <w:tc>
                <w:tcPr>
                  <w:tcW w:type="dxa" w:w="2610"/>
                </w:tcPr>
                <w:p>
                  <w:pPr>
                    <w:bidi w:val="0"/>
                  </w:pPr>
                  <w:r/>
                  <w:r>
                    <w:rPr>
                      <w:sz w:val="20"/>
                    </w:rPr>
                    <w:t>From the API only</w:t>
                  </w:r>
                </w:p>
              </w:tc>
              <w:tc>
                <w:tcPr>
                  <w:tcW w:type="dxa" w:w="2610"/>
                </w:tcPr>
                <w:p>
                  <w:pPr>
                    <w:bidi w:val="0"/>
                  </w:pPr>
                  <w:r/>
                  <w:r>
                    <w:rPr>
                      <w:sz w:val="20"/>
                    </w:rPr>
                    <w:t>S3 API</w:t>
                  </w:r>
                </w:p>
              </w:tc>
            </w:tr>
            <w:tr>
              <w:tc>
                <w:tcPr>
                  <w:tcW w:type="dxa" w:w="2610"/>
                </w:tcPr>
                <w:p>
                  <w:pPr>
                    <w:bidi w:val="0"/>
                  </w:pPr>
                  <w:r/>
                  <w:r>
                    <w:rPr>
                      <w:sz w:val="20"/>
                    </w:rPr>
                    <w:t>GPT OSS 120B inference endpoint</w:t>
                  </w:r>
                </w:p>
              </w:tc>
              <w:tc>
                <w:tcPr>
                  <w:tcW w:type="dxa" w:w="2610"/>
                </w:tcPr>
                <w:p>
                  <w:pPr>
                    <w:bidi w:val="0"/>
                  </w:pPr>
                  <w:r/>
                  <w:r>
                    <w:rPr>
                      <w:sz w:val="20"/>
                    </w:rPr>
                    <w:t>Internal, on site</w:t>
                  </w:r>
                </w:p>
              </w:tc>
              <w:tc>
                <w:tcPr>
                  <w:tcW w:type="dxa" w:w="2610"/>
                </w:tcPr>
                <w:p>
                  <w:pPr>
                    <w:bidi w:val="0"/>
                  </w:pPr>
                  <w:r/>
                  <w:r>
                    <w:rPr>
                      <w:sz w:val="20"/>
                    </w:rPr>
                    <w:t>From the API only</w:t>
                  </w:r>
                </w:p>
              </w:tc>
              <w:tc>
                <w:tcPr>
                  <w:tcW w:type="dxa" w:w="2610"/>
                </w:tcPr>
                <w:p>
                  <w:pPr>
                    <w:bidi w:val="0"/>
                  </w:pPr>
                  <w:r/>
                  <w:r>
                    <w:rPr>
                      <w:sz w:val="20"/>
                    </w:rPr>
                    <w:t>OpenAI-compatible HTTPS, traffic stays on site</w:t>
                  </w:r>
                </w:p>
              </w:tc>
            </w:tr>
            <w:tr>
              <w:tc>
                <w:tcPr>
                  <w:tcW w:type="dxa" w:w="2610"/>
                </w:tcPr>
                <w:p>
                  <w:pPr>
                    <w:bidi w:val="0"/>
                  </w:pPr>
                  <w:r/>
                  <w:r>
                    <w:rPr>
                      <w:sz w:val="20"/>
                    </w:rPr>
                    <w:t>SQL Server 2022</w:t>
                  </w:r>
                </w:p>
              </w:tc>
              <w:tc>
                <w:tcPr>
                  <w:tcW w:type="dxa" w:w="2610"/>
                </w:tcPr>
                <w:p>
                  <w:pPr>
                    <w:bidi w:val="0"/>
                  </w:pPr>
                  <w:r/>
                  <w:r>
                    <w:rPr>
                      <w:sz w:val="20"/>
                    </w:rPr>
                    <w:t>Internal, on site</w:t>
                  </w:r>
                </w:p>
              </w:tc>
              <w:tc>
                <w:tcPr>
                  <w:tcW w:type="dxa" w:w="2610"/>
                </w:tcPr>
                <w:p>
                  <w:pPr>
                    <w:bidi w:val="0"/>
                  </w:pPr>
                  <w:r/>
                  <w:r>
                    <w:rPr>
                      <w:sz w:val="20"/>
                    </w:rPr>
                    <w:t>From the API only</w:t>
                  </w:r>
                </w:p>
              </w:tc>
              <w:tc>
                <w:tcPr>
                  <w:tcW w:type="dxa" w:w="2610"/>
                </w:tcPr>
                <w:p>
                  <w:pPr>
                    <w:bidi w:val="0"/>
                  </w:pPr>
                  <w:r/>
                  <w:r>
                    <w:rPr>
                      <w:sz w:val="20"/>
                    </w:rPr>
                    <w:t>TLS-protected SQL client connection</w:t>
                  </w:r>
                </w:p>
              </w:tc>
            </w:tr>
            <w:tr>
              <w:tc>
                <w:tcPr>
                  <w:tcW w:type="dxa" w:w="2610"/>
                </w:tcPr>
                <w:p>
                  <w:pPr>
                    <w:bidi w:val="0"/>
                  </w:pPr>
                  <w:r/>
                  <w:r>
                    <w:rPr>
                      <w:sz w:val="20"/>
                    </w:rPr>
                    <w:t>Ministry log collector</w:t>
                  </w:r>
                </w:p>
              </w:tc>
              <w:tc>
                <w:tcPr>
                  <w:tcW w:type="dxa" w:w="2610"/>
                </w:tcPr>
                <w:p>
                  <w:pPr>
                    <w:bidi w:val="0"/>
                  </w:pPr>
                  <w:r/>
                  <w:r>
                    <w:rPr>
                      <w:sz w:val="20"/>
                    </w:rPr>
                    <w:t>Internal</w:t>
                  </w:r>
                </w:p>
              </w:tc>
              <w:tc>
                <w:tcPr>
                  <w:tcW w:type="dxa" w:w="2610"/>
                </w:tcPr>
                <w:p>
                  <w:pPr>
                    <w:bidi w:val="0"/>
                  </w:pPr>
                  <w:r/>
                  <w:r>
                    <w:rPr>
                      <w:sz w:val="20"/>
                    </w:rPr>
                    <w:t>Outbound from each host</w:t>
                  </w:r>
                </w:p>
              </w:tc>
              <w:tc>
                <w:tcPr>
                  <w:tcW w:type="dxa" w:w="2610"/>
                </w:tcPr>
                <w:p>
                  <w:pPr>
                    <w:bidi w:val="0"/>
                  </w:pPr>
                  <w:r/>
                  <w:r>
                    <w:rPr>
                      <w:sz w:val="20"/>
                    </w:rPr>
                    <w:t>Syslog; the host ships the rolling files</w:t>
                  </w:r>
                </w:p>
              </w:tc>
            </w:tr>
            <w:tr>
              <w:tc>
                <w:tcPr>
                  <w:tcW w:type="dxa" w:w="2610"/>
                </w:tcPr>
                <w:p>
                  <w:pPr>
                    <w:bidi w:val="0"/>
                  </w:pPr>
                  <w:r/>
                  <w:r>
                    <w:rPr>
                      <w:sz w:val="20"/>
                    </w:rPr>
                    <w:t>Key management service, hardware security module</w:t>
                  </w:r>
                </w:p>
              </w:tc>
              <w:tc>
                <w:tcPr>
                  <w:tcW w:type="dxa" w:w="2610"/>
                </w:tcPr>
                <w:p>
                  <w:pPr>
                    <w:bidi w:val="0"/>
                  </w:pPr>
                  <w:r/>
                  <w:r>
                    <w:rPr>
                      <w:sz w:val="20"/>
                    </w:rPr>
                    <w:t>Internal</w:t>
                  </w:r>
                </w:p>
              </w:tc>
              <w:tc>
                <w:tcPr>
                  <w:tcW w:type="dxa" w:w="2610"/>
                </w:tcPr>
                <w:p>
                  <w:pPr>
                    <w:bidi w:val="0"/>
                  </w:pPr>
                  <w:r/>
                  <w:r>
                    <w:rPr>
                      <w:sz w:val="20"/>
                    </w:rPr>
                    <w:t>Read at node start-up</w:t>
                  </w:r>
                </w:p>
              </w:tc>
              <w:tc>
                <w:tcPr>
                  <w:tcW w:type="dxa" w:w="2610"/>
                </w:tcPr>
                <w:p>
                  <w:pPr>
                    <w:bidi w:val="0"/>
                  </w:pPr>
                  <w:r/>
                  <w:r>
                    <w:rPr>
                      <w:sz w:val="20"/>
                    </w:rPr>
                    <w:t>Product selection pending, section 2.4</w:t>
                  </w:r>
                </w:p>
              </w:tc>
            </w:tr>
          </w:tbl>
          <w:p/>
          <w:p>
            <w:pPr/>
          </w:p>
          <w:p>
            <w:pPr>
              <w:jc w:val="both"/>
              <w:bidi w:val="0"/>
            </w:pPr>
            <w:r>
              <w:rPr>
                <w:b w:val="0"/>
                <w:sz w:val="20"/>
              </w:rPr>
              <w:t>No external system initiates an inbound connection to the platform. Client applications on the internet connect inbound through the WAF and the load balancer. Section 2.8 states the protocol and port for each connection.</w:t>
            </w:r>
          </w:p>
        </w:tc>
      </w:tr>
      <w:tr w:rsidR="00265616" w:rsidRPr="0041599B" w14:paraId="0B59AE43" w14:textId="77777777" w:rsidTr="00D12CD4">
        <w:trPr>
          <w:trHeight w:val="488"/>
        </w:trPr>
        <w:tc>
          <w:tcPr>
            <w:tcW w:w="5000" w:type="pct"/>
            <w:tcBorders>
              <w:bottom w:val="single" w:sz="4" w:space="0" w:color="auto"/>
            </w:tcBorders>
            <w:shd w:val="clear" w:color="auto" w:fill="29504D"/>
            <w:vAlign w:val="center"/>
          </w:tcPr>
          <w:p w14:paraId="0CE01386" w14:textId="77777777" w:rsidR="00265616" w:rsidRPr="002323AE" w:rsidRDefault="00A93EEA" w:rsidP="00E80022">
            <w:pPr>
              <w:bidi w:val="0"/>
            </w:pPr>
            <w:r>
              <w:lastRenderedPageBreak/>
              <w:t xml:space="preserve">2.1 </w:t>
            </w:r>
            <w:r w:rsidR="00265616">
              <w:t>Architecture Overview</w:t>
            </w:r>
          </w:p>
        </w:tc>
      </w:tr>
      <w:tr w:rsidR="00265616" w:rsidRPr="0041599B" w14:paraId="429B2DF3" w14:textId="77777777" w:rsidTr="00D12CD4">
        <w:trPr>
          <w:trHeight w:val="3758"/>
        </w:trPr>
        <w:tc>
          <w:tcPr>
            <w:tcW w:w="5000" w:type="pct"/>
            <w:shd w:val="clear" w:color="auto" w:fill="FFFFFF" w:themeFill="background1"/>
          </w:tcPr>
          <w:p>
            <w:pPr>
              <w:jc w:val="left"/>
              <w:bidi w:val="0"/>
            </w:pPr>
            <w:r>
              <w:rPr>
                <w:b/>
                <w:sz w:val="20"/>
              </w:rPr>
              <w:t>Architectural style and tiers</w:t>
            </w:r>
          </w:p>
          <w:p>
            <w:pPr>
              <w:jc w:val="both"/>
              <w:bidi w:val="0"/>
            </w:pPr>
            <w:r>
              <w:rPr>
                <w:b w:val="0"/>
                <w:sz w:val="20"/>
              </w:rPr>
              <w:t>The platform is a modular monolith with domain-driven design (DDD) layering. One backend application, SIMF.Api, serves the mobile application, the public website and the Control Panel. Persistence is split across two databases, SIMF_Identity and SIMF_App. Hosting is on premises on Windows Server 2022 with SQL Server 2022. The deployment is three-tier, and in production each tier occupies its own servers. The presentation tier holds SIMF.Web, SIMF.ControlPanel and SIMF.MobileEdge. The application tier is four stateless SIMF.Api hosts. The data tier is SQL Server with the MinIO object store. No presentation project holds a database connection string, so a compromised presentation host gives no direct route to the data. Development and Test run four sites on one node: the API, the Control Panel, the website and the mobile edge.</w:t>
            </w:r>
          </w:p>
          <w:p>
            <w:pPr>
              <w:jc w:val="left"/>
              <w:bidi w:val="0"/>
            </w:pPr>
            <w:r>
              <w:rPr>
                <w:b/>
                <w:sz w:val="20"/>
              </w:rPr>
              <w:t>Security areas, zones and firewalls</w:t>
            </w:r>
          </w:p>
          <w:p>
            <w:pPr>
              <w:jc w:val="both"/>
              <w:bidi w:val="0"/>
            </w:pPr>
            <w:r>
              <w:rPr>
                <w:b w:val="0"/>
                <w:sz w:val="20"/>
              </w:rPr>
              <w:t>Two security areas, SSA and HSA, hold four network zones. Both full names are TBD, owner the site network team, closing condition sign-off of the deployment network design. SSA holds three zones: access, perimeter and presentation. It is the only security area with internet access. The access zone holds attendee devices and administrator browsers. The perimeter zone holds the combined web application firewall (WAF) and load balancer. The presentation zone holds the presentation tier alone. HSA is a single zone carrying internal traffic only, and it holds the application and data tiers. Nothing in HSA has a route to the internet.</w:t>
            </w:r>
          </w:p>
          <w:p>
            <w:pPr>
              <w:jc w:val="both"/>
              <w:bidi w:val="0"/>
            </w:pPr>
            <w:r>
              <w:rPr>
                <w:b w:val="0"/>
                <w:sz w:val="20"/>
              </w:rPr>
              <w:t>Two firewalls stand at zone boundaries. The perimeter firewall guards the internet-facing boundary of SSA. It admits inbound client traffic and permits one outbound destination, the caption fetch described in section 2.4. Its port-level rule set is TBD, owner the site network team, closing condition sign-off of the deployment network design. The internal firewall separates the presentation zone from HSA and is the only route in. It permits TCP 443, and only from the presentation zone. It is also the only barrier in front of the data tier.</w:t>
            </w:r>
          </w:p>
          <w:p>
            <w:pPr>
              <w:jc w:val="both"/>
              <w:bidi w:val="0"/>
            </w:pPr>
            <w:r>
              <w:rPr>
                <w:b w:val="0"/>
                <w:sz w:val="20"/>
              </w:rPr>
              <w:t>Figure 1 answers where each component runs and which boundary each connection crosses. It draws one box per hosting server and labels every arrow with its protocol and port, which section 2.8 lists in full.</w:t>
            </w:r>
          </w:p>
          <w:p>
            <w:pPr>
              <w:jc w:val="left"/>
              <w:bidi w:val="0"/>
            </w:pPr>
            <w:r>
              <w:rPr>
                <w:b/>
                <w:sz w:val="20"/>
              </w:rPr>
              <w:t>Capacity basis</w:t>
            </w:r>
          </w:p>
          <w:p>
            <w:pPr>
              <w:jc w:val="both"/>
              <w:bidi w:val="0"/>
            </w:pPr>
            <w:r>
              <w:rPr>
                <w:b w:val="0"/>
                <w:sz w:val="20"/>
              </w:rPr>
              <w:t>The forum is time-boxed, so sizing targets the event-day peak, not an average load. The design assumes roughly 50,000 registered users and a peak factor of 0.6, giving about 30,000 concurrent attendees, with headroom to about 40,000. At that load the 95th percentile targets are 400 ms for sign-in, 250 ms for a gate scan and 300 ms for a read. Those targets hold while processor use stays below 75 percent. Live session video reaches the attendee device from YouTube, and section 2.4 records that path, so the tiers are sized for REST traffic alone. Section 2.9 sets out scale-out and overload behaviour.</w:t>
            </w:r>
          </w:p>
          <w:p>
            <w:pPr>
              <w:jc w:val="both"/>
              <w:bidi w:val="0"/>
            </w:pPr>
            <w:r>
              <w:rPr>
                <w:b w:val="0"/>
                <w:sz w:val="20"/>
              </w:rPr>
              <w:t>The following table gives each tier with its zone, node count, specification and purpose.</w:t>
            </w:r>
          </w:p>
          <w:tbl>
            <w:tblPr>
              <w:tblStyle w:val="TableGrid"/>
              <w:tblLayout w:type="autofit"/>
              <w:tblLook w:firstColumn="1" w:firstRow="1" w:lastColumn="0" w:lastRow="0" w:noHBand="0" w:noVBand="1" w:val="04A0"/>
              <w:tblW w:w="5000" w:type="pct"/>
            </w:tblPr>
            <w:tblGrid>
              <w:gridCol w:w="2088"/>
              <w:gridCol w:w="2088"/>
              <w:gridCol w:w="2088"/>
              <w:gridCol w:w="2088"/>
              <w:gridCol w:w="2088"/>
            </w:tblGrid>
            <w:tr>
              <w:tc>
                <w:tcPr>
                  <w:tcW w:type="dxa" w:w="288"/>
                </w:tcPr>
                <w:p>
                  <w:pPr>
                    <w:bidi w:val="0"/>
                  </w:pPr>
                  <w:r/>
                  <w:r>
                    <w:rPr>
                      <w:b/>
                      <w:sz w:val="20"/>
                    </w:rPr>
                    <w:t>Tier</w:t>
                  </w:r>
                </w:p>
              </w:tc>
              <w:tc>
                <w:tcPr>
                  <w:tcW w:type="dxa" w:w="288"/>
                </w:tcPr>
                <w:p>
                  <w:pPr>
                    <w:bidi w:val="0"/>
                  </w:pPr>
                  <w:r/>
                  <w:r>
                    <w:rPr>
                      <w:b/>
                      <w:sz w:val="20"/>
                    </w:rPr>
                    <w:t>Zone</w:t>
                  </w:r>
                </w:p>
              </w:tc>
              <w:tc>
                <w:tcPr>
                  <w:tcW w:type="dxa" w:w="288"/>
                </w:tcPr>
                <w:p>
                  <w:pPr>
                    <w:bidi w:val="0"/>
                  </w:pPr>
                  <w:r/>
                  <w:r>
                    <w:rPr>
                      <w:b/>
                      <w:sz w:val="20"/>
                    </w:rPr>
                    <w:t>Instances</w:t>
                  </w:r>
                </w:p>
              </w:tc>
              <w:tc>
                <w:tcPr>
                  <w:tcW w:type="dxa" w:w="288"/>
                </w:tcPr>
                <w:p>
                  <w:pPr>
                    <w:bidi w:val="0"/>
                  </w:pPr>
                  <w:r/>
                  <w:r>
                    <w:rPr>
                      <w:b/>
                      <w:sz w:val="20"/>
                    </w:rPr>
                    <w:t>Specification per node</w:t>
                  </w:r>
                </w:p>
              </w:tc>
              <w:tc>
                <w:tcPr>
                  <w:tcW w:type="dxa" w:w="288"/>
                </w:tcPr>
                <w:p>
                  <w:pPr>
                    <w:bidi w:val="0"/>
                  </w:pPr>
                  <w:r/>
                  <w:r>
                    <w:rPr>
                      <w:b/>
                      <w:sz w:val="20"/>
                    </w:rPr>
                    <w:t>Purpose</w:t>
                  </w:r>
                </w:p>
              </w:tc>
            </w:tr>
            <w:tr>
              <w:tc>
                <w:tcPr>
                  <w:tcW w:type="dxa" w:w="2088"/>
                </w:tcPr>
                <w:p>
                  <w:pPr>
                    <w:bidi w:val="0"/>
                  </w:pPr>
                  <w:r/>
                  <w:r>
                    <w:rPr>
                      <w:sz w:val="20"/>
                    </w:rPr>
                    <w:t>WAF and load balancer</w:t>
                  </w:r>
                </w:p>
              </w:tc>
              <w:tc>
                <w:tcPr>
                  <w:tcW w:type="dxa" w:w="2088"/>
                </w:tcPr>
                <w:p>
                  <w:pPr>
                    <w:bidi w:val="0"/>
                  </w:pPr>
                  <w:r/>
                  <w:r>
                    <w:rPr>
                      <w:sz w:val="20"/>
                    </w:rPr>
                    <w:t>SSA perimeter</w:t>
                  </w:r>
                </w:p>
              </w:tc>
              <w:tc>
                <w:tcPr>
                  <w:tcW w:type="dxa" w:w="2088"/>
                </w:tcPr>
                <w:p>
                  <w:pPr>
                    <w:bidi w:val="0"/>
                  </w:pPr>
                  <w:r/>
                  <w:r>
                    <w:rPr>
                      <w:sz w:val="20"/>
                    </w:rPr>
                    <w:t>2, active/passive</w:t>
                  </w:r>
                </w:p>
              </w:tc>
              <w:tc>
                <w:tcPr>
                  <w:tcW w:type="dxa" w:w="2088"/>
                </w:tcPr>
                <w:p>
                  <w:pPr>
                    <w:bidi w:val="0"/>
                  </w:pPr>
                  <w:r/>
                  <w:r>
                    <w:rPr>
                      <w:sz w:val="20"/>
                    </w:rPr>
                    <w:t>Appliance or virtual machine</w:t>
                  </w:r>
                </w:p>
              </w:tc>
              <w:tc>
                <w:tcPr>
                  <w:tcW w:type="dxa" w:w="2088"/>
                </w:tcPr>
                <w:p>
                  <w:pPr>
                    <w:bidi w:val="0"/>
                  </w:pPr>
                  <w:r/>
                  <w:r>
                    <w:rPr>
                      <w:sz w:val="20"/>
                    </w:rPr>
                    <w:t>Terminates TLS, filters against the Open Web Application Security Project (OWASP) rule set, balances to presentation</w:t>
                  </w:r>
                </w:p>
              </w:tc>
            </w:tr>
            <w:tr>
              <w:tc>
                <w:tcPr>
                  <w:tcW w:type="dxa" w:w="2088"/>
                </w:tcPr>
                <w:p>
                  <w:pPr>
                    <w:bidi w:val="0"/>
                  </w:pPr>
                  <w:r/>
                  <w:r>
                    <w:rPr>
                      <w:sz w:val="20"/>
                    </w:rPr>
                    <w:t>SIMF.MobileEdge</w:t>
                  </w:r>
                </w:p>
              </w:tc>
              <w:tc>
                <w:tcPr>
                  <w:tcW w:type="dxa" w:w="2088"/>
                </w:tcPr>
                <w:p>
                  <w:pPr>
                    <w:bidi w:val="0"/>
                  </w:pPr>
                  <w:r/>
                  <w:r>
                    <w:rPr>
                      <w:sz w:val="20"/>
                    </w:rPr>
                    <w:t>SSA presentation</w:t>
                  </w:r>
                </w:p>
              </w:tc>
              <w:tc>
                <w:tcPr>
                  <w:tcW w:type="dxa" w:w="2088"/>
                </w:tcPr>
                <w:p>
                  <w:pPr>
                    <w:bidi w:val="0"/>
                  </w:pPr>
                  <w:r/>
                  <w:r>
                    <w:rPr>
                      <w:sz w:val="20"/>
                    </w:rPr>
                    <w:t>2</w:t>
                  </w:r>
                </w:p>
              </w:tc>
              <w:tc>
                <w:tcPr>
                  <w:tcW w:type="dxa" w:w="2088"/>
                </w:tcPr>
                <w:p>
                  <w:pPr>
                    <w:bidi w:val="0"/>
                  </w:pPr>
                  <w:r/>
                  <w:r>
                    <w:rPr>
                      <w:sz w:val="20"/>
                    </w:rPr>
                    <w:t>8 vCPU / 16 GB / 100 GB, proposed minimum</w:t>
                  </w:r>
                </w:p>
              </w:tc>
              <w:tc>
                <w:tcPr>
                  <w:tcW w:type="dxa" w:w="2088"/>
                </w:tcPr>
                <w:p>
                  <w:pPr>
                    <w:bidi w:val="0"/>
                  </w:pPr>
                  <w:r/>
                  <w:r>
                    <w:rPr>
                      <w:sz w:val="20"/>
                    </w:rPr>
                    <w:t>Presentation tier for the mobile application, which never calls the API directly</w:t>
                  </w:r>
                </w:p>
              </w:tc>
            </w:tr>
            <w:tr>
              <w:tc>
                <w:tcPr>
                  <w:tcW w:type="dxa" w:w="2088"/>
                </w:tcPr>
                <w:p>
                  <w:pPr>
                    <w:bidi w:val="0"/>
                  </w:pPr>
                  <w:r/>
                  <w:r>
                    <w:rPr>
                      <w:sz w:val="20"/>
                    </w:rPr>
                    <w:t>SIMF.Web</w:t>
                  </w:r>
                </w:p>
              </w:tc>
              <w:tc>
                <w:tcPr>
                  <w:tcW w:type="dxa" w:w="2088"/>
                </w:tcPr>
                <w:p>
                  <w:pPr>
                    <w:bidi w:val="0"/>
                  </w:pPr>
                  <w:r/>
                  <w:r>
                    <w:rPr>
                      <w:sz w:val="20"/>
                    </w:rPr>
                    <w:t>SSA presentation</w:t>
                  </w:r>
                </w:p>
              </w:tc>
              <w:tc>
                <w:tcPr>
                  <w:tcW w:type="dxa" w:w="2088"/>
                </w:tcPr>
                <w:p>
                  <w:pPr>
                    <w:bidi w:val="0"/>
                  </w:pPr>
                  <w:r/>
                  <w:r>
                    <w:rPr>
                      <w:sz w:val="20"/>
                    </w:rPr>
                    <w:t>2</w:t>
                  </w:r>
                </w:p>
              </w:tc>
              <w:tc>
                <w:tcPr>
                  <w:tcW w:type="dxa" w:w="2088"/>
                </w:tcPr>
                <w:p>
                  <w:pPr>
                    <w:bidi w:val="0"/>
                  </w:pPr>
                  <w:r/>
                  <w:r>
                    <w:rPr>
                      <w:sz w:val="20"/>
                    </w:rPr>
                    <w:t>16 vCPU / 32 GB / 300 GB</w:t>
                  </w:r>
                </w:p>
              </w:tc>
              <w:tc>
                <w:tcPr>
                  <w:tcW w:type="dxa" w:w="2088"/>
                </w:tcPr>
                <w:p>
                  <w:pPr>
                    <w:bidi w:val="0"/>
                  </w:pPr>
                  <w:r/>
                  <w:r>
                    <w:rPr>
                      <w:sz w:val="20"/>
                    </w:rPr>
                    <w:t>Public website, server-side rendered, read-heavy</w:t>
                  </w:r>
                </w:p>
              </w:tc>
            </w:tr>
            <w:tr>
              <w:tc>
                <w:tcPr>
                  <w:tcW w:type="dxa" w:w="2088"/>
                </w:tcPr>
                <w:p>
                  <w:pPr>
                    <w:bidi w:val="0"/>
                  </w:pPr>
                  <w:r/>
                  <w:r>
                    <w:rPr>
                      <w:sz w:val="20"/>
                    </w:rPr>
                    <w:t>SIMF.ControlPanel</w:t>
                  </w:r>
                </w:p>
              </w:tc>
              <w:tc>
                <w:tcPr>
                  <w:tcW w:type="dxa" w:w="2088"/>
                </w:tcPr>
                <w:p>
                  <w:pPr>
                    <w:bidi w:val="0"/>
                  </w:pPr>
                  <w:r/>
                  <w:r>
                    <w:rPr>
                      <w:sz w:val="20"/>
                    </w:rPr>
                    <w:t>SSA presentation</w:t>
                  </w:r>
                </w:p>
              </w:tc>
              <w:tc>
                <w:tcPr>
                  <w:tcW w:type="dxa" w:w="2088"/>
                </w:tcPr>
                <w:p>
                  <w:pPr>
                    <w:bidi w:val="0"/>
                  </w:pPr>
                  <w:r/>
                  <w:r>
                    <w:rPr>
                      <w:sz w:val="20"/>
                    </w:rPr>
                    <w:t>2</w:t>
                  </w:r>
                </w:p>
              </w:tc>
              <w:tc>
                <w:tcPr>
                  <w:tcW w:type="dxa" w:w="2088"/>
                </w:tcPr>
                <w:p>
                  <w:pPr>
                    <w:bidi w:val="0"/>
                  </w:pPr>
                  <w:r/>
                  <w:r>
                    <w:rPr>
                      <w:sz w:val="20"/>
                    </w:rPr>
                    <w:t>16 vCPU / 32 GB / 300 GB</w:t>
                  </w:r>
                </w:p>
              </w:tc>
              <w:tc>
                <w:tcPr>
                  <w:tcW w:type="dxa" w:w="2088"/>
                </w:tcPr>
                <w:p>
                  <w:pPr>
                    <w:bidi w:val="0"/>
                  </w:pPr>
                  <w:r/>
                  <w:r>
                    <w:rPr>
                      <w:sz w:val="20"/>
                    </w:rPr>
                    <w:t>Administrative Control Panel; needs session affinity</w:t>
                  </w:r>
                </w:p>
              </w:tc>
            </w:tr>
            <w:tr>
              <w:tc>
                <w:tcPr>
                  <w:tcW w:type="dxa" w:w="2088"/>
                </w:tcPr>
                <w:p>
                  <w:pPr>
                    <w:bidi w:val="0"/>
                  </w:pPr>
                  <w:r/>
                  <w:r>
                    <w:rPr>
                      <w:sz w:val="20"/>
                    </w:rPr>
                    <w:t>API load balancer</w:t>
                  </w:r>
                </w:p>
              </w:tc>
              <w:tc>
                <w:tcPr>
                  <w:tcW w:type="dxa" w:w="2088"/>
                </w:tcPr>
                <w:p>
                  <w:pPr>
                    <w:bidi w:val="0"/>
                  </w:pPr>
                  <w:r/>
                  <w:r>
                    <w:rPr>
                      <w:sz w:val="20"/>
                    </w:rPr>
                    <w:t>HSA</w:t>
                  </w:r>
                </w:p>
              </w:tc>
              <w:tc>
                <w:tcPr>
                  <w:tcW w:type="dxa" w:w="2088"/>
                </w:tcPr>
                <w:p>
                  <w:pPr>
                    <w:bidi w:val="0"/>
                  </w:pPr>
                  <w:r/>
                  <w:r>
                    <w:rPr>
                      <w:sz w:val="20"/>
                    </w:rPr>
                    <w:t>2, active/passive</w:t>
                  </w:r>
                </w:p>
              </w:tc>
              <w:tc>
                <w:tcPr>
                  <w:tcW w:type="dxa" w:w="2088"/>
                </w:tcPr>
                <w:p>
                  <w:pPr>
                    <w:bidi w:val="0"/>
                  </w:pPr>
                  <w:r/>
                  <w:r>
                    <w:rPr>
                      <w:sz w:val="20"/>
                    </w:rPr>
                    <w:t>Appliance or virtual machine</w:t>
                  </w:r>
                </w:p>
              </w:tc>
              <w:tc>
                <w:tcPr>
                  <w:tcW w:type="dxa" w:w="2088"/>
                </w:tcPr>
                <w:p>
                  <w:pPr>
                    <w:bidi w:val="0"/>
                  </w:pPr>
                  <w:r/>
                  <w:r>
                    <w:rPr>
                      <w:sz w:val="20"/>
                    </w:rPr>
                    <w:t>Distributes requests across the four API nodes</w:t>
                  </w:r>
                </w:p>
              </w:tc>
            </w:tr>
            <w:tr>
              <w:tc>
                <w:tcPr>
                  <w:tcW w:type="dxa" w:w="2088"/>
                </w:tcPr>
                <w:p>
                  <w:pPr>
                    <w:bidi w:val="0"/>
                  </w:pPr>
                  <w:r/>
                  <w:r>
                    <w:rPr>
                      <w:sz w:val="20"/>
                    </w:rPr>
                    <w:t>SIMF.Api</w:t>
                  </w:r>
                </w:p>
              </w:tc>
              <w:tc>
                <w:tcPr>
                  <w:tcW w:type="dxa" w:w="2088"/>
                </w:tcPr>
                <w:p>
                  <w:pPr>
                    <w:bidi w:val="0"/>
                  </w:pPr>
                  <w:r/>
                  <w:r>
                    <w:rPr>
                      <w:sz w:val="20"/>
                    </w:rPr>
                    <w:t>HSA</w:t>
                  </w:r>
                </w:p>
              </w:tc>
              <w:tc>
                <w:tcPr>
                  <w:tcW w:type="dxa" w:w="2088"/>
                </w:tcPr>
                <w:p>
                  <w:pPr>
                    <w:bidi w:val="0"/>
                  </w:pPr>
                  <w:r/>
                  <w:r>
                    <w:rPr>
                      <w:sz w:val="20"/>
                    </w:rPr>
                    <w:t>4</w:t>
                  </w:r>
                </w:p>
              </w:tc>
              <w:tc>
                <w:tcPr>
                  <w:tcW w:type="dxa" w:w="2088"/>
                </w:tcPr>
                <w:p>
                  <w:pPr>
                    <w:bidi w:val="0"/>
                  </w:pPr>
                  <w:r/>
                  <w:r>
                    <w:rPr>
                      <w:sz w:val="20"/>
                    </w:rPr>
                    <w:t>16 vCPU / 32 GB / 300 GB</w:t>
                  </w:r>
                </w:p>
              </w:tc>
              <w:tc>
                <w:tcPr>
                  <w:tcW w:type="dxa" w:w="2088"/>
                </w:tcPr>
                <w:p>
                  <w:pPr>
                    <w:bidi w:val="0"/>
                  </w:pPr>
                  <w:r/>
                  <w:r>
                    <w:rPr>
                      <w:sz w:val="20"/>
                    </w:rPr>
                    <w:t>Stateless REST application tier</w:t>
                  </w:r>
                </w:p>
              </w:tc>
            </w:tr>
            <w:tr>
              <w:tc>
                <w:tcPr>
                  <w:tcW w:type="dxa" w:w="2088"/>
                </w:tcPr>
                <w:p>
                  <w:pPr>
                    <w:bidi w:val="0"/>
                  </w:pPr>
                  <w:r/>
                  <w:r>
                    <w:rPr>
                      <w:sz w:val="20"/>
                    </w:rPr>
                    <w:t>Language model server</w:t>
                  </w:r>
                </w:p>
              </w:tc>
              <w:tc>
                <w:tcPr>
                  <w:tcW w:type="dxa" w:w="2088"/>
                </w:tcPr>
                <w:p>
                  <w:pPr>
                    <w:bidi w:val="0"/>
                  </w:pPr>
                  <w:r/>
                  <w:r>
                    <w:rPr>
                      <w:sz w:val="20"/>
                    </w:rPr>
                    <w:t>HSA</w:t>
                  </w:r>
                </w:p>
              </w:tc>
              <w:tc>
                <w:tcPr>
                  <w:tcW w:type="dxa" w:w="2088"/>
                </w:tcPr>
                <w:p>
                  <w:pPr>
                    <w:bidi w:val="0"/>
                  </w:pPr>
                  <w:r/>
                  <w:r>
                    <w:rPr>
                      <w:sz w:val="20"/>
                    </w:rPr>
                    <w:t>TBD, owner SITE</w:t>
                  </w:r>
                </w:p>
              </w:tc>
              <w:tc>
                <w:tcPr>
                  <w:tcW w:type="dxa" w:w="2088"/>
                </w:tcPr>
                <w:p>
                  <w:pPr>
                    <w:bidi w:val="0"/>
                  </w:pPr>
                  <w:r/>
                  <w:r>
                    <w:rPr>
                      <w:sz w:val="20"/>
                    </w:rPr>
                    <w:t>Supplied by SITE</w:t>
                  </w:r>
                </w:p>
              </w:tc>
              <w:tc>
                <w:tcPr>
                  <w:tcW w:type="dxa" w:w="2088"/>
                </w:tcPr>
                <w:p>
                  <w:pPr>
                    <w:bidi w:val="0"/>
                  </w:pPr>
                  <w:r/>
                  <w:r>
                    <w:rPr>
                      <w:sz w:val="20"/>
                    </w:rPr>
                    <w:t>Hosts the GPT OSS 120B model behind an OpenAI-compatible interface</w:t>
                  </w:r>
                </w:p>
              </w:tc>
            </w:tr>
            <w:tr>
              <w:tc>
                <w:tcPr>
                  <w:tcW w:type="dxa" w:w="2088"/>
                </w:tcPr>
                <w:p>
                  <w:pPr>
                    <w:bidi w:val="0"/>
                  </w:pPr>
                  <w:r/>
                  <w:r>
                    <w:rPr>
                      <w:sz w:val="20"/>
                    </w:rPr>
                    <w:t>Mail server</w:t>
                  </w:r>
                </w:p>
              </w:tc>
              <w:tc>
                <w:tcPr>
                  <w:tcW w:type="dxa" w:w="2088"/>
                </w:tcPr>
                <w:p>
                  <w:pPr>
                    <w:bidi w:val="0"/>
                  </w:pPr>
                  <w:r/>
                  <w:r>
                    <w:rPr>
                      <w:sz w:val="20"/>
                    </w:rPr>
                    <w:t>HSA</w:t>
                  </w:r>
                </w:p>
              </w:tc>
              <w:tc>
                <w:tcPr>
                  <w:tcW w:type="dxa" w:w="2088"/>
                </w:tcPr>
                <w:p>
                  <w:pPr>
                    <w:bidi w:val="0"/>
                  </w:pPr>
                  <w:r/>
                  <w:r>
                    <w:rPr>
                      <w:sz w:val="20"/>
                    </w:rPr>
                    <w:t>TBD, owner SITE</w:t>
                  </w:r>
                </w:p>
              </w:tc>
              <w:tc>
                <w:tcPr>
                  <w:tcW w:type="dxa" w:w="2088"/>
                </w:tcPr>
                <w:p>
                  <w:pPr>
                    <w:bidi w:val="0"/>
                  </w:pPr>
                  <w:r/>
                  <w:r>
                    <w:rPr>
                      <w:sz w:val="20"/>
                    </w:rPr>
                    <w:t>Supplied by SITE</w:t>
                  </w:r>
                </w:p>
              </w:tc>
              <w:tc>
                <w:tcPr>
                  <w:tcW w:type="dxa" w:w="2088"/>
                </w:tcPr>
                <w:p>
                  <w:pPr>
                    <w:bidi w:val="0"/>
                  </w:pPr>
                  <w:r/>
                  <w:r>
                    <w:rPr>
                      <w:sz w:val="20"/>
                    </w:rPr>
                    <w:t>On-site SMTP relay, STARTTLS on port 587</w:t>
                  </w:r>
                </w:p>
              </w:tc>
            </w:tr>
            <w:tr>
              <w:tc>
                <w:tcPr>
                  <w:tcW w:type="dxa" w:w="2088"/>
                </w:tcPr>
                <w:p>
                  <w:pPr>
                    <w:bidi w:val="0"/>
                  </w:pPr>
                  <w:r/>
                  <w:r>
                    <w:rPr>
                      <w:sz w:val="20"/>
                    </w:rPr>
                    <w:t>Database</w:t>
                  </w:r>
                </w:p>
              </w:tc>
              <w:tc>
                <w:tcPr>
                  <w:tcW w:type="dxa" w:w="2088"/>
                </w:tcPr>
                <w:p>
                  <w:pPr>
                    <w:bidi w:val="0"/>
                  </w:pPr>
                  <w:r/>
                  <w:r>
                    <w:rPr>
                      <w:sz w:val="20"/>
                    </w:rPr>
                    <w:t>HSA</w:t>
                  </w:r>
                </w:p>
              </w:tc>
              <w:tc>
                <w:tcPr>
                  <w:tcW w:type="dxa" w:w="2088"/>
                </w:tcPr>
                <w:p>
                  <w:pPr>
                    <w:bidi w:val="0"/>
                  </w:pPr>
                  <w:r/>
                  <w:r>
                    <w:rPr>
                      <w:sz w:val="20"/>
                    </w:rPr>
                    <w:t>2</w:t>
                  </w:r>
                </w:p>
              </w:tc>
              <w:tc>
                <w:tcPr>
                  <w:tcW w:type="dxa" w:w="2088"/>
                </w:tcPr>
                <w:p>
                  <w:pPr>
                    <w:bidi w:val="0"/>
                  </w:pPr>
                  <w:r/>
                  <w:r>
                    <w:rPr>
                      <w:sz w:val="20"/>
                    </w:rPr>
                    <w:t>8 vCPU / 64 GB / 2 TB</w:t>
                  </w:r>
                </w:p>
              </w:tc>
              <w:tc>
                <w:tcPr>
                  <w:tcW w:type="dxa" w:w="2088"/>
                </w:tcPr>
                <w:p>
                  <w:pPr>
                    <w:bidi w:val="0"/>
                  </w:pPr>
                  <w:r/>
                  <w:r>
                    <w:rPr>
                      <w:sz w:val="20"/>
                    </w:rPr>
                    <w:t>Hosts both databases; section 2.9 covers availability</w:t>
                  </w:r>
                </w:p>
              </w:tc>
            </w:tr>
            <w:tr>
              <w:tc>
                <w:tcPr>
                  <w:tcW w:type="dxa" w:w="2088"/>
                </w:tcPr>
                <w:p>
                  <w:pPr>
                    <w:bidi w:val="0"/>
                  </w:pPr>
                  <w:r/>
                  <w:r>
                    <w:rPr>
                      <w:sz w:val="20"/>
                    </w:rPr>
                    <w:t>MinIO object store</w:t>
                  </w:r>
                </w:p>
              </w:tc>
              <w:tc>
                <w:tcPr>
                  <w:tcW w:type="dxa" w:w="2088"/>
                </w:tcPr>
                <w:p>
                  <w:pPr>
                    <w:bidi w:val="0"/>
                  </w:pPr>
                  <w:r/>
                  <w:r>
                    <w:rPr>
                      <w:sz w:val="20"/>
                    </w:rPr>
                    <w:t>HSA</w:t>
                  </w:r>
                </w:p>
              </w:tc>
              <w:tc>
                <w:tcPr>
                  <w:tcW w:type="dxa" w:w="2088"/>
                </w:tcPr>
                <w:p>
                  <w:pPr>
                    <w:bidi w:val="0"/>
                  </w:pPr>
                  <w:r/>
                  <w:r>
                    <w:rPr>
                      <w:sz w:val="20"/>
                    </w:rPr>
                    <w:t>2</w:t>
                  </w:r>
                </w:p>
              </w:tc>
              <w:tc>
                <w:tcPr>
                  <w:tcW w:type="dxa" w:w="2088"/>
                </w:tcPr>
                <w:p>
                  <w:pPr>
                    <w:bidi w:val="0"/>
                  </w:pPr>
                  <w:r/>
                  <w:r>
                    <w:rPr>
                      <w:sz w:val="20"/>
                    </w:rPr>
                    <w:t>8 vCPU / 16 GB / 4 TB, proposed minimum</w:t>
                  </w:r>
                </w:p>
              </w:tc>
              <w:tc>
                <w:tcPr>
                  <w:tcW w:type="dxa" w:w="2088"/>
                </w:tcPr>
                <w:p>
                  <w:pPr>
                    <w:bidi w:val="0"/>
                  </w:pPr>
                  <w:r/>
                  <w:r>
                    <w:rPr>
                      <w:sz w:val="20"/>
                    </w:rPr>
                    <w:t>S3 file store, reached only through the API</w:t>
                  </w:r>
                </w:p>
              </w:tc>
            </w:tr>
          </w:tbl>
          <w:p/>
          <w:p>
            <w:pPr/>
          </w:p>
          <w:p>
            <w:pPr>
              <w:jc w:val="both"/>
              <w:bidi w:val="0"/>
            </w:pPr>
            <w:r>
              <w:rPr>
                <w:b w:val="0"/>
                <w:sz w:val="20"/>
              </w:rPr>
              <w:t>The following table records the architectural decisions and the alternatives rejected.</w:t>
            </w:r>
          </w:p>
          <w:tbl>
            <w:tblPr>
              <w:tblStyle w:val="TableGrid"/>
              <w:tblLayout w:type="autofit"/>
              <w:tblLook w:firstColumn="1" w:firstRow="1" w:lastColumn="0" w:lastRow="0" w:noHBand="0" w:noVBand="1" w:val="04A0"/>
              <w:tblW w:w="5000" w:type="pct"/>
            </w:tblPr>
            <w:tblGrid>
              <w:gridCol w:w="2610"/>
              <w:gridCol w:w="2610"/>
              <w:gridCol w:w="2610"/>
              <w:gridCol w:w="2610"/>
            </w:tblGrid>
            <w:tr>
              <w:tc>
                <w:tcPr>
                  <w:tcW w:type="dxa" w:w="360"/>
                </w:tcPr>
                <w:p>
                  <w:pPr>
                    <w:bidi w:val="0"/>
                  </w:pPr>
                  <w:r/>
                  <w:r>
                    <w:rPr>
                      <w:b/>
                      <w:sz w:val="20"/>
                    </w:rPr>
                    <w:t>Decision</w:t>
                  </w:r>
                </w:p>
              </w:tc>
              <w:tc>
                <w:tcPr>
                  <w:tcW w:type="dxa" w:w="360"/>
                </w:tcPr>
                <w:p>
                  <w:pPr>
                    <w:bidi w:val="0"/>
                  </w:pPr>
                  <w:r/>
                  <w:r>
                    <w:rPr>
                      <w:b/>
                      <w:sz w:val="20"/>
                    </w:rPr>
                    <w:t>Chosen</w:t>
                  </w:r>
                </w:p>
              </w:tc>
              <w:tc>
                <w:tcPr>
                  <w:tcW w:type="dxa" w:w="360"/>
                </w:tcPr>
                <w:p>
                  <w:pPr>
                    <w:bidi w:val="0"/>
                  </w:pPr>
                  <w:r/>
                  <w:r>
                    <w:rPr>
                      <w:b/>
                      <w:sz w:val="20"/>
                    </w:rPr>
                    <w:t>Rejected alternative</w:t>
                  </w:r>
                </w:p>
              </w:tc>
              <w:tc>
                <w:tcPr>
                  <w:tcW w:type="dxa" w:w="360"/>
                </w:tcPr>
                <w:p>
                  <w:pPr>
                    <w:bidi w:val="0"/>
                  </w:pPr>
                  <w:r/>
                  <w:r>
                    <w:rPr>
                      <w:b/>
                      <w:sz w:val="20"/>
                    </w:rPr>
                    <w:t>Reason</w:t>
                  </w:r>
                </w:p>
              </w:tc>
            </w:tr>
            <w:tr>
              <w:tc>
                <w:tcPr>
                  <w:tcW w:type="dxa" w:w="2610"/>
                </w:tcPr>
                <w:p>
                  <w:pPr>
                    <w:bidi w:val="0"/>
                  </w:pPr>
                  <w:r/>
                  <w:r>
                    <w:rPr>
                      <w:sz w:val="20"/>
                    </w:rPr>
                    <w:t>Application structure</w:t>
                  </w:r>
                </w:p>
              </w:tc>
              <w:tc>
                <w:tcPr>
                  <w:tcW w:type="dxa" w:w="2610"/>
                </w:tcPr>
                <w:p>
                  <w:pPr>
                    <w:bidi w:val="0"/>
                  </w:pPr>
                  <w:r/>
                  <w:r>
                    <w:rPr>
                      <w:sz w:val="20"/>
                    </w:rPr>
                    <w:t>Modular monolith with DDD layering</w:t>
                  </w:r>
                </w:p>
              </w:tc>
              <w:tc>
                <w:tcPr>
                  <w:tcW w:type="dxa" w:w="2610"/>
                </w:tcPr>
                <w:p>
                  <w:pPr>
                    <w:bidi w:val="0"/>
                  </w:pPr>
                  <w:r/>
                  <w:r>
                    <w:rPr>
                      <w:sz w:val="20"/>
                    </w:rPr>
                    <w:t>Microservices</w:t>
                  </w:r>
                </w:p>
              </w:tc>
              <w:tc>
                <w:tcPr>
                  <w:tcW w:type="dxa" w:w="2610"/>
                </w:tcPr>
                <w:p>
                  <w:pPr>
                    <w:bidi w:val="0"/>
                  </w:pPr>
                  <w:r/>
                  <w:r>
                    <w:rPr>
                      <w:sz w:val="20"/>
                    </w:rPr>
                    <w:t>The API is stateless, so event-day capacity comes from adding nodes, not from splitting services.</w:t>
                  </w:r>
                </w:p>
              </w:tc>
            </w:tr>
            <w:tr>
              <w:tc>
                <w:tcPr>
                  <w:tcW w:type="dxa" w:w="2610"/>
                </w:tcPr>
                <w:p>
                  <w:pPr>
                    <w:bidi w:val="0"/>
                  </w:pPr>
                  <w:r/>
                  <w:r>
                    <w:rPr>
                      <w:sz w:val="20"/>
                    </w:rPr>
                    <w:t>Persistence</w:t>
                  </w:r>
                </w:p>
              </w:tc>
              <w:tc>
                <w:tcPr>
                  <w:tcW w:type="dxa" w:w="2610"/>
                </w:tcPr>
                <w:p>
                  <w:pPr>
                    <w:bidi w:val="0"/>
                  </w:pPr>
                  <w:r/>
                  <w:r>
                    <w:rPr>
                      <w:sz w:val="20"/>
                    </w:rPr>
                    <w:t>Two databases, SIMF_Identity and SIMF_App</w:t>
                  </w:r>
                </w:p>
              </w:tc>
              <w:tc>
                <w:tcPr>
                  <w:tcW w:type="dxa" w:w="2610"/>
                </w:tcPr>
                <w:p>
                  <w:pPr>
                    <w:bidi w:val="0"/>
                  </w:pPr>
                  <w:r/>
                  <w:r>
                    <w:rPr>
                      <w:sz w:val="20"/>
                    </w:rPr>
                    <w:t>One shared database</w:t>
                  </w:r>
                </w:p>
              </w:tc>
              <w:tc>
                <w:tcPr>
                  <w:tcW w:type="dxa" w:w="2610"/>
                </w:tcPr>
                <w:p>
                  <w:pPr>
                    <w:bidi w:val="0"/>
                  </w:pPr>
                  <w:r/>
                  <w:r>
                    <w:rPr>
                      <w:sz w:val="20"/>
                    </w:rPr>
                    <w:t>Identity data stays in its own store; section 2.8 states the separation invariants.</w:t>
                  </w:r>
                </w:p>
              </w:tc>
            </w:tr>
            <w:tr>
              <w:tc>
                <w:tcPr>
                  <w:tcW w:type="dxa" w:w="2610"/>
                </w:tcPr>
                <w:p>
                  <w:pPr>
                    <w:bidi w:val="0"/>
                  </w:pPr>
                  <w:r/>
                  <w:r>
                    <w:rPr>
                      <w:sz w:val="20"/>
                    </w:rPr>
                    <w:t>AI inference</w:t>
                  </w:r>
                </w:p>
              </w:tc>
              <w:tc>
                <w:tcPr>
                  <w:tcW w:type="dxa" w:w="2610"/>
                </w:tcPr>
                <w:p>
                  <w:pPr>
                    <w:bidi w:val="0"/>
                  </w:pPr>
                  <w:r/>
                  <w:r>
                    <w:rPr>
                      <w:sz w:val="20"/>
                    </w:rPr>
                    <w:t>On-site GPT OSS 120B model</w:t>
                  </w:r>
                </w:p>
              </w:tc>
              <w:tc>
                <w:tcPr>
                  <w:tcW w:type="dxa" w:w="2610"/>
                </w:tcPr>
                <w:p>
                  <w:pPr>
                    <w:bidi w:val="0"/>
                  </w:pPr>
                  <w:r/>
                  <w:r>
                    <w:rPr>
                      <w:sz w:val="20"/>
                    </w:rPr>
                    <w:t>A cloud AI service</w:t>
                  </w:r>
                </w:p>
              </w:tc>
              <w:tc>
                <w:tcPr>
                  <w:tcW w:type="dxa" w:w="2610"/>
                </w:tcPr>
                <w:p>
                  <w:pPr>
                    <w:bidi w:val="0"/>
                  </w:pPr>
                  <w:r/>
                  <w:r>
                    <w:rPr>
                      <w:sz w:val="20"/>
                    </w:rPr>
                    <w:t>The call stays inside HSA and generates no internet traffic, so no attendee data leaves the site.</w:t>
                  </w:r>
                </w:p>
              </w:tc>
            </w:tr>
            <w:tr>
              <w:tc>
                <w:tcPr>
                  <w:tcW w:type="dxa" w:w="2610"/>
                </w:tcPr>
                <w:p>
                  <w:pPr>
                    <w:bidi w:val="0"/>
                  </w:pPr>
                  <w:r/>
                  <w:r>
                    <w:rPr>
                      <w:sz w:val="20"/>
                    </w:rPr>
                    <w:t>Live video</w:t>
                  </w:r>
                </w:p>
              </w:tc>
              <w:tc>
                <w:tcPr>
                  <w:tcW w:type="dxa" w:w="2610"/>
                </w:tcPr>
                <w:p>
                  <w:pPr>
                    <w:bidi w:val="0"/>
                  </w:pPr>
                  <w:r/>
                  <w:r>
                    <w:rPr>
                      <w:sz w:val="20"/>
                    </w:rPr>
                    <w:t>YouTube plays to the attendee device</w:t>
                  </w:r>
                </w:p>
              </w:tc>
              <w:tc>
                <w:tcPr>
                  <w:tcW w:type="dxa" w:w="2610"/>
                </w:tcPr>
                <w:p>
                  <w:pPr>
                    <w:bidi w:val="0"/>
                  </w:pPr>
                  <w:r/>
                  <w:r>
                    <w:rPr>
                      <w:sz w:val="20"/>
                    </w:rPr>
                    <w:t>Relaying video through the backend</w:t>
                  </w:r>
                </w:p>
              </w:tc>
              <w:tc>
                <w:tcPr>
                  <w:tcW w:type="dxa" w:w="2610"/>
                </w:tcPr>
                <w:p>
                  <w:pPr>
                    <w:bidi w:val="0"/>
                  </w:pPr>
                  <w:r/>
                  <w:r>
                    <w:rPr>
                      <w:sz w:val="20"/>
                    </w:rPr>
                    <w:t>A relay would need a tier sized for video bandwidth on event day.</w:t>
                  </w:r>
                </w:p>
              </w:tc>
            </w:tr>
            <w:tr>
              <w:tc>
                <w:tcPr>
                  <w:tcW w:type="dxa" w:w="2610"/>
                </w:tcPr>
                <w:p>
                  <w:pPr>
                    <w:bidi w:val="0"/>
                  </w:pPr>
                  <w:r/>
                  <w:r>
                    <w:rPr>
                      <w:sz w:val="20"/>
                    </w:rPr>
                    <w:t>Second-factor delivery</w:t>
                  </w:r>
                </w:p>
              </w:tc>
              <w:tc>
                <w:tcPr>
                  <w:tcW w:type="dxa" w:w="2610"/>
                </w:tcPr>
                <w:p>
                  <w:pPr>
                    <w:bidi w:val="0"/>
                  </w:pPr>
                  <w:r/>
                  <w:r>
                    <w:rPr>
                      <w:sz w:val="20"/>
                    </w:rPr>
                    <w:t>One-time password (OTP) by e-mail</w:t>
                  </w:r>
                </w:p>
              </w:tc>
              <w:tc>
                <w:tcPr>
                  <w:tcW w:type="dxa" w:w="2610"/>
                </w:tcPr>
                <w:p>
                  <w:pPr>
                    <w:bidi w:val="0"/>
                  </w:pPr>
                  <w:r/>
                  <w:r>
                    <w:rPr>
                      <w:sz w:val="20"/>
                    </w:rPr>
                    <w:t>SMS</w:t>
                  </w:r>
                </w:p>
              </w:tc>
              <w:tc>
                <w:tcPr>
                  <w:tcW w:type="dxa" w:w="2610"/>
                </w:tcPr>
                <w:p>
                  <w:pPr>
                    <w:bidi w:val="0"/>
                  </w:pPr>
                  <w:r/>
                  <w:r>
                    <w:rPr>
                      <w:sz w:val="20"/>
                    </w:rPr>
                    <w:t>E-mail removes any dependency on an SMS supplier and reaches international attendees without a local number.</w:t>
                  </w:r>
                </w:p>
              </w:tc>
            </w:tr>
            <w:tr>
              <w:tc>
                <w:tcPr>
                  <w:tcW w:type="dxa" w:w="2610"/>
                </w:tcPr>
                <w:p>
                  <w:pPr>
                    <w:bidi w:val="0"/>
                  </w:pPr>
                  <w:r/>
                  <w:r>
                    <w:rPr>
                      <w:sz w:val="20"/>
                    </w:rPr>
                    <w:t>Live updates</w:t>
                  </w:r>
                </w:p>
              </w:tc>
              <w:tc>
                <w:tcPr>
                  <w:tcW w:type="dxa" w:w="2610"/>
                </w:tcPr>
                <w:p>
                  <w:pPr>
                    <w:bidi w:val="0"/>
                  </w:pPr>
                  <w:r/>
                  <w:r>
                    <w:rPr>
                      <w:sz w:val="20"/>
                    </w:rPr>
                    <w:t>Bounded client polling</w:t>
                  </w:r>
                </w:p>
              </w:tc>
              <w:tc>
                <w:tcPr>
                  <w:tcW w:type="dxa" w:w="2610"/>
                </w:tcPr>
                <w:p>
                  <w:pPr>
                    <w:bidi w:val="0"/>
                  </w:pPr>
                  <w:r/>
                  <w:r>
                    <w:rPr>
                      <w:sz w:val="20"/>
                    </w:rPr>
                    <w:t>A server push transport</w:t>
                  </w:r>
                </w:p>
              </w:tc>
              <w:tc>
                <w:tcPr>
                  <w:tcW w:type="dxa" w:w="2610"/>
                </w:tcPr>
                <w:p>
                  <w:pPr>
                    <w:bidi w:val="0"/>
                  </w:pPr>
                  <w:r/>
                  <w:r>
                    <w:rPr>
                      <w:sz w:val="20"/>
                    </w:rPr>
                    <w:t>Polling rides the sized REST path and holds no long-lived connection per attendee.</w:t>
                  </w:r>
                </w:p>
              </w:tc>
            </w:tr>
            <w:tr>
              <w:tc>
                <w:tcPr>
                  <w:tcW w:type="dxa" w:w="2610"/>
                </w:tcPr>
                <w:p>
                  <w:pPr>
                    <w:bidi w:val="0"/>
                  </w:pPr>
                  <w:r/>
                  <w:r>
                    <w:rPr>
                      <w:sz w:val="20"/>
                    </w:rPr>
                    <w:t>Scheduled work</w:t>
                  </w:r>
                </w:p>
              </w:tc>
              <w:tc>
                <w:tcPr>
                  <w:tcW w:type="dxa" w:w="2610"/>
                </w:tcPr>
                <w:p>
                  <w:pPr>
                    <w:bidi w:val="0"/>
                  </w:pPr>
                  <w:r/>
                  <w:r>
                    <w:rPr>
                      <w:sz w:val="20"/>
                    </w:rPr>
                    <w:t>Jobs run in process on the API tier</w:t>
                  </w:r>
                </w:p>
              </w:tc>
              <w:tc>
                <w:tcPr>
                  <w:tcW w:type="dxa" w:w="2610"/>
                </w:tcPr>
                <w:p>
                  <w:pPr>
                    <w:bidi w:val="0"/>
                  </w:pPr>
                  <w:r/>
                  <w:r>
                    <w:rPr>
                      <w:sz w:val="20"/>
                    </w:rPr>
                    <w:t>A separate worker tier</w:t>
                  </w:r>
                </w:p>
              </w:tc>
              <w:tc>
                <w:tcPr>
                  <w:tcW w:type="dxa" w:w="2610"/>
                </w:tcPr>
                <w:p>
                  <w:pPr>
                    <w:bidi w:val="0"/>
                  </w:pPr>
                  <w:r/>
                  <w:r>
                    <w:rPr>
                      <w:sz w:val="20"/>
                    </w:rPr>
                    <w:t>No fourth tier to size, deploy or fail over.</w:t>
                  </w:r>
                </w:p>
              </w:tc>
            </w:tr>
            <w:tr>
              <w:tc>
                <w:tcPr>
                  <w:tcW w:type="dxa" w:w="2610"/>
                </w:tcPr>
                <w:p>
                  <w:pPr>
                    <w:bidi w:val="0"/>
                  </w:pPr>
                  <w:r/>
                  <w:r>
                    <w:rPr>
                      <w:sz w:val="20"/>
                    </w:rPr>
                    <w:t>Identity</w:t>
                  </w:r>
                </w:p>
              </w:tc>
              <w:tc>
                <w:tcPr>
                  <w:tcW w:type="dxa" w:w="2610"/>
                </w:tcPr>
                <w:p>
                  <w:pPr>
                    <w:bidi w:val="0"/>
                  </w:pPr>
                  <w:r/>
                  <w:r>
                    <w:rPr>
                      <w:sz w:val="20"/>
                    </w:rPr>
                    <w:t>Own identity store serving visitors and administrators</w:t>
                  </w:r>
                </w:p>
              </w:tc>
              <w:tc>
                <w:tcPr>
                  <w:tcW w:type="dxa" w:w="2610"/>
                </w:tcPr>
                <w:p>
                  <w:pPr>
                    <w:bidi w:val="0"/>
                  </w:pPr>
                  <w:r/>
                  <w:r>
                    <w:rPr>
                      <w:sz w:val="20"/>
                    </w:rPr>
                    <w:t>Ministry directory integration or single sign-on federation</w:t>
                  </w:r>
                </w:p>
              </w:tc>
              <w:tc>
                <w:tcPr>
                  <w:tcW w:type="dxa" w:w="2610"/>
                </w:tcPr>
                <w:p>
                  <w:pPr>
                    <w:bidi w:val="0"/>
                  </w:pPr>
                  <w:r/>
                  <w:r>
                    <w:rPr>
                      <w:sz w:val="20"/>
                    </w:rPr>
                    <w:t>The users are members of the general public and international attendees, and hold no ministry account to federate.</w:t>
                  </w:r>
                </w:p>
              </w:tc>
            </w:tr>
            <w:tr>
              <w:tc>
                <w:tcPr>
                  <w:tcW w:type="dxa" w:w="2610"/>
                </w:tcPr>
                <w:p>
                  <w:pPr>
                    <w:bidi w:val="0"/>
                  </w:pPr>
                  <w:r/>
                  <w:r>
                    <w:rPr>
                      <w:sz w:val="20"/>
                    </w:rPr>
                    <w:t>Database edition</w:t>
                  </w:r>
                </w:p>
              </w:tc>
              <w:tc>
                <w:tcPr>
                  <w:tcW w:type="dxa" w:w="2610"/>
                </w:tcPr>
                <w:p>
                  <w:pPr>
                    <w:bidi w:val="0"/>
                  </w:pPr>
                  <w:r/>
                  <w:r>
                    <w:rPr>
                      <w:sz w:val="20"/>
                    </w:rPr>
                    <w:t>SQL Server 2022 Enterprise</w:t>
                  </w:r>
                </w:p>
              </w:tc>
              <w:tc>
                <w:tcPr>
                  <w:tcW w:type="dxa" w:w="2610"/>
                </w:tcPr>
                <w:p>
                  <w:pPr>
                    <w:bidi w:val="0"/>
                  </w:pPr>
                  <w:r/>
                  <w:r>
                    <w:rPr>
                      <w:sz w:val="20"/>
                    </w:rPr>
                    <w:t>Standard edition</w:t>
                  </w:r>
                </w:p>
              </w:tc>
              <w:tc>
                <w:tcPr>
                  <w:tcW w:type="dxa" w:w="2610"/>
                </w:tcPr>
                <w:p>
                  <w:pPr>
                    <w:bidi w:val="0"/>
                  </w:pPr>
                  <w:r/>
                  <w:r>
                    <w:rPr>
                      <w:sz w:val="20"/>
                    </w:rPr>
                    <w:t>Standard edition offers no readable secondary; section 2.9 sets out the availability design.</w:t>
                  </w:r>
                </w:p>
              </w:tc>
            </w:tr>
          </w:tbl>
          <w:p/>
          <w:p>
            <w:pPr/>
          </w:p>
        </w:tc>
      </w:tr>
      <w:tr w:rsidR="00265616" w:rsidRPr="002323AE" w14:paraId="3950FE5E" w14:textId="77777777" w:rsidTr="00D12CD4">
        <w:trPr>
          <w:trHeight w:val="488"/>
        </w:trPr>
        <w:tc>
          <w:tcPr>
            <w:tcW w:w="5000" w:type="pct"/>
            <w:tcBorders>
              <w:bottom w:val="single" w:sz="4" w:space="0" w:color="auto"/>
            </w:tcBorders>
            <w:shd w:val="clear" w:color="auto" w:fill="29504D"/>
            <w:vAlign w:val="center"/>
          </w:tcPr>
          <w:p w14:paraId="563E9117" w14:textId="77777777" w:rsidR="00265616" w:rsidRPr="002323AE" w:rsidRDefault="00A93EEA" w:rsidP="00E80022">
            <w:pPr>
              <w:bidi w:val="0"/>
            </w:pPr>
            <w:r>
              <w:lastRenderedPageBreak/>
              <w:t xml:space="preserve">2.2 </w:t>
            </w:r>
            <w:r w:rsidR="00FA332B" w:rsidRPr="00FA332B">
              <w:t>Modules</w:t>
            </w:r>
          </w:p>
        </w:tc>
      </w:tr>
      <w:tr w:rsidR="00FA332B" w:rsidRPr="00846EC5" w14:paraId="0C069B80" w14:textId="77777777" w:rsidTr="00FA332B">
        <w:trPr>
          <w:trHeight w:val="336"/>
        </w:trPr>
        <w:tc>
          <w:tcPr>
            <w:tcW w:w="5000" w:type="pct"/>
            <w:shd w:val="clear" w:color="auto" w:fill="FFFFFF" w:themeFill="background1"/>
            <w:vAlign w:val="center"/>
          </w:tcPr>
          <w:p>
            <w:pPr>
              <w:jc w:val="left"/>
              <w:bidi w:val="0"/>
            </w:pPr>
            <w:r>
              <w:rPr>
                <w:b/>
                <w:sz w:val="20"/>
              </w:rPr>
              <w:t>Client applications</w:t>
            </w:r>
          </w:p>
          <w:p>
            <w:pPr>
              <w:jc w:val="both"/>
              <w:bidi w:val="0"/>
            </w:pPr>
            <w:r>
              <w:rPr>
                <w:b w:val="0"/>
                <w:sz w:val="20"/>
              </w:rPr>
              <w:t>•  Mobile application: Flutter on iOS and Android, serving attendees. It reaches the backend through SIMF.MobileEdge rather than directly.</w:t>
            </w:r>
          </w:p>
          <w:p>
            <w:pPr>
              <w:jc w:val="both"/>
              <w:bidi w:val="0"/>
            </w:pPr>
            <w:r>
              <w:rPr>
                <w:b w:val="0"/>
                <w:sz w:val="20"/>
              </w:rPr>
              <w:t>•  Control Panel: Blazor Server with the SIMF.Components library, serving administrators.</w:t>
            </w:r>
          </w:p>
          <w:p>
            <w:pPr>
              <w:jc w:val="both"/>
              <w:bidi w:val="0"/>
            </w:pPr>
            <w:r>
              <w:rPr>
                <w:b w:val="0"/>
                <w:sz w:val="20"/>
              </w:rPr>
              <w:t>•  Public website: Blazor SSR, carrying forum and programme information. It has no sign-in, registration or account page and persists no personal data. Two pages differ. The visitor assistant relays question text to the artificial intelligence service without retaining identity. A meeting-confirmation link is private to one speaker.</w:t>
            </w:r>
          </w:p>
          <w:p>
            <w:pPr>
              <w:jc w:val="both"/>
              <w:bidi w:val="0"/>
            </w:pPr>
            <w:r>
              <w:rPr>
                <w:b w:val="0"/>
                <w:sz w:val="20"/>
              </w:rPr>
              <w:t>•  Badge desk: SIMF.BadgeDesk, a WinForms application that prints badges on site. It works offline with no database connection, uploading each shift over one batch endpoint on the administration surface.</w:t>
            </w:r>
          </w:p>
          <w:p>
            <w:pPr>
              <w:jc w:val="left"/>
              <w:bidi w:val="0"/>
            </w:pPr>
            <w:r>
              <w:rPr>
                <w:b/>
                <w:sz w:val="20"/>
              </w:rPr>
              <w:t>Backend layers</w:t>
            </w:r>
          </w:p>
          <w:p>
            <w:pPr>
              <w:jc w:val="both"/>
              <w:bidi w:val="0"/>
            </w:pPr>
            <w:r>
              <w:rPr>
                <w:b w:val="0"/>
                <w:sz w:val="20"/>
              </w:rPr>
              <w:t>The backend is one process in four layers. SIMF.Api is the boundary, holding endpoints, middleware, authentication and authorisation policies. SIMF.Application holds use-case orchestration and the service abstractions. SIMF.Infrastructure implements those abstractions, covering persistence, storage, e-mail, identity and the audit interceptors. SIMF.Domain holds entities, aggregates, enumerations and rules, carries no framework dependency and depends on no other layer. Dependencies run inwards, from the boundary towards the domain.</w:t>
            </w:r>
          </w:p>
          <w:p>
            <w:pPr>
              <w:jc w:val="left"/>
              <w:bidi w:val="0"/>
            </w:pPr>
            <w:r>
              <w:rPr>
                <w:b/>
                <w:sz w:val="20"/>
              </w:rPr>
              <w:t>Bounded contexts</w:t>
            </w:r>
          </w:p>
          <w:p>
            <w:pPr>
              <w:jc w:val="both"/>
              <w:bidi w:val="0"/>
            </w:pPr>
            <w:r>
              <w:rPr>
                <w:b w:val="0"/>
                <w:sz w:val="20"/>
              </w:rPr>
              <w:t>The backend divides its work into bounded contexts, grouped by area.</w:t>
            </w:r>
          </w:p>
          <w:tbl>
            <w:tblPr>
              <w:tblStyle w:val="TableGrid"/>
              <w:tblLayout w:type="autofit"/>
              <w:tblLook w:firstColumn="1" w:firstRow="1" w:lastColumn="0" w:lastRow="0" w:noHBand="0" w:noVBand="1" w:val="04A0"/>
              <w:tblW w:w="5000" w:type="pct"/>
            </w:tblPr>
            <w:tblGrid>
              <w:gridCol w:w="3480"/>
              <w:gridCol w:w="3480"/>
              <w:gridCol w:w="3480"/>
            </w:tblGrid>
            <w:tr>
              <w:tc>
                <w:tcPr>
                  <w:tcW w:type="dxa" w:w="480"/>
                </w:tcPr>
                <w:p>
                  <w:pPr>
                    <w:bidi w:val="0"/>
                  </w:pPr>
                  <w:r/>
                  <w:r>
                    <w:rPr>
                      <w:b/>
                      <w:sz w:val="20"/>
                    </w:rPr>
                    <w:t>Area</w:t>
                  </w:r>
                </w:p>
              </w:tc>
              <w:tc>
                <w:tcPr>
                  <w:tcW w:type="dxa" w:w="480"/>
                </w:tcPr>
                <w:p>
                  <w:pPr>
                    <w:bidi w:val="0"/>
                  </w:pPr>
                  <w:r/>
                  <w:r>
                    <w:rPr>
                      <w:b/>
                      <w:sz w:val="20"/>
                    </w:rPr>
                    <w:t>Contexts</w:t>
                  </w:r>
                </w:p>
              </w:tc>
              <w:tc>
                <w:tcPr>
                  <w:tcW w:type="dxa" w:w="480"/>
                </w:tcPr>
                <w:p>
                  <w:pPr>
                    <w:bidi w:val="0"/>
                  </w:pPr>
                  <w:r/>
                  <w:r>
                    <w:rPr>
                      <w:b/>
                      <w:sz w:val="20"/>
                    </w:rPr>
                    <w:t>Covers</w:t>
                  </w:r>
                </w:p>
              </w:tc>
            </w:tr>
            <w:tr>
              <w:tc>
                <w:tcPr>
                  <w:tcW w:type="dxa" w:w="3480"/>
                </w:tcPr>
                <w:p>
                  <w:pPr>
                    <w:bidi w:val="0"/>
                  </w:pPr>
                  <w:r/>
                  <w:r>
                    <w:rPr>
                      <w:sz w:val="20"/>
                    </w:rPr>
                    <w:t>Identity</w:t>
                  </w:r>
                </w:p>
              </w:tc>
              <w:tc>
                <w:tcPr>
                  <w:tcW w:type="dxa" w:w="3480"/>
                </w:tcPr>
                <w:p>
                  <w:pPr>
                    <w:bidi w:val="0"/>
                  </w:pPr>
                  <w:r/>
                  <w:r>
                    <w:rPr>
                      <w:sz w:val="20"/>
                    </w:rPr>
                    <w:t>Authentication and registration; account and profile</w:t>
                  </w:r>
                </w:p>
              </w:tc>
              <w:tc>
                <w:tcPr>
                  <w:tcW w:type="dxa" w:w="3480"/>
                </w:tcPr>
                <w:p>
                  <w:pPr>
                    <w:bidi w:val="0"/>
                  </w:pPr>
                  <w:r/>
                  <w:r>
                    <w:rPr>
                      <w:sz w:val="20"/>
                    </w:rPr>
                    <w:t>Sign-up, credentials, profiles</w:t>
                  </w:r>
                </w:p>
              </w:tc>
            </w:tr>
            <w:tr>
              <w:tc>
                <w:tcPr>
                  <w:tcW w:type="dxa" w:w="3480"/>
                </w:tcPr>
                <w:p>
                  <w:pPr>
                    <w:bidi w:val="0"/>
                  </w:pPr>
                  <w:r/>
                  <w:r>
                    <w:rPr>
                      <w:sz w:val="20"/>
                    </w:rPr>
                    <w:t>Programme</w:t>
                  </w:r>
                </w:p>
              </w:tc>
              <w:tc>
                <w:tcPr>
                  <w:tcW w:type="dxa" w:w="3480"/>
                </w:tcPr>
                <w:p>
                  <w:pPr>
                    <w:bidi w:val="0"/>
                  </w:pPr>
                  <w:r/>
                  <w:r>
                    <w:rPr>
                      <w:sz w:val="20"/>
                    </w:rPr>
                    <w:t>Programme; bookings; meetings</w:t>
                  </w:r>
                </w:p>
              </w:tc>
              <w:tc>
                <w:tcPr>
                  <w:tcW w:type="dxa" w:w="3480"/>
                </w:tcPr>
                <w:p>
                  <w:pPr>
                    <w:bidi w:val="0"/>
                  </w:pPr>
                  <w:r/>
                  <w:r>
                    <w:rPr>
                      <w:sz w:val="20"/>
                    </w:rPr>
                    <w:t>Sessions, speakers, presentations, summaries, recordings</w:t>
                  </w:r>
                </w:p>
              </w:tc>
            </w:tr>
            <w:tr>
              <w:tc>
                <w:tcPr>
                  <w:tcW w:type="dxa" w:w="3480"/>
                </w:tcPr>
                <w:p>
                  <w:pPr>
                    <w:bidi w:val="0"/>
                  </w:pPr>
                  <w:r/>
                  <w:r>
                    <w:rPr>
                      <w:sz w:val="20"/>
                    </w:rPr>
                    <w:t>Venue</w:t>
                  </w:r>
                </w:p>
              </w:tc>
              <w:tc>
                <w:tcPr>
                  <w:tcW w:type="dxa" w:w="3480"/>
                </w:tcPr>
                <w:p>
                  <w:pPr>
                    <w:bidi w:val="0"/>
                  </w:pPr>
                  <w:r/>
                  <w:r>
                    <w:rPr>
                      <w:sz w:val="20"/>
                    </w:rPr>
                    <w:t>Gates and scanning; exhibition; sponsors</w:t>
                  </w:r>
                </w:p>
              </w:tc>
              <w:tc>
                <w:tcPr>
                  <w:tcW w:type="dxa" w:w="3480"/>
                </w:tcPr>
                <w:p>
                  <w:pPr>
                    <w:bidi w:val="0"/>
                  </w:pPr>
                  <w:r/>
                  <w:r>
                    <w:rPr>
                      <w:sz w:val="20"/>
                    </w:rPr>
                    <w:t>On-site entry, booths</w:t>
                  </w:r>
                </w:p>
              </w:tc>
            </w:tr>
            <w:tr>
              <w:tc>
                <w:tcPr>
                  <w:tcW w:type="dxa" w:w="3480"/>
                </w:tcPr>
                <w:p>
                  <w:pPr>
                    <w:bidi w:val="0"/>
                  </w:pPr>
                  <w:r/>
                  <w:r>
                    <w:rPr>
                      <w:sz w:val="20"/>
                    </w:rPr>
                    <w:t>Content</w:t>
                  </w:r>
                </w:p>
              </w:tc>
              <w:tc>
                <w:tcPr>
                  <w:tcW w:type="dxa" w:w="3480"/>
                </w:tcPr>
                <w:p>
                  <w:pPr>
                    <w:bidi w:val="0"/>
                  </w:pPr>
                  <w:r/>
                  <w:r>
                    <w:rPr>
                      <w:sz w:val="20"/>
                    </w:rPr>
                    <w:t>News and media; archive; notifications; networking</w:t>
                  </w:r>
                </w:p>
              </w:tc>
              <w:tc>
                <w:tcPr>
                  <w:tcW w:type="dxa" w:w="3480"/>
                </w:tcPr>
                <w:p>
                  <w:pPr>
                    <w:bidi w:val="0"/>
                  </w:pPr>
                  <w:r/>
                  <w:r>
                    <w:rPr>
                      <w:sz w:val="20"/>
                    </w:rPr>
                    <w:t>Published content, archived material, notifications, connections</w:t>
                  </w:r>
                </w:p>
              </w:tc>
            </w:tr>
            <w:tr>
              <w:tc>
                <w:tcPr>
                  <w:tcW w:type="dxa" w:w="3480"/>
                </w:tcPr>
                <w:p>
                  <w:pPr>
                    <w:bidi w:val="0"/>
                  </w:pPr>
                  <w:r/>
                  <w:r>
                    <w:rPr>
                      <w:sz w:val="20"/>
                    </w:rPr>
                    <w:t>Platform</w:t>
                  </w:r>
                </w:p>
              </w:tc>
              <w:tc>
                <w:tcPr>
                  <w:tcW w:type="dxa" w:w="3480"/>
                </w:tcPr>
                <w:p>
                  <w:pPr>
                    <w:bidi w:val="0"/>
                  </w:pPr>
                  <w:r/>
                  <w:r>
                    <w:rPr>
                      <w:sz w:val="20"/>
                    </w:rPr>
                    <w:t>Statistics; system configuration; organisation profile; reference data</w:t>
                  </w:r>
                </w:p>
              </w:tc>
              <w:tc>
                <w:tcPr>
                  <w:tcW w:type="dxa" w:w="3480"/>
                </w:tcPr>
                <w:p>
                  <w:pPr>
                    <w:bidi w:val="0"/>
                  </w:pPr>
                  <w:r/>
                  <w:r>
                    <w:rPr>
                      <w:sz w:val="20"/>
                    </w:rPr>
                    <w:t>Reporting, settings, lookups</w:t>
                  </w:r>
                </w:p>
              </w:tc>
            </w:tr>
            <w:tr>
              <w:tc>
                <w:tcPr>
                  <w:tcW w:type="dxa" w:w="3480"/>
                </w:tcPr>
                <w:p>
                  <w:pPr>
                    <w:bidi w:val="0"/>
                  </w:pPr>
                  <w:r/>
                  <w:r>
                    <w:rPr>
                      <w:sz w:val="20"/>
                    </w:rPr>
                    <w:t>Artificial intelligence</w:t>
                  </w:r>
                </w:p>
              </w:tc>
              <w:tc>
                <w:tcPr>
                  <w:tcW w:type="dxa" w:w="3480"/>
                </w:tcPr>
                <w:p>
                  <w:pPr>
                    <w:bidi w:val="0"/>
                  </w:pPr>
                  <w:r/>
                  <w:r>
                    <w:rPr>
                      <w:sz w:val="20"/>
                    </w:rPr>
                    <w:t>AI</w:t>
                  </w:r>
                </w:p>
              </w:tc>
              <w:tc>
                <w:tcPr>
                  <w:tcW w:type="dxa" w:w="3480"/>
                </w:tcPr>
                <w:p>
                  <w:pPr>
                    <w:bidi w:val="0"/>
                  </w:pPr>
                  <w:r/>
                  <w:r>
                    <w:rPr>
                      <w:sz w:val="20"/>
                    </w:rPr>
                    <w:t>Subtitle import, summary drafting, question filtering, assistants</w:t>
                  </w:r>
                </w:p>
              </w:tc>
            </w:tr>
          </w:tbl>
          <w:p/>
          <w:p>
            <w:pPr/>
          </w:p>
          <w:p>
            <w:pPr>
              <w:jc w:val="both"/>
              <w:bidi w:val="0"/>
            </w:pPr>
            <w:r>
              <w:rPr>
                <w:b w:val="0"/>
                <w:sz w:val="20"/>
              </w:rPr>
              <w:t>Every AI feature runs against the on-site model server in section 1.3. Section 2.8 describes the databases behind these contexts.</w:t>
            </w:r>
          </w:p>
          <w:p>
            <w:pPr>
              <w:jc w:val="left"/>
              <w:bidi w:val="0"/>
            </w:pPr>
            <w:r>
              <w:rPr>
                <w:b/>
                <w:sz w:val="20"/>
              </w:rPr>
              <w:t>Interfaces and scheduled work</w:t>
            </w:r>
          </w:p>
          <w:p>
            <w:pPr>
              <w:jc w:val="both"/>
              <w:bidi w:val="0"/>
            </w:pPr>
            <w:r>
              <w:rPr>
                <w:b w:val="0"/>
                <w:sz w:val="20"/>
              </w:rPr>
              <w:t>One API process publishes two separately gated surfaces. One serves the attendee clients, the mobile application and the public website. The other serves administration, the Control Panel and the badge desk. Both share one response envelope, one error model and one permission model.</w:t>
            </w:r>
          </w:p>
          <w:p>
            <w:pPr>
              <w:jc w:val="both"/>
              <w:bidi w:val="0"/>
            </w:pPr>
            <w:r>
              <w:rPr>
                <w:b w:val="0"/>
                <w:sz w:val="20"/>
              </w:rPr>
              <w:t>The scheduled jobs run inside the API host; there is no worker server. They sweep dormant accounts, close the registration gate and release unclaimed seats before a session starts. Others send session and meeting reminders, issue rating prompts and dispatch e-mail. One node is elected to run the database-driven jobs, so a reminder is issued once for the tier, not per node. If it stops, another takes over within one polling interval. E-mail dispatch runs on every node, each draining its own queue.</w:t>
            </w:r>
          </w:p>
        </w:tc>
      </w:tr>
      <w:tr w:rsidR="00FA332B" w:rsidRPr="00846EC5" w14:paraId="2681275E" w14:textId="77777777" w:rsidTr="00FA332B">
        <w:trPr>
          <w:trHeight w:val="336"/>
        </w:trPr>
        <w:tc>
          <w:tcPr>
            <w:tcW w:w="5000" w:type="pct"/>
            <w:shd w:val="clear" w:color="auto" w:fill="29504D"/>
            <w:vAlign w:val="center"/>
          </w:tcPr>
          <w:p w14:paraId="7488285B" w14:textId="77777777" w:rsidR="00FA332B" w:rsidRDefault="00A93EEA" w:rsidP="00E80022">
            <w:pPr>
              <w:bidi w:val="0"/>
            </w:pPr>
            <w:r>
              <w:lastRenderedPageBreak/>
              <w:t xml:space="preserve">2.3 </w:t>
            </w:r>
            <w:r w:rsidR="00FA332B" w:rsidRPr="00FA332B">
              <w:t>System Workflow</w:t>
            </w:r>
          </w:p>
        </w:tc>
      </w:tr>
      <w:tr w:rsidR="00FA332B" w:rsidRPr="00846EC5" w14:paraId="595B3690" w14:textId="77777777" w:rsidTr="00FA332B">
        <w:trPr>
          <w:trHeight w:val="336"/>
        </w:trPr>
        <w:tc>
          <w:tcPr>
            <w:tcW w:w="5000" w:type="pct"/>
            <w:shd w:val="clear" w:color="auto" w:fill="FFFFFF" w:themeFill="background1"/>
            <w:vAlign w:val="center"/>
          </w:tcPr>
          <w:p>
            <w:pPr>
              <w:jc w:val="both"/>
              <w:bidi w:val="0"/>
            </w:pPr>
            <w:r>
              <w:rPr>
                <w:b w:val="0"/>
                <w:sz w:val="20"/>
              </w:rPr>
              <w:t>Seven workflows are architecturally significant. Figure 2, the system and data flow diagram, shows the processes, stores and trust boundaries these workflows cross. Figure 3, the end-to-end sequence, orders the exchange between the clients, the API and the stores. It covers registration and approval, sign-in with the second factor, and the gate scan.</w:t>
            </w:r>
          </w:p>
          <w:p>
            <w:pPr>
              <w:jc w:val="left"/>
              <w:bidi w:val="0"/>
            </w:pPr>
            <w:r>
              <w:rPr>
                <w:b/>
                <w:sz w:val="20"/>
              </w:rPr>
              <w:t>Registration and approval</w:t>
            </w:r>
          </w:p>
          <w:p>
            <w:pPr>
              <w:jc w:val="both"/>
              <w:bidi w:val="0"/>
            </w:pPr>
            <w:r>
              <w:rPr>
                <w:b w:val="0"/>
                <w:sz w:val="20"/>
              </w:rPr>
              <w:t>1. The visitor signs up in the mobile application.</w:t>
            </w:r>
          </w:p>
          <w:p>
            <w:pPr>
              <w:jc w:val="both"/>
              <w:bidi w:val="0"/>
            </w:pPr>
            <w:r>
              <w:rPr>
                <w:b w:val="0"/>
                <w:sz w:val="20"/>
              </w:rPr>
              <w:t>2. The visitor confirms the e-mail address with a one-time password (OTP).</w:t>
            </w:r>
          </w:p>
          <w:p>
            <w:pPr>
              <w:jc w:val="both"/>
              <w:bidi w:val="0"/>
            </w:pPr>
            <w:r>
              <w:rPr>
                <w:b w:val="0"/>
                <w:sz w:val="20"/>
              </w:rPr>
              <w:t>3. The visitor completes the profile.</w:t>
            </w:r>
          </w:p>
          <w:p>
            <w:pPr>
              <w:jc w:val="both"/>
              <w:bidi w:val="0"/>
            </w:pPr>
            <w:r>
              <w:rPr>
                <w:b w:val="0"/>
                <w:sz w:val="20"/>
              </w:rPr>
              <w:t>4. An administrator reviews the registration in the Control Panel and approves or rejects it.</w:t>
            </w:r>
          </w:p>
          <w:p>
            <w:pPr>
              <w:jc w:val="both"/>
              <w:bidi w:val="0"/>
            </w:pPr>
            <w:r>
              <w:rPr>
                <w:b w:val="0"/>
                <w:sz w:val="20"/>
              </w:rPr>
              <w:t>5. Approval issues a digital quick-response (QR) badge and notifies the visitor.</w:t>
            </w:r>
          </w:p>
          <w:p>
            <w:pPr>
              <w:jc w:val="left"/>
              <w:bidi w:val="0"/>
            </w:pPr>
            <w:r>
              <w:rPr>
                <w:b/>
                <w:sz w:val="20"/>
              </w:rPr>
              <w:t>Sign-in with the second factor</w:t>
            </w:r>
          </w:p>
          <w:p>
            <w:pPr>
              <w:jc w:val="both"/>
              <w:bidi w:val="0"/>
            </w:pPr>
            <w:r>
              <w:rPr>
                <w:b w:val="0"/>
                <w:sz w:val="20"/>
              </w:rPr>
              <w:t>1. The user submits an e-mail address and a password.</w:t>
            </w:r>
          </w:p>
          <w:p>
            <w:pPr>
              <w:jc w:val="both"/>
              <w:bidi w:val="0"/>
            </w:pPr>
            <w:r>
              <w:rPr>
                <w:b w:val="0"/>
                <w:sz w:val="20"/>
              </w:rPr>
              <w:t>2. The user supplies the second factor, which section 2.9 defines.</w:t>
            </w:r>
          </w:p>
          <w:p>
            <w:pPr>
              <w:jc w:val="both"/>
              <w:bidi w:val="0"/>
            </w:pPr>
            <w:r>
              <w:rPr>
                <w:b w:val="0"/>
                <w:sz w:val="20"/>
              </w:rPr>
              <w:t>3. The API validates the factor and returns a short-lived access token with a rotating refresh token.</w:t>
            </w:r>
          </w:p>
          <w:p>
            <w:pPr>
              <w:jc w:val="both"/>
              <w:bidi w:val="0"/>
            </w:pPr>
            <w:r>
              <w:rPr>
                <w:b w:val="0"/>
                <w:sz w:val="20"/>
              </w:rPr>
              <w:t>4. A mobile user may then enrol a biometric device key, which requires an OTP step-up challenge.</w:t>
            </w:r>
          </w:p>
          <w:p>
            <w:pPr>
              <w:jc w:val="left"/>
              <w:bidi w:val="0"/>
            </w:pPr>
            <w:r>
              <w:rPr>
                <w:b/>
                <w:sz w:val="20"/>
              </w:rPr>
              <w:t>Seat reservation</w:t>
            </w:r>
          </w:p>
          <w:p>
            <w:pPr>
              <w:jc w:val="both"/>
              <w:bidi w:val="0"/>
            </w:pPr>
            <w:r>
              <w:rPr>
                <w:b w:val="0"/>
                <w:sz w:val="20"/>
              </w:rPr>
              <w:t>1. The attendee opens a session, then chooses an assigned seat, takes a random seat, or joins open seating with one tap.</w:t>
            </w:r>
          </w:p>
          <w:p>
            <w:pPr>
              <w:jc w:val="both"/>
              <w:bidi w:val="0"/>
            </w:pPr>
            <w:r>
              <w:rPr>
                <w:b w:val="0"/>
                <w:sz w:val="20"/>
              </w:rPr>
              <w:t>2. The API accepts the reservation immediately, with no approval step and no outbound message; the application acknowledges it inline.</w:t>
            </w:r>
          </w:p>
          <w:p>
            <w:pPr>
              <w:jc w:val="both"/>
              <w:bidi w:val="0"/>
            </w:pPr>
            <w:r>
              <w:rPr>
                <w:b w:val="0"/>
                <w:sz w:val="20"/>
              </w:rPr>
              <w:t>3. The hold stays provisional until check-in at the hall gate converts it into a confirmed seat.</w:t>
            </w:r>
          </w:p>
          <w:p>
            <w:pPr>
              <w:jc w:val="both"/>
              <w:bidi w:val="0"/>
            </w:pPr>
            <w:r>
              <w:rPr>
                <w:b w:val="0"/>
                <w:sz w:val="20"/>
              </w:rPr>
              <w:t>4. A sweep shortly before the session releases every hold whose owner has not checked in.</w:t>
            </w:r>
          </w:p>
          <w:p>
            <w:pPr>
              <w:jc w:val="left"/>
              <w:bidi w:val="0"/>
            </w:pPr>
            <w:r>
              <w:rPr>
                <w:b/>
                <w:sz w:val="20"/>
              </w:rPr>
              <w:t>Gate scan</w:t>
            </w:r>
          </w:p>
          <w:p>
            <w:pPr>
              <w:jc w:val="both"/>
              <w:bidi w:val="0"/>
            </w:pPr>
            <w:r>
              <w:rPr>
                <w:b w:val="0"/>
                <w:sz w:val="20"/>
              </w:rPr>
              <w:t>1. A gate operator scans the attendee's QR badge.</w:t>
            </w:r>
          </w:p>
          <w:p>
            <w:pPr>
              <w:jc w:val="both"/>
              <w:bidi w:val="0"/>
            </w:pPr>
            <w:r>
              <w:rPr>
                <w:b w:val="0"/>
                <w:sz w:val="20"/>
              </w:rPr>
              <w:t>2. The API validates the badge, the approval state, and the profile types that gate admits.</w:t>
            </w:r>
          </w:p>
          <w:p>
            <w:pPr>
              <w:jc w:val="both"/>
              <w:bidi w:val="0"/>
            </w:pPr>
            <w:r>
              <w:rPr>
                <w:b w:val="0"/>
                <w:sz w:val="20"/>
              </w:rPr>
              <w:t>3. The API records the scan idempotently and returns an entry or exit outcome.</w:t>
            </w:r>
          </w:p>
          <w:p>
            <w:pPr>
              <w:jc w:val="left"/>
              <w:bidi w:val="0"/>
            </w:pPr>
            <w:r>
              <w:rPr>
                <w:b/>
                <w:sz w:val="20"/>
              </w:rPr>
              <w:t>Live session and moderated questions</w:t>
            </w:r>
          </w:p>
          <w:p>
            <w:pPr>
              <w:jc w:val="both"/>
              <w:bidi w:val="0"/>
            </w:pPr>
            <w:r>
              <w:rPr>
                <w:b w:val="0"/>
                <w:sz w:val="20"/>
              </w:rPr>
              <w:t>1. The attendee opens the session and plays the configured stream.</w:t>
            </w:r>
          </w:p>
          <w:p>
            <w:pPr>
              <w:jc w:val="both"/>
              <w:bidi w:val="0"/>
            </w:pPr>
            <w:r>
              <w:rPr>
                <w:b w:val="0"/>
                <w:sz w:val="20"/>
              </w:rPr>
              <w:t>2. The attendee may submit a question before the session and until it ends.</w:t>
            </w:r>
          </w:p>
          <w:p>
            <w:pPr>
              <w:jc w:val="both"/>
              <w:bidi w:val="0"/>
            </w:pPr>
            <w:r>
              <w:rPr>
                <w:b w:val="0"/>
                <w:sz w:val="20"/>
              </w:rPr>
              <w:t>3. Once live, a hall with a geofence accepts questions only from attendees whose door scan recorded arrival. A hall without one accepts every question.</w:t>
            </w:r>
          </w:p>
          <w:p>
            <w:pPr>
              <w:jc w:val="both"/>
              <w:bidi w:val="0"/>
            </w:pPr>
            <w:r>
              <w:rPr>
                <w:b w:val="0"/>
                <w:sz w:val="20"/>
              </w:rPr>
              <w:t>4. An advisory artificial intelligence (AI) filter tags each question.</w:t>
            </w:r>
          </w:p>
          <w:p>
            <w:pPr>
              <w:jc w:val="both"/>
              <w:bidi w:val="0"/>
            </w:pPr>
            <w:r>
              <w:rPr>
                <w:b w:val="0"/>
                <w:sz w:val="20"/>
              </w:rPr>
              <w:t>5. The Scientific Committee approves, hides or escalates it.</w:t>
            </w:r>
          </w:p>
          <w:p>
            <w:pPr>
              <w:jc w:val="both"/>
              <w:bidi w:val="0"/>
            </w:pPr>
            <w:r>
              <w:rPr>
                <w:b w:val="0"/>
                <w:sz w:val="20"/>
              </w:rPr>
              <w:t>6. The session moderator presents approved questions on stage.</w:t>
            </w:r>
          </w:p>
          <w:p>
            <w:pPr>
              <w:jc w:val="both"/>
              <w:bidi w:val="0"/>
            </w:pPr>
            <w:r>
              <w:rPr>
                <w:b w:val="0"/>
                <w:sz w:val="20"/>
              </w:rPr>
              <w:t>The platform defers automatic arrival detection from device location; the section 3 register records its owner and closing condition.</w:t>
            </w:r>
          </w:p>
          <w:p>
            <w:pPr>
              <w:jc w:val="left"/>
              <w:bidi w:val="0"/>
            </w:pPr>
            <w:r>
              <w:rPr>
                <w:b/>
                <w:sz w:val="20"/>
              </w:rPr>
              <w:t>AI session summary</w:t>
            </w:r>
          </w:p>
          <w:p>
            <w:pPr>
              <w:jc w:val="both"/>
              <w:bidi w:val="0"/>
            </w:pPr>
            <w:r>
              <w:rPr>
                <w:b w:val="0"/>
                <w:sz w:val="20"/>
              </w:rPr>
              <w:t>1. The Control Panel fetches the caption from the published video and hands the subtitle to the API. A team member may paste or upload it instead.</w:t>
            </w:r>
          </w:p>
          <w:p>
            <w:pPr>
              <w:jc w:val="both"/>
              <w:bidi w:val="0"/>
            </w:pPr>
            <w:r>
              <w:rPr>
                <w:b w:val="0"/>
                <w:sz w:val="20"/>
              </w:rPr>
              <w:t>2. The team reviews the subtitle before the API stores it.</w:t>
            </w:r>
          </w:p>
          <w:p>
            <w:pPr>
              <w:jc w:val="both"/>
              <w:bidi w:val="0"/>
            </w:pPr>
            <w:r>
              <w:rPr>
                <w:b w:val="0"/>
                <w:sz w:val="20"/>
              </w:rPr>
              <w:t>3. The API calls the on-site AI service to draft a summary from the subtitle.</w:t>
            </w:r>
          </w:p>
          <w:p>
            <w:pPr>
              <w:jc w:val="both"/>
              <w:bidi w:val="0"/>
            </w:pPr>
            <w:r>
              <w:rPr>
                <w:b w:val="0"/>
                <w:sz w:val="20"/>
              </w:rPr>
              <w:t>4. The Scientific Committee edits and approves the draft, then publishes it only after the session starts.</w:t>
            </w:r>
          </w:p>
          <w:p>
            <w:pPr>
              <w:jc w:val="both"/>
              <w:bidi w:val="0"/>
            </w:pPr>
            <w:r>
              <w:rPr>
                <w:b w:val="0"/>
                <w:sz w:val="20"/>
              </w:rPr>
              <w:t>5. Attendees read the published summary in the application.</w:t>
            </w:r>
          </w:p>
          <w:p>
            <w:pPr>
              <w:jc w:val="left"/>
              <w:bidi w:val="0"/>
            </w:pPr>
            <w:r>
              <w:rPr>
                <w:b/>
                <w:sz w:val="20"/>
              </w:rPr>
              <w:t>Rating and feedback</w:t>
            </w:r>
          </w:p>
          <w:p>
            <w:pPr>
              <w:jc w:val="both"/>
              <w:bidi w:val="0"/>
            </w:pPr>
            <w:r>
              <w:rPr>
                <w:b w:val="0"/>
                <w:sz w:val="20"/>
              </w:rPr>
              <w:t>1. An administrator defines rating types, groups and questions in the Control Panel without a software release.</w:t>
            </w:r>
          </w:p>
          <w:p>
            <w:pPr>
              <w:jc w:val="both"/>
              <w:bidi w:val="0"/>
            </w:pPr>
            <w:r>
              <w:rPr>
                <w:b w:val="0"/>
                <w:sz w:val="20"/>
              </w:rPr>
              <w:t>2. The platform ships five seeded types: App, Session, Forum, Exhibition and Day.</w:t>
            </w:r>
          </w:p>
          <w:p>
            <w:pPr>
              <w:jc w:val="both"/>
              <w:bidi w:val="0"/>
            </w:pPr>
            <w:r>
              <w:rPr>
                <w:b w:val="0"/>
                <w:sz w:val="20"/>
              </w:rPr>
              <w:t>3. Scheduled jobs issue prompts from attendance, per session at its end and per day to that day's arrivals.</w:t>
            </w:r>
          </w:p>
          <w:p>
            <w:pPr>
              <w:jc w:val="both"/>
              <w:bidi w:val="0"/>
            </w:pPr>
            <w:r>
              <w:rPr>
                <w:b w:val="0"/>
                <w:sz w:val="20"/>
              </w:rPr>
              <w:t>4. A closing prompt covers Forum, Exhibition and App.</w:t>
            </w:r>
          </w:p>
          <w:p>
            <w:pPr>
              <w:jc w:val="both"/>
              <w:bidi w:val="0"/>
            </w:pPr>
            <w:r>
              <w:rPr>
                <w:b w:val="0"/>
                <w:sz w:val="20"/>
              </w:rPr>
              <w:t>5. Each type accepts one submission per user; Day accepts one per programme day.</w:t>
            </w:r>
          </w:p>
        </w:tc>
      </w:tr>
    </w:tbl>
    <w:p w14:paraId="1B492614" w14:textId="77777777" w:rsidR="006B7143" w:rsidRDefault="006B7143" w:rsidP="00E80022">
      <w:pPr>
        <w:bidi w:val="0"/>
        <w:sectPr w:rsidR="006B7143" w:rsidSect="00E80022">
          <w:headerReference w:type="even" r:id="rId8"/>
          <w:headerReference w:type="default" r:id="rId9"/>
          <w:footerReference w:type="default" r:id="rId10"/>
          <w:headerReference w:type="first" r:id="rId11"/>
          <w:pgSz w:w="12240" w:h="15840"/>
          <w:pgMar w:top="1440" w:right="1440" w:bottom="1440" w:left="1440" w:header="576" w:footer="0" w:gutter="0"/>
          <w:pgBorders w:offsetFrom="page">
            <w:top w:val="single" w:sz="4" w:space="24" w:color="auto"/>
            <w:left w:val="single" w:sz="4" w:space="24" w:color="auto"/>
            <w:bottom w:val="single" w:sz="4" w:space="24" w:color="auto"/>
            <w:right w:val="single" w:sz="4" w:space="24" w:color="auto"/>
          </w:pgBorders>
          <w:cols w:space="720"/>
          <w:docGrid w:linePitch="381"/>
        </w:sectPr>
      </w:pPr>
    </w:p>
    <w:p w14:paraId="60469917" w14:textId="27819132" w:rsidR="006B7143" w:rsidRDefault="00E117F4" w:rsidP="00E117F4">
      <w:pPr>
        <w:bidi w:val="0"/>
        <w:ind w:right="648"/>
      </w:pPr>
      <w:r>
        <w:rPr>
          <w:noProof/>
        </w:rPr>
        <w:lastRenderedPageBreak/>
        <w:drawing>
          <wp:anchor distT="0" distB="0" distL="114300" distR="114300" simplePos="0" relativeHeight="251658240" behindDoc="1" locked="0" layoutInCell="1" allowOverlap="1" wp14:anchorId="1E9D07EF" wp14:editId="2F2064BF">
            <wp:simplePos x="0" y="0"/>
            <wp:positionH relativeFrom="page">
              <wp:posOffset>238627</wp:posOffset>
            </wp:positionH>
            <wp:positionV relativeFrom="paragraph">
              <wp:posOffset>322</wp:posOffset>
            </wp:positionV>
            <wp:extent cx="7144385" cy="6282690"/>
            <wp:effectExtent l="0" t="0" r="0" b="3810"/>
            <wp:wrapTight wrapText="bothSides">
              <wp:wrapPolygon edited="0">
                <wp:start x="0" y="0"/>
                <wp:lineTo x="0" y="21548"/>
                <wp:lineTo x="21540" y="21548"/>
                <wp:lineTo x="2154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HLD-004-Fig1-Network-Deploymen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144385" cy="6282690"/>
                    </a:xfrm>
                    <a:prstGeom prst="rect">
                      <a:avLst/>
                    </a:prstGeom>
                  </pic:spPr>
                </pic:pic>
              </a:graphicData>
            </a:graphic>
            <wp14:sizeRelH relativeFrom="page">
              <wp14:pctWidth>0</wp14:pctWidth>
            </wp14:sizeRelH>
            <wp14:sizeRelV relativeFrom="page">
              <wp14:pctHeight>0</wp14:pctHeight>
            </wp14:sizeRelV>
          </wp:anchor>
        </w:drawing>
      </w:r>
      <w:r w:rsidR="00000000">
        <w:t xml:space="preserve">Figure 1. Deployment, security areas and network zones. A UML deployment diagram with one box per hosting server. Each host sits in its network zone, both firewalls carry the rule they enforce, and every connection carries its protocol and port.</w:t>
      </w:r>
      <w:proofErr w:type="spellStart"/>
      <w:r w:rsidR="00000000"/>
      <w:proofErr w:type="spellEnd"/>
      <w:r w:rsidR="00000000"/>
    </w:p>
    <w:p w14:paraId="4F324C99" w14:textId="77777777" w:rsidR="00E117F4" w:rsidRDefault="00E117F4" w:rsidP="00E117F4">
      <w:pPr>
        <w:bidi w:val="0"/>
        <w:ind w:right="648"/>
      </w:pPr>
    </w:p>
    <w:p w14:paraId="009E0137" w14:textId="2B3321F4" w:rsidR="006B7143" w:rsidRDefault="006B7143" w:rsidP="0095573C">
      <w:pPr>
        <w:bidi w:val="0"/>
      </w:pPr>
    </w:p>
    <w:p w14:paraId="7F1E69FA" w14:textId="77777777" w:rsidR="00E117F4" w:rsidRDefault="00E117F4" w:rsidP="00E117F4">
      <w:pPr>
        <w:bidi w:val="0"/>
      </w:pPr>
    </w:p>
    <w:p w14:paraId="4B90CE34" w14:textId="77777777" w:rsidR="00E117F4" w:rsidRDefault="00E117F4" w:rsidP="00E117F4">
      <w:pPr>
        <w:bidi w:val="0"/>
      </w:pPr>
    </w:p>
    <w:p w14:paraId="70666E00" w14:textId="77777777" w:rsidR="00E117F4" w:rsidRDefault="00E117F4" w:rsidP="00E117F4">
      <w:pPr>
        <w:bidi w:val="0"/>
      </w:pPr>
    </w:p>
    <w:p w14:paraId="4C5F126F" w14:textId="77777777" w:rsidR="00E117F4" w:rsidRDefault="00E117F4" w:rsidP="00E117F4">
      <w:pPr>
        <w:bidi w:val="0"/>
      </w:pPr>
    </w:p>
    <w:p w14:paraId="69C16F32" w14:textId="77777777" w:rsidR="00E117F4" w:rsidRDefault="00E117F4" w:rsidP="00E117F4">
      <w:pPr>
        <w:bidi w:val="0"/>
      </w:pPr>
    </w:p>
    <w:p w14:paraId="2267B39A" w14:textId="77777777" w:rsidR="00E117F4" w:rsidRDefault="00E117F4" w:rsidP="00E117F4">
      <w:pPr>
        <w:bidi w:val="0"/>
      </w:pPr>
    </w:p>
    <w:p w14:paraId="6969322D" w14:textId="421C455D" w:rsidR="00E117F4" w:rsidRDefault="00E117F4" w:rsidP="00E117F4">
      <w:pPr>
        <w:bidi w:val="0"/>
      </w:pPr>
      <w:r>
        <w:rPr>
          <w:noProof/>
        </w:rPr>
        <w:lastRenderedPageBreak/>
        <w:drawing>
          <wp:anchor distT="0" distB="0" distL="114300" distR="114300" simplePos="0" relativeHeight="251662336" behindDoc="1" locked="0" layoutInCell="1" allowOverlap="1" wp14:anchorId="180D5D0A" wp14:editId="3ACEC853">
            <wp:simplePos x="0" y="0"/>
            <wp:positionH relativeFrom="page">
              <wp:posOffset>245612</wp:posOffset>
            </wp:positionH>
            <wp:positionV relativeFrom="paragraph">
              <wp:posOffset>255905</wp:posOffset>
            </wp:positionV>
            <wp:extent cx="7315200" cy="7239635"/>
            <wp:effectExtent l="0" t="0" r="0" b="0"/>
            <wp:wrapTight wrapText="bothSides">
              <wp:wrapPolygon edited="0">
                <wp:start x="0" y="0"/>
                <wp:lineTo x="0" y="21541"/>
                <wp:lineTo x="21544" y="21541"/>
                <wp:lineTo x="2154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HLD-004-Fig2-Component-Interactio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15200" cy="7239635"/>
                    </a:xfrm>
                    <a:prstGeom prst="rect">
                      <a:avLst/>
                    </a:prstGeom>
                  </pic:spPr>
                </pic:pic>
              </a:graphicData>
            </a:graphic>
            <wp14:sizeRelH relativeFrom="page">
              <wp14:pctWidth>0</wp14:pctWidth>
            </wp14:sizeRelH>
            <wp14:sizeRelV relativeFrom="page">
              <wp14:pctHeight>0</wp14:pctHeight>
            </wp14:sizeRelV>
          </wp:anchor>
        </w:drawing>
      </w:r>
    </w:p>
    <w:p w14:paraId="48A146BD" w14:textId="2C93EDF3" w:rsidR="006B7143" w:rsidRDefault="00000000" w:rsidP="00E80022">
      <w:pPr>
        <w:bidi w:val="0"/>
      </w:pPr>
      <w:r>
        <w:t xml:space="preserve">Figure 2. System and data flow. A data flow diagram in Gane and Sarson notation: a level 0 context view of the platform and its external parties, and a level 1 decomposition that balances with it. Every flow that leaves the ministry network is drawn.</w:t>
      </w:r>
    </w:p>
    <w:p w14:paraId="60469917" w14:textId="27819132" w:rsidR="006B7143" w:rsidRDefault="00E117F4" w:rsidP="00E117F4">
      <w:pPr>
        <w:bidi w:val="0"/>
        <w:ind w:right="648"/>
      </w:pPr>
      <w:r>
        <w:rPr>
          <w:noProof/>
        </w:rPr>
        <w:lastRenderedPageBreak/>
        <w:drawing>
          <wp:inline xmlns:a="http://schemas.openxmlformats.org/drawingml/2006/main" xmlns:pic="http://schemas.openxmlformats.org/drawingml/2006/picture">
            <wp:extent cx="7376795" cy="6324079"/>
            <wp:docPr id="3" name="SIMF-Figure-3-Sequence"/>
            <wp:cNvGraphicFramePr>
              <a:graphicFrameLocks noChangeAspect="1"/>
            </wp:cNvGraphicFramePr>
            <a:graphic>
              <a:graphicData uri="http://schemas.openxmlformats.org/drawingml/2006/picture">
                <pic:pic>
                  <pic:nvPicPr>
                    <pic:cNvPr id="0" name="SIMF-Fig9-Phase-One-Sequence.png"/>
                    <pic:cNvPicPr/>
                  </pic:nvPicPr>
                  <pic:blipFill>
                    <a:blip r:embed="rId25"/>
                    <a:stretch>
                      <a:fillRect/>
                    </a:stretch>
                  </pic:blipFill>
                  <pic:spPr>
                    <a:xfrm>
                      <a:off x="0" y="0"/>
                      <a:ext cx="7376795" cy="6324079"/>
                    </a:xfrm>
                    <a:prstGeom prst="rect"/>
                  </pic:spPr>
                </pic:pic>
              </a:graphicData>
            </a:graphic>
          </wp:inline>
        </w:drawing>
      </w:r>
      <w:r w:rsidR="00000000">
        <w:t xml:space="preserve">Figure 3. End-to-end sequence. A UML sequence diagram over nine participants, with ordered messages each carrying its protocol and port, covering registration and approval, sign-in with the second factor, and the gate scan.</w:t>
      </w:r>
      <w:proofErr w:type="spellStart"/>
      <w:r w:rsidR="00000000"/>
      <w:proofErr w:type="spellEnd"/>
      <w:r w:rsidR="00000000"/>
    </w:p>
    <w:p w14:paraId="6E239D7F" w14:textId="14BE22F9" w:rsidR="006B7143" w:rsidRDefault="006B7143" w:rsidP="00E80022">
      <w:pPr>
        <w:bidi w:val="0"/>
      </w:pPr>
    </w:p>
    <w:p w14:paraId="675DF876" w14:textId="77777777" w:rsidR="006B7143" w:rsidRDefault="006B7143" w:rsidP="00E80022">
      <w:pPr>
        <w:bidi w:val="0"/>
        <w:sectPr w:rsidR="006B7143" w:rsidSect="0095573C">
          <w:headerReference w:type="even" r:id="rId15"/>
          <w:headerReference w:type="default" r:id="rId16"/>
          <w:footerReference w:type="default" r:id="rId17"/>
          <w:headerReference w:type="first" r:id="rId18"/>
          <w:pgSz w:w="12240" w:h="15840"/>
          <w:pgMar w:top="576" w:right="432" w:bottom="576" w:left="900" w:header="216" w:footer="216" w:gutter="0"/>
          <w:pgBorders w:offsetFrom="page">
            <w:top w:val="single" w:sz="4" w:space="24" w:color="auto"/>
            <w:left w:val="single" w:sz="4" w:space="24" w:color="auto"/>
            <w:bottom w:val="single" w:sz="4" w:space="24" w:color="auto"/>
            <w:right w:val="single" w:sz="4" w:space="24" w:color="auto"/>
          </w:pgBorders>
          <w:cols w:space="720"/>
          <w:docGrid w:linePitch="381"/>
        </w:sect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1208"/>
      </w:tblGrid>
      <w:tr w:rsidR="00FA332B" w:rsidRPr="00846EC5" w14:paraId="1117F15B" w14:textId="77777777" w:rsidTr="00FA332B">
        <w:trPr>
          <w:trHeight w:val="336"/>
        </w:trPr>
        <w:tc>
          <w:tcPr>
            <w:tcW w:w="5000" w:type="pct"/>
            <w:shd w:val="clear" w:color="auto" w:fill="29504D"/>
            <w:vAlign w:val="center"/>
          </w:tcPr>
          <w:p w14:paraId="1B11B34A" w14:textId="70A513CB" w:rsidR="00FA332B" w:rsidRDefault="00A93EEA" w:rsidP="00E80022">
            <w:pPr>
              <w:bidi w:val="0"/>
            </w:pPr>
            <w:r>
              <w:lastRenderedPageBreak/>
              <w:t xml:space="preserve">2.4 </w:t>
            </w:r>
            <w:r w:rsidR="00FA332B" w:rsidRPr="00FA332B">
              <w:t>Integration and Interfaces</w:t>
            </w:r>
          </w:p>
        </w:tc>
      </w:tr>
      <w:tr w:rsidR="00FA332B" w:rsidRPr="00846EC5" w14:paraId="5CE15907" w14:textId="77777777" w:rsidTr="00FA332B">
        <w:trPr>
          <w:trHeight w:val="336"/>
        </w:trPr>
        <w:tc>
          <w:tcPr>
            <w:tcW w:w="5000" w:type="pct"/>
            <w:shd w:val="clear" w:color="auto" w:fill="FFFFFF" w:themeFill="background1"/>
            <w:vAlign w:val="center"/>
          </w:tcPr>
          <w:p>
            <w:pPr>
              <w:jc w:val="both"/>
              <w:bidi w:val="0"/>
            </w:pPr>
            <w:r>
              <w:rPr>
                <w:b w:val="0"/>
                <w:sz w:val="20"/>
              </w:rPr>
              <w:t>The platform sends no personal or confidential data beyond the ministry network.</w:t>
            </w:r>
          </w:p>
          <w:p>
            <w:pPr>
              <w:jc w:val="both"/>
              <w:bidi w:val="0"/>
            </w:pPr>
            <w:r>
              <w:rPr>
                <w:b w:val="0"/>
                <w:sz w:val="20"/>
              </w:rPr>
              <w:t>The platform holds ten interfaces, eight internal, one outbound and one on the attendee's device. The communication matrix in 2.8 carries the protocol and port of each one.</w:t>
            </w:r>
          </w:p>
          <w:tbl>
            <w:tblPr>
              <w:tblStyle w:val="TableGrid"/>
              <w:tblLayout w:type="autofit"/>
              <w:tblLook w:firstColumn="1" w:firstRow="1" w:lastColumn="0" w:lastRow="0" w:noHBand="0" w:noVBand="1" w:val="04A0"/>
              <w:tblW w:w="5000" w:type="pct"/>
            </w:tblPr>
            <w:tblGrid>
              <w:gridCol w:w="1491"/>
              <w:gridCol w:w="1491"/>
              <w:gridCol w:w="1491"/>
              <w:gridCol w:w="1491"/>
              <w:gridCol w:w="1491"/>
              <w:gridCol w:w="1491"/>
              <w:gridCol w:w="1491"/>
            </w:tblGrid>
            <w:tr>
              <w:tc>
                <w:tcPr>
                  <w:tcW w:type="dxa" w:w="206"/>
                </w:tcPr>
                <w:p>
                  <w:pPr>
                    <w:bidi w:val="0"/>
                  </w:pPr>
                  <w:r/>
                  <w:r>
                    <w:rPr>
                      <w:b/>
                      <w:sz w:val="20"/>
                    </w:rPr>
                    <w:t>Interface</w:t>
                  </w:r>
                </w:p>
              </w:tc>
              <w:tc>
                <w:tcPr>
                  <w:tcW w:type="dxa" w:w="206"/>
                </w:tcPr>
                <w:p>
                  <w:pPr>
                    <w:bidi w:val="0"/>
                  </w:pPr>
                  <w:r/>
                  <w:r>
                    <w:rPr>
                      <w:b/>
                      <w:sz w:val="20"/>
                    </w:rPr>
                    <w:t>Direction</w:t>
                  </w:r>
                </w:p>
              </w:tc>
              <w:tc>
                <w:tcPr>
                  <w:tcW w:type="dxa" w:w="206"/>
                </w:tcPr>
                <w:p>
                  <w:pPr>
                    <w:bidi w:val="0"/>
                  </w:pPr>
                  <w:r/>
                  <w:r>
                    <w:rPr>
                      <w:b/>
                      <w:sz w:val="20"/>
                    </w:rPr>
                    <w:t>Protocol and port</w:t>
                  </w:r>
                </w:p>
              </w:tc>
              <w:tc>
                <w:tcPr>
                  <w:tcW w:type="dxa" w:w="206"/>
                </w:tcPr>
                <w:p>
                  <w:pPr>
                    <w:bidi w:val="0"/>
                  </w:pPr>
                  <w:r/>
                  <w:r>
                    <w:rPr>
                      <w:b/>
                      <w:sz w:val="20"/>
                    </w:rPr>
                    <w:t>Payload</w:t>
                  </w:r>
                </w:p>
              </w:tc>
              <w:tc>
                <w:tcPr>
                  <w:tcW w:type="dxa" w:w="206"/>
                </w:tcPr>
                <w:p>
                  <w:pPr>
                    <w:bidi w:val="0"/>
                  </w:pPr>
                  <w:r/>
                  <w:r>
                    <w:rPr>
                      <w:b/>
                      <w:sz w:val="20"/>
                    </w:rPr>
                    <w:t>Authentication</w:t>
                  </w:r>
                </w:p>
              </w:tc>
              <w:tc>
                <w:tcPr>
                  <w:tcW w:type="dxa" w:w="206"/>
                </w:tcPr>
                <w:p>
                  <w:pPr>
                    <w:bidi w:val="0"/>
                  </w:pPr>
                  <w:r/>
                  <w:r>
                    <w:rPr>
                      <w:b/>
                      <w:sz w:val="20"/>
                    </w:rPr>
                    <w:t>Failure behaviour</w:t>
                  </w:r>
                </w:p>
              </w:tc>
              <w:tc>
                <w:tcPr>
                  <w:tcW w:type="dxa" w:w="206"/>
                </w:tcPr>
                <w:p>
                  <w:pPr>
                    <w:bidi w:val="0"/>
                  </w:pPr>
                  <w:r/>
                  <w:r>
                    <w:rPr>
                      <w:b/>
                      <w:sz w:val="20"/>
                    </w:rPr>
                    <w:t>Status</w:t>
                  </w:r>
                </w:p>
              </w:tc>
            </w:tr>
            <w:tr>
              <w:tc>
                <w:tcPr>
                  <w:tcW w:type="dxa" w:w="1491"/>
                </w:tcPr>
                <w:p>
                  <w:pPr>
                    <w:bidi w:val="0"/>
                  </w:pPr>
                  <w:r/>
                  <w:r>
                    <w:rPr>
                      <w:sz w:val="20"/>
                    </w:rPr>
                    <w:t>Client applications to API</w:t>
                  </w:r>
                </w:p>
              </w:tc>
              <w:tc>
                <w:tcPr>
                  <w:tcW w:type="dxa" w:w="1491"/>
                </w:tcPr>
                <w:p>
                  <w:pPr>
                    <w:bidi w:val="0"/>
                  </w:pPr>
                  <w:r/>
                  <w:r>
                    <w:rPr>
                      <w:sz w:val="20"/>
                    </w:rPr>
                    <w:t>Inbound</w:t>
                  </w:r>
                </w:p>
              </w:tc>
              <w:tc>
                <w:tcPr>
                  <w:tcW w:type="dxa" w:w="1491"/>
                </w:tcPr>
                <w:p>
                  <w:pPr>
                    <w:bidi w:val="0"/>
                  </w:pPr>
                  <w:r/>
                  <w:r>
                    <w:rPr>
                      <w:sz w:val="20"/>
                    </w:rPr>
                    <w:t>(2.8)</w:t>
                  </w:r>
                </w:p>
              </w:tc>
              <w:tc>
                <w:tcPr>
                  <w:tcW w:type="dxa" w:w="1491"/>
                </w:tcPr>
                <w:p>
                  <w:pPr>
                    <w:bidi w:val="0"/>
                  </w:pPr>
                  <w:r/>
                  <w:r>
                    <w:rPr>
                      <w:sz w:val="20"/>
                    </w:rPr>
                    <w:t>ApiResult envelope</w:t>
                  </w:r>
                </w:p>
              </w:tc>
              <w:tc>
                <w:tcPr>
                  <w:tcW w:type="dxa" w:w="1491"/>
                </w:tcPr>
                <w:p>
                  <w:pPr>
                    <w:bidi w:val="0"/>
                  </w:pPr>
                  <w:r/>
                  <w:r>
                    <w:rPr>
                      <w:sz w:val="20"/>
                    </w:rPr>
                    <w:t>JSON Web Token (JWT) bearer, protected routes</w:t>
                  </w:r>
                </w:p>
              </w:tc>
              <w:tc>
                <w:tcPr>
                  <w:tcW w:type="dxa" w:w="1491"/>
                </w:tcPr>
                <w:p>
                  <w:pPr>
                    <w:bidi w:val="0"/>
                  </w:pPr>
                  <w:r/>
                  <w:r>
                    <w:rPr>
                      <w:sz w:val="20"/>
                    </w:rPr>
                    <w:t>Coded bilingual failure envelope</w:t>
                  </w:r>
                </w:p>
              </w:tc>
              <w:tc>
                <w:tcPr>
                  <w:tcW w:type="dxa" w:w="1491"/>
                </w:tcPr>
                <w:p>
                  <w:pPr>
                    <w:bidi w:val="0"/>
                  </w:pPr>
                  <w:r/>
                  <w:r>
                    <w:rPr>
                      <w:sz w:val="20"/>
                    </w:rPr>
                    <w:t>Pending: WAF appliance (SITE)</w:t>
                  </w:r>
                </w:p>
              </w:tc>
            </w:tr>
            <w:tr>
              <w:tc>
                <w:tcPr>
                  <w:tcW w:type="dxa" w:w="1491"/>
                </w:tcPr>
                <w:p>
                  <w:pPr>
                    <w:bidi w:val="0"/>
                  </w:pPr>
                  <w:r/>
                  <w:r>
                    <w:rPr>
                      <w:sz w:val="20"/>
                    </w:rPr>
                    <w:t>Control Panel and Website to API</w:t>
                  </w:r>
                </w:p>
              </w:tc>
              <w:tc>
                <w:tcPr>
                  <w:tcW w:type="dxa" w:w="1491"/>
                </w:tcPr>
                <w:p>
                  <w:pPr>
                    <w:bidi w:val="0"/>
                  </w:pPr>
                  <w:r/>
                  <w:r>
                    <w:rPr>
                      <w:sz w:val="20"/>
                    </w:rPr>
                    <w:t>Server to server</w:t>
                  </w:r>
                </w:p>
              </w:tc>
              <w:tc>
                <w:tcPr>
                  <w:tcW w:type="dxa" w:w="1491"/>
                </w:tcPr>
                <w:p>
                  <w:pPr>
                    <w:bidi w:val="0"/>
                  </w:pPr>
                  <w:r/>
                  <w:r>
                    <w:rPr>
                      <w:sz w:val="20"/>
                    </w:rPr>
                    <w:t>(2.8)</w:t>
                  </w:r>
                </w:p>
              </w:tc>
              <w:tc>
                <w:tcPr>
                  <w:tcW w:type="dxa" w:w="1491"/>
                </w:tcPr>
                <w:p>
                  <w:pPr>
                    <w:bidi w:val="0"/>
                  </w:pPr>
                  <w:r/>
                  <w:r>
                    <w:rPr>
                      <w:sz w:val="20"/>
                    </w:rPr>
                    <w:t>Same envelope, typed client</w:t>
                  </w:r>
                </w:p>
              </w:tc>
              <w:tc>
                <w:tcPr>
                  <w:tcW w:type="dxa" w:w="1491"/>
                </w:tcPr>
                <w:p>
                  <w:pPr>
                    <w:bidi w:val="0"/>
                  </w:pPr>
                  <w:r/>
                  <w:r>
                    <w:rPr>
                      <w:sz w:val="20"/>
                    </w:rPr>
                    <w:t>Encrypted cookie, no browser token</w:t>
                  </w:r>
                </w:p>
              </w:tc>
              <w:tc>
                <w:tcPr>
                  <w:tcW w:type="dxa" w:w="1491"/>
                </w:tcPr>
                <w:p>
                  <w:pPr>
                    <w:bidi w:val="0"/>
                  </w:pPr>
                  <w:r/>
                  <w:r>
                    <w:rPr>
                      <w:sz w:val="20"/>
                    </w:rPr>
                    <w:t>Failed envelope, no exception</w:t>
                  </w:r>
                </w:p>
              </w:tc>
              <w:tc>
                <w:tcPr>
                  <w:tcW w:type="dxa" w:w="1491"/>
                </w:tcPr>
                <w:p>
                  <w:pPr>
                    <w:bidi w:val="0"/>
                  </w:pPr>
                  <w:r/>
                  <w:r>
                    <w:rPr>
                      <w:sz w:val="20"/>
                    </w:rPr>
                    <w:t>Agreed</w:t>
                  </w:r>
                </w:p>
              </w:tc>
            </w:tr>
            <w:tr>
              <w:tc>
                <w:tcPr>
                  <w:tcW w:type="dxa" w:w="1491"/>
                </w:tcPr>
                <w:p>
                  <w:pPr>
                    <w:bidi w:val="0"/>
                  </w:pPr>
                  <w:r/>
                  <w:r>
                    <w:rPr>
                      <w:sz w:val="20"/>
                    </w:rPr>
                    <w:t>Mobile app to mobile edge</w:t>
                  </w:r>
                </w:p>
              </w:tc>
              <w:tc>
                <w:tcPr>
                  <w:tcW w:type="dxa" w:w="1491"/>
                </w:tcPr>
                <w:p>
                  <w:pPr>
                    <w:bidi w:val="0"/>
                  </w:pPr>
                  <w:r/>
                  <w:r>
                    <w:rPr>
                      <w:sz w:val="20"/>
                    </w:rPr>
                    <w:t>Device to edge</w:t>
                  </w:r>
                </w:p>
              </w:tc>
              <w:tc>
                <w:tcPr>
                  <w:tcW w:type="dxa" w:w="1491"/>
                </w:tcPr>
                <w:p>
                  <w:pPr>
                    <w:bidi w:val="0"/>
                  </w:pPr>
                  <w:r/>
                  <w:r>
                    <w:rPr>
                      <w:sz w:val="20"/>
                    </w:rPr>
                    <w:t>(2.8)</w:t>
                  </w:r>
                </w:p>
              </w:tc>
              <w:tc>
                <w:tcPr>
                  <w:tcW w:type="dxa" w:w="1491"/>
                </w:tcPr>
                <w:p>
                  <w:pPr>
                    <w:bidi w:val="0"/>
                  </w:pPr>
                  <w:r/>
                  <w:r>
                    <w:rPr>
                      <w:sz w:val="20"/>
                    </w:rPr>
                    <w:t>TBD, Apexium</w:t>
                  </w:r>
                </w:p>
              </w:tc>
              <w:tc>
                <w:tcPr>
                  <w:tcW w:type="dxa" w:w="1491"/>
                </w:tcPr>
                <w:p>
                  <w:pPr>
                    <w:bidi w:val="0"/>
                  </w:pPr>
                  <w:r/>
                  <w:r>
                    <w:rPr>
                      <w:sz w:val="20"/>
                    </w:rPr>
                    <w:t>TBD, Apexium</w:t>
                  </w:r>
                </w:p>
              </w:tc>
              <w:tc>
                <w:tcPr>
                  <w:tcW w:type="dxa" w:w="1491"/>
                </w:tcPr>
                <w:p>
                  <w:pPr>
                    <w:bidi w:val="0"/>
                  </w:pPr>
                  <w:r/>
                  <w:r>
                    <w:rPr>
                      <w:sz w:val="20"/>
                    </w:rPr>
                    <w:t>TBD, Apexium</w:t>
                  </w:r>
                </w:p>
              </w:tc>
              <w:tc>
                <w:tcPr>
                  <w:tcW w:type="dxa" w:w="1491"/>
                </w:tcPr>
                <w:p>
                  <w:pPr>
                    <w:bidi w:val="0"/>
                  </w:pPr>
                  <w:r/>
                  <w:r>
                    <w:rPr>
                      <w:sz w:val="20"/>
                    </w:rPr>
                    <w:t>Pending: payload, authentication</w:t>
                  </w:r>
                </w:p>
              </w:tc>
            </w:tr>
            <w:tr>
              <w:tc>
                <w:tcPr>
                  <w:tcW w:type="dxa" w:w="1491"/>
                </w:tcPr>
                <w:p>
                  <w:pPr>
                    <w:bidi w:val="0"/>
                  </w:pPr>
                  <w:r/>
                  <w:r>
                    <w:rPr>
                      <w:sz w:val="20"/>
                    </w:rPr>
                    <w:t>Badge desk to admin API</w:t>
                  </w:r>
                </w:p>
              </w:tc>
              <w:tc>
                <w:tcPr>
                  <w:tcW w:type="dxa" w:w="1491"/>
                </w:tcPr>
                <w:p>
                  <w:pPr>
                    <w:bidi w:val="0"/>
                  </w:pPr>
                  <w:r/>
                  <w:r>
                    <w:rPr>
                      <w:sz w:val="20"/>
                    </w:rPr>
                    <w:t>On-site client</w:t>
                  </w:r>
                </w:p>
              </w:tc>
              <w:tc>
                <w:tcPr>
                  <w:tcW w:type="dxa" w:w="1491"/>
                </w:tcPr>
                <w:p>
                  <w:pPr>
                    <w:bidi w:val="0"/>
                  </w:pPr>
                  <w:r/>
                  <w:r>
                    <w:rPr>
                      <w:sz w:val="20"/>
                    </w:rPr>
                    <w:t>(2.8)</w:t>
                  </w:r>
                </w:p>
              </w:tc>
              <w:tc>
                <w:tcPr>
                  <w:tcW w:type="dxa" w:w="1491"/>
                </w:tcPr>
                <w:p>
                  <w:pPr>
                    <w:bidi w:val="0"/>
                  </w:pPr>
                  <w:r/>
                  <w:r>
                    <w:rPr>
                      <w:sz w:val="20"/>
                    </w:rPr>
                    <w:t>One batch per shift</w:t>
                  </w:r>
                </w:p>
              </w:tc>
              <w:tc>
                <w:tcPr>
                  <w:tcW w:type="dxa" w:w="1491"/>
                </w:tcPr>
                <w:p>
                  <w:pPr>
                    <w:bidi w:val="0"/>
                  </w:pPr>
                  <w:r/>
                  <w:r>
                    <w:rPr>
                      <w:sz w:val="20"/>
                    </w:rPr>
                    <w:t>TBD, Apexium</w:t>
                  </w:r>
                </w:p>
              </w:tc>
              <w:tc>
                <w:tcPr>
                  <w:tcW w:type="dxa" w:w="1491"/>
                </w:tcPr>
                <w:p>
                  <w:pPr>
                    <w:bidi w:val="0"/>
                  </w:pPr>
                  <w:r/>
                  <w:r>
                    <w:rPr>
                      <w:sz w:val="20"/>
                    </w:rPr>
                    <w:t>Failure envelope (2.5)</w:t>
                  </w:r>
                </w:p>
              </w:tc>
              <w:tc>
                <w:tcPr>
                  <w:tcW w:type="dxa" w:w="1491"/>
                </w:tcPr>
                <w:p>
                  <w:pPr>
                    <w:bidi w:val="0"/>
                  </w:pPr>
                  <w:r/>
                  <w:r>
                    <w:rPr>
                      <w:sz w:val="20"/>
                    </w:rPr>
                    <w:t>Pending: authentication</w:t>
                  </w:r>
                </w:p>
              </w:tc>
            </w:tr>
            <w:tr>
              <w:tc>
                <w:tcPr>
                  <w:tcW w:type="dxa" w:w="1491"/>
                </w:tcPr>
                <w:p>
                  <w:pPr>
                    <w:bidi w:val="0"/>
                  </w:pPr>
                  <w:r/>
                  <w:r>
                    <w:rPr>
                      <w:sz w:val="20"/>
                    </w:rPr>
                    <w:t>API to SQL Server</w:t>
                  </w:r>
                </w:p>
              </w:tc>
              <w:tc>
                <w:tcPr>
                  <w:tcW w:type="dxa" w:w="1491"/>
                </w:tcPr>
                <w:p>
                  <w:pPr>
                    <w:bidi w:val="0"/>
                  </w:pPr>
                  <w:r/>
                  <w:r>
                    <w:rPr>
                      <w:sz w:val="20"/>
                    </w:rPr>
                    <w:t>API to database tier</w:t>
                  </w:r>
                </w:p>
              </w:tc>
              <w:tc>
                <w:tcPr>
                  <w:tcW w:type="dxa" w:w="1491"/>
                </w:tcPr>
                <w:p>
                  <w:pPr>
                    <w:bidi w:val="0"/>
                  </w:pPr>
                  <w:r/>
                  <w:r>
                    <w:rPr>
                      <w:sz w:val="20"/>
                    </w:rPr>
                    <w:t>(2.8)</w:t>
                  </w:r>
                </w:p>
              </w:tc>
              <w:tc>
                <w:tcPr>
                  <w:tcW w:type="dxa" w:w="1491"/>
                </w:tcPr>
                <w:p>
                  <w:pPr>
                    <w:bidi w:val="0"/>
                  </w:pPr>
                  <w:r/>
                  <w:r>
                    <w:rPr>
                      <w:sz w:val="20"/>
                    </w:rPr>
                    <w:t>EF Core, two databases (2.8)</w:t>
                  </w:r>
                </w:p>
              </w:tc>
              <w:tc>
                <w:tcPr>
                  <w:tcW w:type="dxa" w:w="1491"/>
                </w:tcPr>
                <w:p>
                  <w:pPr>
                    <w:bidi w:val="0"/>
                  </w:pPr>
                  <w:r/>
                  <w:r>
                    <w:rPr>
                      <w:sz w:val="20"/>
                    </w:rPr>
                    <w:t>Least-privilege account (2.9)</w:t>
                  </w:r>
                </w:p>
              </w:tc>
              <w:tc>
                <w:tcPr>
                  <w:tcW w:type="dxa" w:w="1491"/>
                </w:tcPr>
                <w:p>
                  <w:pPr>
                    <w:bidi w:val="0"/>
                  </w:pPr>
                  <w:r/>
                  <w:r>
                    <w:rPr>
                      <w:sz w:val="20"/>
                    </w:rPr>
                    <w:t>No silent fallback (2.5)</w:t>
                  </w:r>
                </w:p>
              </w:tc>
              <w:tc>
                <w:tcPr>
                  <w:tcW w:type="dxa" w:w="1491"/>
                </w:tcPr>
                <w:p>
                  <w:pPr>
                    <w:bidi w:val="0"/>
                  </w:pPr>
                  <w:r/>
                  <w:r>
                    <w:rPr>
                      <w:sz w:val="20"/>
                    </w:rPr>
                    <w:t>Pending: quorum witness (SITE)</w:t>
                  </w:r>
                </w:p>
              </w:tc>
            </w:tr>
            <w:tr>
              <w:tc>
                <w:tcPr>
                  <w:tcW w:type="dxa" w:w="1491"/>
                </w:tcPr>
                <w:p>
                  <w:pPr>
                    <w:bidi w:val="0"/>
                  </w:pPr>
                  <w:r/>
                  <w:r>
                    <w:rPr>
                      <w:sz w:val="20"/>
                    </w:rPr>
                    <w:t>API to SMTP relay</w:t>
                  </w:r>
                </w:p>
              </w:tc>
              <w:tc>
                <w:tcPr>
                  <w:tcW w:type="dxa" w:w="1491"/>
                </w:tcPr>
                <w:p>
                  <w:pPr>
                    <w:bidi w:val="0"/>
                  </w:pPr>
                  <w:r/>
                  <w:r>
                    <w:rPr>
                      <w:sz w:val="20"/>
                    </w:rPr>
                    <w:t>API outbound</w:t>
                  </w:r>
                </w:p>
              </w:tc>
              <w:tc>
                <w:tcPr>
                  <w:tcW w:type="dxa" w:w="1491"/>
                </w:tcPr>
                <w:p>
                  <w:pPr>
                    <w:bidi w:val="0"/>
                  </w:pPr>
                  <w:r/>
                  <w:r>
                    <w:rPr>
                      <w:sz w:val="20"/>
                    </w:rPr>
                    <w:t>(2.8)</w:t>
                  </w:r>
                </w:p>
              </w:tc>
              <w:tc>
                <w:tcPr>
                  <w:tcW w:type="dxa" w:w="1491"/>
                </w:tcPr>
                <w:p>
                  <w:pPr>
                    <w:bidi w:val="0"/>
                  </w:pPr>
                  <w:r/>
                  <w:r>
                    <w:rPr>
                      <w:sz w:val="20"/>
                    </w:rPr>
                    <w:t>Queued outbound mail</w:t>
                  </w:r>
                </w:p>
              </w:tc>
              <w:tc>
                <w:tcPr>
                  <w:tcW w:type="dxa" w:w="1491"/>
                </w:tcPr>
                <w:p>
                  <w:pPr>
                    <w:bidi w:val="0"/>
                  </w:pPr>
                  <w:r/>
                  <w:r>
                    <w:rPr>
                      <w:sz w:val="20"/>
                    </w:rPr>
                    <w:t>TBD, Apexium</w:t>
                  </w:r>
                </w:p>
              </w:tc>
              <w:tc>
                <w:tcPr>
                  <w:tcW w:type="dxa" w:w="1491"/>
                </w:tcPr>
                <w:p>
                  <w:pPr>
                    <w:bidi w:val="0"/>
                  </w:pPr>
                  <w:r/>
                  <w:r>
                    <w:rPr>
                      <w:sz w:val="20"/>
                    </w:rPr>
                    <w:t>Queued; the request does not wait</w:t>
                  </w:r>
                </w:p>
              </w:tc>
              <w:tc>
                <w:tcPr>
                  <w:tcW w:type="dxa" w:w="1491"/>
                </w:tcPr>
                <w:p>
                  <w:pPr>
                    <w:bidi w:val="0"/>
                  </w:pPr>
                  <w:r/>
                  <w:r>
                    <w:rPr>
                      <w:sz w:val="20"/>
                    </w:rPr>
                    <w:t>Agreed</w:t>
                  </w:r>
                </w:p>
              </w:tc>
            </w:tr>
            <w:tr>
              <w:tc>
                <w:tcPr>
                  <w:tcW w:type="dxa" w:w="1491"/>
                </w:tcPr>
                <w:p>
                  <w:pPr>
                    <w:bidi w:val="0"/>
                  </w:pPr>
                  <w:r/>
                  <w:r>
                    <w:rPr>
                      <w:sz w:val="20"/>
                    </w:rPr>
                    <w:t>API to MinIO object store</w:t>
                  </w:r>
                </w:p>
              </w:tc>
              <w:tc>
                <w:tcPr>
                  <w:tcW w:type="dxa" w:w="1491"/>
                </w:tcPr>
                <w:p>
                  <w:pPr>
                    <w:bidi w:val="0"/>
                  </w:pPr>
                  <w:r/>
                  <w:r>
                    <w:rPr>
                      <w:sz w:val="20"/>
                    </w:rPr>
                    <w:t>API outbound, inside HSA</w:t>
                  </w:r>
                </w:p>
              </w:tc>
              <w:tc>
                <w:tcPr>
                  <w:tcW w:type="dxa" w:w="1491"/>
                </w:tcPr>
                <w:p>
                  <w:pPr>
                    <w:bidi w:val="0"/>
                  </w:pPr>
                  <w:r/>
                  <w:r>
                    <w:rPr>
                      <w:sz w:val="20"/>
                    </w:rPr>
                    <w:t>(2.8)</w:t>
                  </w:r>
                </w:p>
              </w:tc>
              <w:tc>
                <w:tcPr>
                  <w:tcW w:type="dxa" w:w="1491"/>
                </w:tcPr>
                <w:p>
                  <w:pPr>
                    <w:bidi w:val="0"/>
                  </w:pPr>
                  <w:r/>
                  <w:r>
                    <w:rPr>
                      <w:sz w:val="20"/>
                    </w:rPr>
                    <w:t>Objects; rows hold keys</w:t>
                  </w:r>
                </w:p>
              </w:tc>
              <w:tc>
                <w:tcPr>
                  <w:tcW w:type="dxa" w:w="1491"/>
                </w:tcPr>
                <w:p>
                  <w:pPr>
                    <w:bidi w:val="0"/>
                  </w:pPr>
                  <w:r/>
                  <w:r>
                    <w:rPr>
                      <w:sz w:val="20"/>
                    </w:rPr>
                    <w:t>TBD, Apexium</w:t>
                  </w:r>
                </w:p>
              </w:tc>
              <w:tc>
                <w:tcPr>
                  <w:tcW w:type="dxa" w:w="1491"/>
                </w:tcPr>
                <w:p>
                  <w:pPr>
                    <w:bidi w:val="0"/>
                  </w:pPr>
                  <w:r/>
                  <w:r>
                    <w:rPr>
                      <w:sz w:val="20"/>
                    </w:rPr>
                    <w:t>No silent fallback (2.5)</w:t>
                  </w:r>
                </w:p>
              </w:tc>
              <w:tc>
                <w:tcPr>
                  <w:tcW w:type="dxa" w:w="1491"/>
                </w:tcPr>
                <w:p>
                  <w:pPr>
                    <w:bidi w:val="0"/>
                  </w:pPr>
                  <w:r/>
                  <w:r>
                    <w:rPr>
                      <w:sz w:val="20"/>
                    </w:rPr>
                    <w:t>Pending: KMS and HSM (SITE)</w:t>
                  </w:r>
                </w:p>
              </w:tc>
            </w:tr>
            <w:tr>
              <w:tc>
                <w:tcPr>
                  <w:tcW w:type="dxa" w:w="1491"/>
                </w:tcPr>
                <w:p>
                  <w:pPr>
                    <w:bidi w:val="0"/>
                  </w:pPr>
                  <w:r/>
                  <w:r>
                    <w:rPr>
                      <w:sz w:val="20"/>
                    </w:rPr>
                    <w:t>API to model server</w:t>
                  </w:r>
                </w:p>
              </w:tc>
              <w:tc>
                <w:tcPr>
                  <w:tcW w:type="dxa" w:w="1491"/>
                </w:tcPr>
                <w:p>
                  <w:pPr>
                    <w:bidi w:val="0"/>
                  </w:pPr>
                  <w:r/>
                  <w:r>
                    <w:rPr>
                      <w:sz w:val="20"/>
                    </w:rPr>
                    <w:t>API outbound, inside HSA</w:t>
                  </w:r>
                </w:p>
              </w:tc>
              <w:tc>
                <w:tcPr>
                  <w:tcW w:type="dxa" w:w="1491"/>
                </w:tcPr>
                <w:p>
                  <w:pPr>
                    <w:bidi w:val="0"/>
                  </w:pPr>
                  <w:r/>
                  <w:r>
                    <w:rPr>
                      <w:sz w:val="20"/>
                    </w:rPr>
                    <w:t>(2.8)</w:t>
                  </w:r>
                </w:p>
              </w:tc>
              <w:tc>
                <w:tcPr>
                  <w:tcW w:type="dxa" w:w="1491"/>
                </w:tcPr>
                <w:p>
                  <w:pPr>
                    <w:bidi w:val="0"/>
                  </w:pPr>
                  <w:r/>
                  <w:r>
                    <w:rPr>
                      <w:sz w:val="20"/>
                    </w:rPr>
                    <w:t>Per-feature fields</w:t>
                  </w:r>
                </w:p>
              </w:tc>
              <w:tc>
                <w:tcPr>
                  <w:tcW w:type="dxa" w:w="1491"/>
                </w:tcPr>
                <w:p>
                  <w:pPr>
                    <w:bidi w:val="0"/>
                  </w:pPr>
                  <w:r/>
                  <w:r>
                    <w:rPr>
                      <w:sz w:val="20"/>
                    </w:rPr>
                    <w:t>TBD, SITE</w:t>
                  </w:r>
                </w:p>
              </w:tc>
              <w:tc>
                <w:tcPr>
                  <w:tcW w:type="dxa" w:w="1491"/>
                </w:tcPr>
                <w:p>
                  <w:pPr>
                    <w:bidi w:val="0"/>
                  </w:pPr>
                  <w:r/>
                  <w:r>
                    <w:rPr>
                      <w:sz w:val="20"/>
                    </w:rPr>
                    <w:t>No silent fallback (2.5)</w:t>
                  </w:r>
                </w:p>
              </w:tc>
              <w:tc>
                <w:tcPr>
                  <w:tcW w:type="dxa" w:w="1491"/>
                </w:tcPr>
                <w:p>
                  <w:pPr>
                    <w:bidi w:val="0"/>
                  </w:pPr>
                  <w:r/>
                  <w:r>
                    <w:rPr>
                      <w:sz w:val="20"/>
                    </w:rPr>
                    <w:t>Pending: authentication</w:t>
                  </w:r>
                </w:p>
              </w:tc>
            </w:tr>
            <w:tr>
              <w:tc>
                <w:tcPr>
                  <w:tcW w:type="dxa" w:w="1491"/>
                </w:tcPr>
                <w:p>
                  <w:pPr>
                    <w:bidi w:val="0"/>
                  </w:pPr>
                  <w:r/>
                  <w:r>
                    <w:rPr>
                      <w:sz w:val="20"/>
                    </w:rPr>
                    <w:t>YouTube caption import</w:t>
                  </w:r>
                </w:p>
              </w:tc>
              <w:tc>
                <w:tcPr>
                  <w:tcW w:type="dxa" w:w="1491"/>
                </w:tcPr>
                <w:p>
                  <w:pPr>
                    <w:bidi w:val="0"/>
                  </w:pPr>
                  <w:r/>
                  <w:r>
                    <w:rPr>
                      <w:sz w:val="20"/>
                    </w:rPr>
                    <w:t>Outbound to the internet</w:t>
                  </w:r>
                </w:p>
              </w:tc>
              <w:tc>
                <w:tcPr>
                  <w:tcW w:type="dxa" w:w="1491"/>
                </w:tcPr>
                <w:p>
                  <w:pPr>
                    <w:bidi w:val="0"/>
                  </w:pPr>
                  <w:r/>
                  <w:r>
                    <w:rPr>
                      <w:sz w:val="20"/>
                    </w:rPr>
                    <w:t>(2.8)</w:t>
                  </w:r>
                </w:p>
              </w:tc>
              <w:tc>
                <w:tcPr>
                  <w:tcW w:type="dxa" w:w="1491"/>
                </w:tcPr>
                <w:p>
                  <w:pPr>
                    <w:bidi w:val="0"/>
                  </w:pPr>
                  <w:r/>
                  <w:r>
                    <w:rPr>
                      <w:sz w:val="20"/>
                    </w:rPr>
                    <w:t>Public video id only</w:t>
                  </w:r>
                </w:p>
              </w:tc>
              <w:tc>
                <w:tcPr>
                  <w:tcW w:type="dxa" w:w="1491"/>
                </w:tcPr>
                <w:p>
                  <w:pPr>
                    <w:bidi w:val="0"/>
                  </w:pPr>
                  <w:r/>
                  <w:r>
                    <w:rPr>
                      <w:sz w:val="20"/>
                    </w:rPr>
                    <w:t>None, public resource</w:t>
                  </w:r>
                </w:p>
              </w:tc>
              <w:tc>
                <w:tcPr>
                  <w:tcW w:type="dxa" w:w="1491"/>
                </w:tcPr>
                <w:p>
                  <w:pPr>
                    <w:bidi w:val="0"/>
                  </w:pPr>
                  <w:r/>
                  <w:r>
                    <w:rPr>
                      <w:sz w:val="20"/>
                    </w:rPr>
                    <w:t>Administrator supplies the transcript</w:t>
                  </w:r>
                </w:p>
              </w:tc>
              <w:tc>
                <w:tcPr>
                  <w:tcW w:type="dxa" w:w="1491"/>
                </w:tcPr>
                <w:p>
                  <w:pPr>
                    <w:bidi w:val="0"/>
                  </w:pPr>
                  <w:r/>
                  <w:r>
                    <w:rPr>
                      <w:sz w:val="20"/>
                    </w:rPr>
                    <w:t>Pending: egress exception (SITE)</w:t>
                  </w:r>
                </w:p>
              </w:tc>
            </w:tr>
            <w:tr>
              <w:tc>
                <w:tcPr>
                  <w:tcW w:type="dxa" w:w="1491"/>
                </w:tcPr>
                <w:p>
                  <w:pPr>
                    <w:bidi w:val="0"/>
                  </w:pPr>
                  <w:r/>
                  <w:r>
                    <w:rPr>
                      <w:sz w:val="20"/>
                    </w:rPr>
                    <w:t>Client-side video playback</w:t>
                  </w:r>
                </w:p>
              </w:tc>
              <w:tc>
                <w:tcPr>
                  <w:tcW w:type="dxa" w:w="1491"/>
                </w:tcPr>
                <w:p>
                  <w:pPr>
                    <w:bidi w:val="0"/>
                  </w:pPr>
                  <w:r/>
                  <w:r>
                    <w:rPr>
                      <w:sz w:val="20"/>
                    </w:rPr>
                    <w:t>Device to YouTube</w:t>
                  </w:r>
                </w:p>
              </w:tc>
              <w:tc>
                <w:tcPr>
                  <w:tcW w:type="dxa" w:w="1491"/>
                </w:tcPr>
                <w:p>
                  <w:pPr>
                    <w:bidi w:val="0"/>
                  </w:pPr>
                  <w:r/>
                  <w:r>
                    <w:rPr>
                      <w:sz w:val="20"/>
                    </w:rPr>
                    <w:t>(2.8)</w:t>
                  </w:r>
                </w:p>
              </w:tc>
              <w:tc>
                <w:tcPr>
                  <w:tcW w:type="dxa" w:w="1491"/>
                </w:tcPr>
                <w:p>
                  <w:pPr>
                    <w:bidi w:val="0"/>
                  </w:pPr>
                  <w:r/>
                  <w:r>
                    <w:rPr>
                      <w:sz w:val="20"/>
                    </w:rPr>
                    <w:t>Stream address only; no media on SIMF servers</w:t>
                  </w:r>
                </w:p>
              </w:tc>
              <w:tc>
                <w:tcPr>
                  <w:tcW w:type="dxa" w:w="1491"/>
                </w:tcPr>
                <w:p>
                  <w:pPr>
                    <w:bidi w:val="0"/>
                  </w:pPr>
                  <w:r/>
                  <w:r>
                    <w:rPr>
                      <w:sz w:val="20"/>
                    </w:rPr>
                    <w:t>None</w:t>
                  </w:r>
                </w:p>
              </w:tc>
              <w:tc>
                <w:tcPr>
                  <w:tcW w:type="dxa" w:w="1491"/>
                </w:tcPr>
                <w:p>
                  <w:pPr>
                    <w:bidi w:val="0"/>
                  </w:pPr>
                  <w:r/>
                  <w:r>
                    <w:rPr>
                      <w:sz w:val="20"/>
                    </w:rPr>
                    <w:t>Playback is independent of the platform</w:t>
                  </w:r>
                </w:p>
              </w:tc>
              <w:tc>
                <w:tcPr>
                  <w:tcW w:type="dxa" w:w="1491"/>
                </w:tcPr>
                <w:p>
                  <w:pPr>
                    <w:bidi w:val="0"/>
                  </w:pPr>
                  <w:r/>
                  <w:r>
                    <w:rPr>
                      <w:sz w:val="20"/>
                    </w:rPr>
                    <w:t>Agreed</w:t>
                  </w:r>
                </w:p>
              </w:tc>
            </w:tr>
          </w:tbl>
          <w:p/>
          <w:p>
            <w:pPr/>
          </w:p>
          <w:p>
            <w:pPr>
              <w:jc w:val="both"/>
              <w:bidi w:val="0"/>
            </w:pPr>
            <w:r>
              <w:rPr>
                <w:b w:val="0"/>
                <w:sz w:val="20"/>
              </w:rPr>
              <w:t>Six delivered features call the on-site GPT OSS 120B model, plus a Control Panel prompt test.</w:t>
            </w:r>
          </w:p>
          <w:tbl>
            <w:tblPr>
              <w:tblStyle w:val="TableGrid"/>
              <w:tblLayout w:type="autofit"/>
              <w:tblLook w:firstColumn="1" w:firstRow="1" w:lastColumn="0" w:lastRow="0" w:noHBand="0" w:noVBand="1" w:val="04A0"/>
              <w:tblW w:w="5000" w:type="pct"/>
            </w:tblPr>
            <w:tblGrid>
              <w:gridCol w:w="2610"/>
              <w:gridCol w:w="2610"/>
              <w:gridCol w:w="2610"/>
              <w:gridCol w:w="2610"/>
            </w:tblGrid>
            <w:tr>
              <w:tc>
                <w:tcPr>
                  <w:tcW w:type="dxa" w:w="360"/>
                </w:tcPr>
                <w:p>
                  <w:pPr>
                    <w:bidi w:val="0"/>
                  </w:pPr>
                  <w:r/>
                  <w:r>
                    <w:rPr>
                      <w:b/>
                      <w:sz w:val="20"/>
                    </w:rPr>
                    <w:t>Feature</w:t>
                  </w:r>
                </w:p>
              </w:tc>
              <w:tc>
                <w:tcPr>
                  <w:tcW w:type="dxa" w:w="360"/>
                </w:tcPr>
                <w:p>
                  <w:pPr>
                    <w:bidi w:val="0"/>
                  </w:pPr>
                  <w:r/>
                  <w:r>
                    <w:rPr>
                      <w:b/>
                      <w:sz w:val="20"/>
                    </w:rPr>
                    <w:t>Fields sent</w:t>
                  </w:r>
                </w:p>
              </w:tc>
              <w:tc>
                <w:tcPr>
                  <w:tcW w:type="dxa" w:w="360"/>
                </w:tcPr>
                <w:p>
                  <w:pPr>
                    <w:bidi w:val="0"/>
                  </w:pPr>
                  <w:r/>
                  <w:r>
                    <w:rPr>
                      <w:b/>
                      <w:sz w:val="20"/>
                    </w:rPr>
                    <w:t>Personal data</w:t>
                  </w:r>
                </w:p>
              </w:tc>
              <w:tc>
                <w:tcPr>
                  <w:tcW w:type="dxa" w:w="360"/>
                </w:tcPr>
                <w:p>
                  <w:pPr>
                    <w:bidi w:val="0"/>
                  </w:pPr>
                  <w:r/>
                  <w:r>
                    <w:rPr>
                      <w:b/>
                      <w:sz w:val="20"/>
                    </w:rPr>
                    <w:t>Destination</w:t>
                  </w:r>
                </w:p>
              </w:tc>
            </w:tr>
            <w:tr>
              <w:tc>
                <w:tcPr>
                  <w:tcW w:type="dxa" w:w="2610"/>
                </w:tcPr>
                <w:p>
                  <w:pPr>
                    <w:bidi w:val="0"/>
                  </w:pPr>
                  <w:r/>
                  <w:r>
                    <w:rPr>
                      <w:sz w:val="20"/>
                    </w:rPr>
                    <w:t>Question filter</w:t>
                  </w:r>
                </w:p>
              </w:tc>
              <w:tc>
                <w:tcPr>
                  <w:tcW w:type="dxa" w:w="2610"/>
                </w:tcPr>
                <w:p>
                  <w:pPr>
                    <w:bidi w:val="0"/>
                  </w:pPr>
                  <w:r/>
                  <w:r>
                    <w:rPr>
                      <w:sz w:val="20"/>
                    </w:rPr>
                    <w:t>Question text only</w:t>
                  </w:r>
                </w:p>
              </w:tc>
              <w:tc>
                <w:tcPr>
                  <w:tcW w:type="dxa" w:w="2610"/>
                </w:tcPr>
                <w:p>
                  <w:pPr>
                    <w:bidi w:val="0"/>
                  </w:pPr>
                  <w:r/>
                  <w:r>
                    <w:rPr>
                      <w:sz w:val="20"/>
                    </w:rPr>
                    <w:t>No</w:t>
                  </w:r>
                </w:p>
              </w:tc>
              <w:tc>
                <w:tcPr>
                  <w:tcW w:type="dxa" w:w="2610"/>
                </w:tcPr>
                <w:p>
                  <w:pPr>
                    <w:bidi w:val="0"/>
                  </w:pPr>
                  <w:r/>
                  <w:r>
                    <w:rPr>
                      <w:sz w:val="20"/>
                    </w:rPr>
                    <w:t>On-site model</w:t>
                  </w:r>
                </w:p>
              </w:tc>
            </w:tr>
            <w:tr>
              <w:tc>
                <w:tcPr>
                  <w:tcW w:type="dxa" w:w="2610"/>
                </w:tcPr>
                <w:p>
                  <w:pPr>
                    <w:bidi w:val="0"/>
                  </w:pPr>
                  <w:r/>
                  <w:r>
                    <w:rPr>
                      <w:sz w:val="20"/>
                    </w:rPr>
                    <w:t>FAQ answer</w:t>
                  </w:r>
                </w:p>
              </w:tc>
              <w:tc>
                <w:tcPr>
                  <w:tcW w:type="dxa" w:w="2610"/>
                </w:tcPr>
                <w:p>
                  <w:pPr>
                    <w:bidi w:val="0"/>
                  </w:pPr>
                  <w:r/>
                  <w:r>
                    <w:rPr>
                      <w:sz w:val="20"/>
                    </w:rPr>
                    <w:t>Visitor question, published FAQ entry</w:t>
                  </w:r>
                </w:p>
              </w:tc>
              <w:tc>
                <w:tcPr>
                  <w:tcW w:type="dxa" w:w="2610"/>
                </w:tcPr>
                <w:p>
                  <w:pPr>
                    <w:bidi w:val="0"/>
                  </w:pPr>
                  <w:r/>
                  <w:r>
                    <w:rPr>
                      <w:sz w:val="20"/>
                    </w:rPr>
                    <w:t>No</w:t>
                  </w:r>
                </w:p>
              </w:tc>
              <w:tc>
                <w:tcPr>
                  <w:tcW w:type="dxa" w:w="2610"/>
                </w:tcPr>
                <w:p>
                  <w:pPr>
                    <w:bidi w:val="0"/>
                  </w:pPr>
                  <w:r/>
                  <w:r>
                    <w:rPr>
                      <w:sz w:val="20"/>
                    </w:rPr>
                    <w:t>On-site model</w:t>
                  </w:r>
                </w:p>
              </w:tc>
            </w:tr>
            <w:tr>
              <w:tc>
                <w:tcPr>
                  <w:tcW w:type="dxa" w:w="2610"/>
                </w:tcPr>
                <w:p>
                  <w:pPr>
                    <w:bidi w:val="0"/>
                  </w:pPr>
                  <w:r/>
                  <w:r>
                    <w:rPr>
                      <w:sz w:val="20"/>
                    </w:rPr>
                    <w:t>Visitor assistance</w:t>
                  </w:r>
                </w:p>
              </w:tc>
              <w:tc>
                <w:tcPr>
                  <w:tcW w:type="dxa" w:w="2610"/>
                </w:tcPr>
                <w:p>
                  <w:pPr>
                    <w:bidi w:val="0"/>
                  </w:pPr>
                  <w:r/>
                  <w:r>
                    <w:rPr>
                      <w:sz w:val="20"/>
                    </w:rPr>
                    <w:t>Visitor question, public programme content</w:t>
                  </w:r>
                </w:p>
              </w:tc>
              <w:tc>
                <w:tcPr>
                  <w:tcW w:type="dxa" w:w="2610"/>
                </w:tcPr>
                <w:p>
                  <w:pPr>
                    <w:bidi w:val="0"/>
                  </w:pPr>
                  <w:r/>
                  <w:r>
                    <w:rPr>
                      <w:sz w:val="20"/>
                    </w:rPr>
                    <w:t>No</w:t>
                  </w:r>
                </w:p>
              </w:tc>
              <w:tc>
                <w:tcPr>
                  <w:tcW w:type="dxa" w:w="2610"/>
                </w:tcPr>
                <w:p>
                  <w:pPr>
                    <w:bidi w:val="0"/>
                  </w:pPr>
                  <w:r/>
                  <w:r>
                    <w:rPr>
                      <w:sz w:val="20"/>
                    </w:rPr>
                    <w:t>On-site model</w:t>
                  </w:r>
                </w:p>
              </w:tc>
            </w:tr>
            <w:tr>
              <w:tc>
                <w:tcPr>
                  <w:tcW w:type="dxa" w:w="2610"/>
                </w:tcPr>
                <w:p>
                  <w:pPr>
                    <w:bidi w:val="0"/>
                  </w:pPr>
                  <w:r/>
                  <w:r>
                    <w:rPr>
                      <w:sz w:val="20"/>
                    </w:rPr>
                    <w:t>Subtitle translation</w:t>
                  </w:r>
                </w:p>
              </w:tc>
              <w:tc>
                <w:tcPr>
                  <w:tcW w:type="dxa" w:w="2610"/>
                </w:tcPr>
                <w:p>
                  <w:pPr>
                    <w:bidi w:val="0"/>
                  </w:pPr>
                  <w:r/>
                  <w:r>
                    <w:rPr>
                      <w:sz w:val="20"/>
                    </w:rPr>
                    <w:t>Subtitle text, target language</w:t>
                  </w:r>
                </w:p>
              </w:tc>
              <w:tc>
                <w:tcPr>
                  <w:tcW w:type="dxa" w:w="2610"/>
                </w:tcPr>
                <w:p>
                  <w:pPr>
                    <w:bidi w:val="0"/>
                  </w:pPr>
                  <w:r/>
                  <w:r>
                    <w:rPr>
                      <w:sz w:val="20"/>
                    </w:rPr>
                    <w:t>No</w:t>
                  </w:r>
                </w:p>
              </w:tc>
              <w:tc>
                <w:tcPr>
                  <w:tcW w:type="dxa" w:w="2610"/>
                </w:tcPr>
                <w:p>
                  <w:pPr>
                    <w:bidi w:val="0"/>
                  </w:pPr>
                  <w:r/>
                  <w:r>
                    <w:rPr>
                      <w:sz w:val="20"/>
                    </w:rPr>
                    <w:t>On-site model</w:t>
                  </w:r>
                </w:p>
              </w:tc>
            </w:tr>
            <w:tr>
              <w:tc>
                <w:tcPr>
                  <w:tcW w:type="dxa" w:w="2610"/>
                </w:tcPr>
                <w:p>
                  <w:pPr>
                    <w:bidi w:val="0"/>
                  </w:pPr>
                  <w:r/>
                  <w:r>
                    <w:rPr>
                      <w:sz w:val="20"/>
                    </w:rPr>
                    <w:t>Session minutes</w:t>
                  </w:r>
                </w:p>
              </w:tc>
              <w:tc>
                <w:tcPr>
                  <w:tcW w:type="dxa" w:w="2610"/>
                </w:tcPr>
                <w:p>
                  <w:pPr>
                    <w:bidi w:val="0"/>
                  </w:pPr>
                  <w:r/>
                  <w:r>
                    <w:rPr>
                      <w:sz w:val="20"/>
                    </w:rPr>
                    <w:t>Title, speaker display names, abstract, subtitle</w:t>
                  </w:r>
                </w:p>
              </w:tc>
              <w:tc>
                <w:tcPr>
                  <w:tcW w:type="dxa" w:w="2610"/>
                </w:tcPr>
                <w:p>
                  <w:pPr>
                    <w:bidi w:val="0"/>
                  </w:pPr>
                  <w:r/>
                  <w:r>
                    <w:rPr>
                      <w:sz w:val="20"/>
                    </w:rPr>
                    <w:t>Yes, names already public</w:t>
                  </w:r>
                </w:p>
              </w:tc>
              <w:tc>
                <w:tcPr>
                  <w:tcW w:type="dxa" w:w="2610"/>
                </w:tcPr>
                <w:p>
                  <w:pPr>
                    <w:bidi w:val="0"/>
                  </w:pPr>
                  <w:r/>
                  <w:r>
                    <w:rPr>
                      <w:sz w:val="20"/>
                    </w:rPr>
                    <w:t>On-site model</w:t>
                  </w:r>
                </w:p>
              </w:tc>
            </w:tr>
            <w:tr>
              <w:tc>
                <w:tcPr>
                  <w:tcW w:type="dxa" w:w="2610"/>
                </w:tcPr>
                <w:p>
                  <w:pPr>
                    <w:bidi w:val="0"/>
                  </w:pPr>
                  <w:r/>
                  <w:r>
                    <w:rPr>
                      <w:sz w:val="20"/>
                    </w:rPr>
                    <w:t>Control Panel assistant</w:t>
                  </w:r>
                </w:p>
              </w:tc>
              <w:tc>
                <w:tcPr>
                  <w:tcW w:type="dxa" w:w="2610"/>
                </w:tcPr>
                <w:p>
                  <w:pPr>
                    <w:bidi w:val="0"/>
                  </w:pPr>
                  <w:r/>
                  <w:r>
                    <w:rPr>
                      <w:sz w:val="20"/>
                    </w:rPr>
                    <w:t>Administrator question, Control Panel content</w:t>
                  </w:r>
                </w:p>
              </w:tc>
              <w:tc>
                <w:tcPr>
                  <w:tcW w:type="dxa" w:w="2610"/>
                </w:tcPr>
                <w:p>
                  <w:pPr>
                    <w:bidi w:val="0"/>
                  </w:pPr>
                  <w:r/>
                  <w:r>
                    <w:rPr>
                      <w:sz w:val="20"/>
                    </w:rPr>
                    <w:t>No</w:t>
                  </w:r>
                </w:p>
              </w:tc>
              <w:tc>
                <w:tcPr>
                  <w:tcW w:type="dxa" w:w="2610"/>
                </w:tcPr>
                <w:p>
                  <w:pPr>
                    <w:bidi w:val="0"/>
                  </w:pPr>
                  <w:r/>
                  <w:r>
                    <w:rPr>
                      <w:sz w:val="20"/>
                    </w:rPr>
                    <w:t>On-site model</w:t>
                  </w:r>
                </w:p>
              </w:tc>
            </w:tr>
            <w:tr>
              <w:tc>
                <w:tcPr>
                  <w:tcW w:type="dxa" w:w="2610"/>
                </w:tcPr>
                <w:p>
                  <w:pPr>
                    <w:bidi w:val="0"/>
                  </w:pPr>
                  <w:r/>
                  <w:r>
                    <w:rPr>
                      <w:sz w:val="20"/>
                    </w:rPr>
                    <w:t>Control Panel prompt test</w:t>
                  </w:r>
                </w:p>
              </w:tc>
              <w:tc>
                <w:tcPr>
                  <w:tcW w:type="dxa" w:w="2610"/>
                </w:tcPr>
                <w:p>
                  <w:pPr>
                    <w:bidi w:val="0"/>
                  </w:pPr>
                  <w:r/>
                  <w:r>
                    <w:rPr>
                      <w:sz w:val="20"/>
                    </w:rPr>
                    <w:t>Administrator test prompt</w:t>
                  </w:r>
                </w:p>
              </w:tc>
              <w:tc>
                <w:tcPr>
                  <w:tcW w:type="dxa" w:w="2610"/>
                </w:tcPr>
                <w:p>
                  <w:pPr>
                    <w:bidi w:val="0"/>
                  </w:pPr>
                  <w:r/>
                  <w:r>
                    <w:rPr>
                      <w:sz w:val="20"/>
                    </w:rPr>
                    <w:t>TBD, Apexium</w:t>
                  </w:r>
                </w:p>
              </w:tc>
              <w:tc>
                <w:tcPr>
                  <w:tcW w:type="dxa" w:w="2610"/>
                </w:tcPr>
                <w:p>
                  <w:pPr>
                    <w:bidi w:val="0"/>
                  </w:pPr>
                  <w:r/>
                  <w:r>
                    <w:rPr>
                      <w:sz w:val="20"/>
                    </w:rPr>
                    <w:t>On-site model</w:t>
                  </w:r>
                </w:p>
              </w:tc>
            </w:tr>
          </w:tbl>
          <w:p/>
          <w:p>
            <w:pPr/>
          </w:p>
          <w:p>
            <w:pPr>
              <w:jc w:val="both"/>
              <w:bidi w:val="0"/>
            </w:pPr>
            <w:r>
              <w:rPr>
                <w:b w:val="0"/>
                <w:sz w:val="20"/>
              </w:rPr>
              <w:t>Every model call carries a bounded field set that the server validates before dispatch. The ceilings sit in the Solution Design Document. The caller's identity never enters a model call. Account identifiers, e-mail addresses, national identity, Iqama and passport numbers, badge identifiers and booking records stay outside the call. Two endpoints from a withdrawn live-translation and sign-language feature remain in the API, and no client calls them. Their removal is an open item in section 3.</w:t>
            </w:r>
          </w:p>
          <w:p>
            <w:pPr>
              <w:jc w:val="both"/>
              <w:bidi w:val="0"/>
            </w:pPr>
            <w:r>
              <w:rPr>
                <w:b w:val="0"/>
                <w:sz w:val="20"/>
              </w:rPr>
              <w:t>The caption call leaves SSA through the perimeter firewall to an allow-list of fully qualified domain names, and every request is logged. The import re-checks the caption host named in the first reply and refuses redirects, blocking server-side request forgery. Without the firewall exception, an administrator pastes or uploads the transcript, and no feature stops. YouTube use covers embedded playback and one caption retrieval; the media team creates and manages broadcasts inside YouTube.</w:t>
            </w:r>
          </w:p>
        </w:tc>
      </w:tr>
      <w:tr w:rsidR="00784C3E" w:rsidRPr="00846EC5" w14:paraId="3617806C" w14:textId="77777777" w:rsidTr="00784C3E">
        <w:trPr>
          <w:trHeight w:val="336"/>
        </w:trPr>
        <w:tc>
          <w:tcPr>
            <w:tcW w:w="5000" w:type="pct"/>
            <w:shd w:val="clear" w:color="auto" w:fill="29504D"/>
            <w:vAlign w:val="center"/>
          </w:tcPr>
          <w:p w14:paraId="4C21571B" w14:textId="77777777" w:rsidR="00784C3E" w:rsidRPr="00784C3E" w:rsidRDefault="00A93EEA" w:rsidP="00E80022">
            <w:pPr>
              <w:bidi w:val="0"/>
            </w:pPr>
            <w:r>
              <w:lastRenderedPageBreak/>
              <w:t xml:space="preserve">2.5 </w:t>
            </w:r>
            <w:r w:rsidR="00784C3E" w:rsidRPr="0047767A">
              <w:t>Error Handling and Logging</w:t>
            </w:r>
          </w:p>
        </w:tc>
      </w:tr>
      <w:tr w:rsidR="00784C3E" w:rsidRPr="00846EC5" w14:paraId="43AAEB1A" w14:textId="77777777" w:rsidTr="00FA332B">
        <w:trPr>
          <w:trHeight w:val="336"/>
        </w:trPr>
        <w:tc>
          <w:tcPr>
            <w:tcW w:w="5000" w:type="pct"/>
            <w:shd w:val="clear" w:color="auto" w:fill="FFFFFF" w:themeFill="background1"/>
            <w:vAlign w:val="center"/>
          </w:tcPr>
          <w:p>
            <w:pPr>
              <w:jc w:val="left"/>
              <w:bidi w:val="0"/>
            </w:pPr>
            <w:r>
              <w:rPr>
                <w:b/>
                <w:sz w:val="20"/>
              </w:rPr>
              <w:t>Failure model</w:t>
            </w:r>
          </w:p>
          <w:p>
            <w:pPr>
              <w:jc w:val="both"/>
              <w:bidi w:val="0"/>
            </w:pPr>
            <w:r>
              <w:rPr>
                <w:b w:val="0"/>
                <w:sz w:val="20"/>
              </w:rPr>
              <w:t>Central middleware converts domain and validation exceptions into the section 2.4 failure envelope and selects the matching HTTP status code. A validation failure answers 400 and names each offending field in Arabic and English. The API logs an invalid state and raises it; no path silently substitutes a default. In production the API refuses to start when it cannot read a required secret.</w:t>
            </w:r>
          </w:p>
          <w:p>
            <w:pPr>
              <w:jc w:val="left"/>
              <w:bidi w:val="0"/>
            </w:pPr>
            <w:r>
              <w:rPr>
                <w:b/>
                <w:sz w:val="20"/>
              </w:rPr>
              <w:t>Logging and audit</w:t>
            </w:r>
          </w:p>
          <w:p>
            <w:pPr>
              <w:jc w:val="both"/>
              <w:bidi w:val="0"/>
            </w:pPr>
            <w:r>
              <w:rPr>
                <w:b w:val="0"/>
                <w:sz w:val="20"/>
              </w:rPr>
              <w:t>Serilog writes structured events to rolling files, retained locally for 31 days. Every request carries a correlation identifier into the logs and both audit trails. The platform logs seven event classes:</w:t>
            </w:r>
          </w:p>
          <w:p>
            <w:pPr>
              <w:jc w:val="both"/>
              <w:bidi w:val="0"/>
            </w:pPr>
            <w:r>
              <w:rPr>
                <w:b w:val="0"/>
                <w:sz w:val="20"/>
              </w:rPr>
              <w:t>•  Authentication, covering sign-in, one-time password (OTP), time-based one-time password (TOTP), token refresh and sign-out</w:t>
            </w:r>
          </w:p>
          <w:p>
            <w:pPr>
              <w:jc w:val="both"/>
              <w:bidi w:val="0"/>
            </w:pPr>
            <w:r>
              <w:rPr>
                <w:b w:val="0"/>
                <w:sz w:val="20"/>
              </w:rPr>
              <w:t>•  Authorisation denials</w:t>
            </w:r>
          </w:p>
          <w:p>
            <w:pPr>
              <w:jc w:val="both"/>
              <w:bidi w:val="0"/>
            </w:pPr>
            <w:r>
              <w:rPr>
                <w:b w:val="0"/>
                <w:sz w:val="20"/>
              </w:rPr>
              <w:t>•  Rate-limit rejections</w:t>
            </w:r>
          </w:p>
          <w:p>
            <w:pPr>
              <w:jc w:val="both"/>
              <w:bidi w:val="0"/>
            </w:pPr>
            <w:r>
              <w:rPr>
                <w:b w:val="0"/>
                <w:sz w:val="20"/>
              </w:rPr>
              <w:t>•  Artificial intelligence invocations</w:t>
            </w:r>
          </w:p>
          <w:p>
            <w:pPr>
              <w:jc w:val="both"/>
              <w:bidi w:val="0"/>
            </w:pPr>
            <w:r>
              <w:rPr>
                <w:b w:val="0"/>
                <w:sz w:val="20"/>
              </w:rPr>
              <w:t>•  Security-relevant business events</w:t>
            </w:r>
          </w:p>
          <w:p>
            <w:pPr>
              <w:jc w:val="both"/>
              <w:bidi w:val="0"/>
            </w:pPr>
            <w:r>
              <w:rPr>
                <w:b w:val="0"/>
                <w:sz w:val="20"/>
              </w:rPr>
              <w:t>•  Row-level data changes</w:t>
            </w:r>
          </w:p>
          <w:p>
            <w:pPr>
              <w:jc w:val="both"/>
              <w:bidi w:val="0"/>
            </w:pPr>
            <w:r>
              <w:rPr>
                <w:b w:val="0"/>
                <w:sz w:val="20"/>
              </w:rPr>
              <w:t>•  Unhandled system errors</w:t>
            </w:r>
          </w:p>
          <w:p>
            <w:pPr>
              <w:jc w:val="both"/>
              <w:bidi w:val="0"/>
            </w:pPr>
            <w:r>
              <w:rPr>
                <w:b w:val="0"/>
                <w:sz w:val="20"/>
              </w:rPr>
              <w:t>Two audit trails record who changed what.</w:t>
            </w:r>
          </w:p>
          <w:tbl>
            <w:tblPr>
              <w:tblStyle w:val="TableGrid"/>
              <w:tblLayout w:type="autofit"/>
              <w:tblLook w:firstColumn="1" w:firstRow="1" w:lastColumn="0" w:lastRow="0" w:noHBand="0" w:noVBand="1" w:val="04A0"/>
              <w:tblW w:w="5000" w:type="pct"/>
            </w:tblPr>
            <w:tblGrid>
              <w:gridCol w:w="3480"/>
              <w:gridCol w:w="3480"/>
              <w:gridCol w:w="3480"/>
            </w:tblGrid>
            <w:tr>
              <w:tc>
                <w:tcPr>
                  <w:tcW w:type="dxa" w:w="480"/>
                </w:tcPr>
                <w:p>
                  <w:pPr>
                    <w:bidi w:val="0"/>
                  </w:pPr>
                  <w:r/>
                  <w:r>
                    <w:rPr>
                      <w:b/>
                      <w:sz w:val="20"/>
                    </w:rPr>
                    <w:t>Trail</w:t>
                  </w:r>
                </w:p>
              </w:tc>
              <w:tc>
                <w:tcPr>
                  <w:tcW w:type="dxa" w:w="480"/>
                </w:tcPr>
                <w:p>
                  <w:pPr>
                    <w:bidi w:val="0"/>
                  </w:pPr>
                  <w:r/>
                  <w:r>
                    <w:rPr>
                      <w:b/>
                      <w:sz w:val="20"/>
                    </w:rPr>
                    <w:t>What it records</w:t>
                  </w:r>
                </w:p>
              </w:tc>
              <w:tc>
                <w:tcPr>
                  <w:tcW w:type="dxa" w:w="480"/>
                </w:tcPr>
                <w:p>
                  <w:pPr>
                    <w:bidi w:val="0"/>
                  </w:pPr>
                  <w:r/>
                  <w:r>
                    <w:rPr>
                      <w:b/>
                      <w:sz w:val="20"/>
                    </w:rPr>
                    <w:t>Attributes captured</w:t>
                  </w:r>
                </w:p>
              </w:tc>
            </w:tr>
            <w:tr>
              <w:tc>
                <w:tcPr>
                  <w:tcW w:type="dxa" w:w="3480"/>
                </w:tcPr>
                <w:p>
                  <w:pPr>
                    <w:bidi w:val="0"/>
                  </w:pPr>
                  <w:r/>
                  <w:r>
                    <w:rPr>
                      <w:sz w:val="20"/>
                    </w:rPr>
                    <w:t>OperationLog</w:t>
                  </w:r>
                </w:p>
              </w:tc>
              <w:tc>
                <w:tcPr>
                  <w:tcW w:type="dxa" w:w="3480"/>
                </w:tcPr>
                <w:p>
                  <w:pPr>
                    <w:bidi w:val="0"/>
                  </w:pPr>
                  <w:r/>
                  <w:r>
                    <w:rPr>
                      <w:sz w:val="20"/>
                    </w:rPr>
                    <w:t>Security-relevant business events: approvals, configuration changes, gate scans</w:t>
                  </w:r>
                </w:p>
              </w:tc>
              <w:tc>
                <w:tcPr>
                  <w:tcW w:type="dxa" w:w="3480"/>
                </w:tcPr>
                <w:p>
                  <w:pPr>
                    <w:bidi w:val="0"/>
                  </w:pPr>
                  <w:r/>
                  <w:r>
                    <w:rPr>
                      <w:sz w:val="20"/>
                    </w:rPr>
                    <w:t>Actor, subject, source IP address, user agent, outcome, error code, correlation identifier</w:t>
                  </w:r>
                </w:p>
              </w:tc>
            </w:tr>
            <w:tr>
              <w:tc>
                <w:tcPr>
                  <w:tcW w:type="dxa" w:w="3480"/>
                </w:tcPr>
                <w:p>
                  <w:pPr>
                    <w:bidi w:val="0"/>
                  </w:pPr>
                  <w:r/>
                  <w:r>
                    <w:rPr>
                      <w:sz w:val="20"/>
                    </w:rPr>
                    <w:t>RowAudit</w:t>
                  </w:r>
                </w:p>
              </w:tc>
              <w:tc>
                <w:tcPr>
                  <w:tcW w:type="dxa" w:w="3480"/>
                </w:tcPr>
                <w:p>
                  <w:pPr>
                    <w:bidi w:val="0"/>
                  </w:pPr>
                  <w:r/>
                  <w:r>
                    <w:rPr>
                      <w:sz w:val="20"/>
                    </w:rPr>
                    <w:t>Row-level data changes</w:t>
                  </w:r>
                </w:p>
              </w:tc>
              <w:tc>
                <w:tcPr>
                  <w:tcW w:type="dxa" w:w="3480"/>
                </w:tcPr>
                <w:p>
                  <w:pPr>
                    <w:bidi w:val="0"/>
                  </w:pPr>
                  <w:r/>
                  <w:r>
                    <w:rPr>
                      <w:sz w:val="20"/>
                    </w:rPr>
                    <w:t>Operation, before and after images, affected columns, actor snapshot, correlation identifier</w:t>
                  </w:r>
                </w:p>
              </w:tc>
            </w:tr>
          </w:tbl>
          <w:p/>
          <w:p>
            <w:pPr/>
          </w:p>
          <w:p>
            <w:pPr>
              <w:jc w:val="both"/>
              <w:bidi w:val="0"/>
            </w:pPr>
            <w:r>
              <w:rPr>
                <w:b w:val="0"/>
                <w:sz w:val="20"/>
              </w:rPr>
              <w:t>Both trails are append-only in the application and at the database: the runtime account may insert rows but may not update or delete them. A host log shipper, configured at deployment, forwards the files and trail entries to the ministry log collector. An actor holding database access therefore cannot erase their own trail.</w:t>
            </w:r>
          </w:p>
        </w:tc>
      </w:tr>
      <w:tr w:rsidR="00784C3E" w:rsidRPr="00846EC5" w14:paraId="1152B28A" w14:textId="77777777" w:rsidTr="002F02DD">
        <w:trPr>
          <w:trHeight w:val="336"/>
        </w:trPr>
        <w:tc>
          <w:tcPr>
            <w:tcW w:w="5000" w:type="pct"/>
            <w:shd w:val="clear" w:color="auto" w:fill="29504D"/>
            <w:vAlign w:val="center"/>
          </w:tcPr>
          <w:p w14:paraId="0F0A184B" w14:textId="77777777" w:rsidR="00784C3E" w:rsidRDefault="00A93EEA" w:rsidP="00E80022">
            <w:pPr>
              <w:bidi w:val="0"/>
            </w:pPr>
            <w:r>
              <w:lastRenderedPageBreak/>
              <w:t xml:space="preserve">2.6 </w:t>
            </w:r>
            <w:r w:rsidR="00784C3E" w:rsidRPr="002F02DD">
              <w:t>User Interface (UI) Design</w:t>
            </w:r>
          </w:p>
        </w:tc>
      </w:tr>
      <w:tr w:rsidR="00784C3E" w:rsidRPr="00846EC5" w14:paraId="0CD5314A" w14:textId="77777777" w:rsidTr="00FA332B">
        <w:trPr>
          <w:trHeight w:val="336"/>
        </w:trPr>
        <w:tc>
          <w:tcPr>
            <w:tcW w:w="5000" w:type="pct"/>
            <w:shd w:val="clear" w:color="auto" w:fill="FFFFFF" w:themeFill="background1"/>
            <w:vAlign w:val="center"/>
          </w:tcPr>
          <w:p>
            <w:pPr>
              <w:jc w:val="both"/>
              <w:bidi w:val="0"/>
            </w:pPr>
            <w:r>
              <w:rPr>
                <w:b w:val="0"/>
                <w:sz w:val="20"/>
              </w:rPr>
              <w:t>One design system covers the mobile application, the Control Panel and the public website. All three are fully bilingual: Arabic is the primary language and reads right to left, English the secondary language and reads left to right. The badge desk is a fourth client and sits outside that design system.</w:t>
            </w:r>
          </w:p>
          <w:p>
            <w:pPr>
              <w:jc w:val="left"/>
              <w:bidi w:val="0"/>
            </w:pPr>
            <w:r>
              <w:rPr>
                <w:b/>
                <w:sz w:val="20"/>
              </w:rPr>
              <w:t>Client shells and rendering</w:t>
            </w:r>
          </w:p>
          <w:p>
            <w:pPr>
              <w:jc w:val="both"/>
              <w:bidi w:val="0"/>
            </w:pPr>
            <w:r>
              <w:rPr>
                <w:b w:val="0"/>
                <w:sz w:val="20"/>
              </w:rPr>
              <w:t>Section 2.2 names each client's technology; this section states only the shell and rendering model.</w:t>
            </w:r>
          </w:p>
          <w:p>
            <w:pPr>
              <w:jc w:val="both"/>
              <w:bidi w:val="0"/>
            </w:pPr>
            <w:r>
              <w:rPr>
                <w:b w:val="0"/>
                <w:sz w:val="20"/>
              </w:rPr>
              <w:t>•  Mobile application: a persistent tab shell carries the navigation.</w:t>
            </w:r>
          </w:p>
          <w:p>
            <w:pPr>
              <w:jc w:val="both"/>
              <w:bidi w:val="0"/>
            </w:pPr>
            <w:r>
              <w:rPr>
                <w:b w:val="0"/>
                <w:sz w:val="20"/>
              </w:rPr>
              <w:t>•  Control Panel: interactively rendered; every list page uses one standard data grid above a shared create, read, update and delete framework.</w:t>
            </w:r>
          </w:p>
          <w:p>
            <w:pPr>
              <w:jc w:val="both"/>
              <w:bidi w:val="0"/>
            </w:pPr>
            <w:r>
              <w:rPr>
                <w:b w:val="0"/>
                <w:sz w:val="20"/>
              </w:rPr>
              <w:t>•  Public website: statically rendered, with interactive elements confined to a small number of pages.</w:t>
            </w:r>
          </w:p>
          <w:p>
            <w:pPr>
              <w:jc w:val="both"/>
              <w:bidi w:val="0"/>
            </w:pPr>
            <w:r>
              <w:rPr>
                <w:b w:val="0"/>
                <w:sz w:val="20"/>
              </w:rPr>
              <w:t>•  Badge desk: a Windows Forms desktop client, covered in section 2.2.</w:t>
            </w:r>
          </w:p>
          <w:p>
            <w:pPr>
              <w:jc w:val="left"/>
              <w:bidi w:val="0"/>
            </w:pPr>
            <w:r>
              <w:rPr>
                <w:b/>
                <w:sz w:val="20"/>
              </w:rPr>
              <w:t>Tokens, layout and accessibility</w:t>
            </w:r>
          </w:p>
          <w:p>
            <w:pPr>
              <w:jc w:val="both"/>
              <w:bidi w:val="0"/>
            </w:pPr>
            <w:r>
              <w:rPr>
                <w:b w:val="0"/>
                <w:sz w:val="20"/>
              </w:rPr>
              <w:t>Colour, typography, spacing and corner radius are defined once and shared by all three clients. Every layout starts Arabic first in right-to-left form and mirrors automatically for English. Widths are responsive rather than fixed, for phone and tablet use. The website targets Web Content Accessibility Guidelines (WCAG) level AA. The mobile client lets the user set text size, high contrast and reduced motion. The screen and route inventory for every client sits in section 4 of the Solution Design Document. The minimum supported browser and mobile operating system versions remain open; section 3 carries them in the open items register.</w:t>
            </w:r>
          </w:p>
        </w:tc>
      </w:tr>
      <w:tr w:rsidR="00784C3E" w:rsidRPr="00846EC5" w14:paraId="046ABDA8" w14:textId="77777777" w:rsidTr="00FA332B">
        <w:trPr>
          <w:trHeight w:val="336"/>
        </w:trPr>
        <w:tc>
          <w:tcPr>
            <w:tcW w:w="5000" w:type="pct"/>
            <w:shd w:val="clear" w:color="auto" w:fill="29504D"/>
            <w:vAlign w:val="center"/>
          </w:tcPr>
          <w:p w14:paraId="69D0A585" w14:textId="77777777" w:rsidR="00784C3E" w:rsidRPr="00444983" w:rsidRDefault="00A93EEA" w:rsidP="00E80022">
            <w:pPr>
              <w:bidi w:val="0"/>
            </w:pPr>
            <w:r>
              <w:lastRenderedPageBreak/>
              <w:t xml:space="preserve">2.7 </w:t>
            </w:r>
            <w:r w:rsidR="00784C3E">
              <w:t>Operational Model View</w:t>
            </w:r>
          </w:p>
        </w:tc>
      </w:tr>
      <w:tr w:rsidR="00784C3E" w:rsidRPr="00846EC5" w14:paraId="1A428315" w14:textId="77777777" w:rsidTr="00D12CD4">
        <w:trPr>
          <w:trHeight w:val="3758"/>
        </w:trPr>
        <w:tc>
          <w:tcPr>
            <w:tcW w:w="5000" w:type="pct"/>
            <w:shd w:val="clear" w:color="auto" w:fill="FFFFFF" w:themeFill="background1"/>
          </w:tcPr>
          <w:p>
            <w:pPr>
              <w:jc w:val="left"/>
              <w:bidi w:val="0"/>
            </w:pPr>
            <w:r>
              <w:rPr>
                <w:b/>
                <w:sz w:val="20"/>
              </w:rPr>
              <w:t>Environments</w:t>
            </w:r>
          </w:p>
          <w:p>
            <w:pPr>
              <w:jc w:val="both"/>
              <w:bidi w:val="0"/>
            </w:pPr>
            <w:r>
              <w:rPr>
                <w:b w:val="0"/>
                <w:sz w:val="20"/>
              </w:rPr>
              <w:t>SIMF runs on four environments, and every change reaches production by passing through each of them in order.</w:t>
            </w:r>
          </w:p>
          <w:p>
            <w:pPr>
              <w:jc w:val="both"/>
              <w:bidi w:val="0"/>
            </w:pPr>
            <w:r>
              <w:rPr>
                <w:b w:val="0"/>
                <w:sz w:val="20"/>
              </w:rPr>
              <w:t>The four environments differ in topology, database edition, node allocation and purpose.</w:t>
            </w:r>
          </w:p>
          <w:tbl>
            <w:tblPr>
              <w:tblStyle w:val="TableGrid"/>
              <w:tblLayout w:type="autofit"/>
              <w:tblLook w:firstColumn="1" w:firstRow="1" w:lastColumn="0" w:lastRow="0" w:noHBand="0" w:noVBand="1" w:val="04A0"/>
              <w:tblW w:w="5000" w:type="pct"/>
            </w:tblPr>
            <w:tblGrid>
              <w:gridCol w:w="2088"/>
              <w:gridCol w:w="2088"/>
              <w:gridCol w:w="2088"/>
              <w:gridCol w:w="2088"/>
              <w:gridCol w:w="2088"/>
            </w:tblGrid>
            <w:tr>
              <w:tc>
                <w:tcPr>
                  <w:tcW w:type="dxa" w:w="288"/>
                </w:tcPr>
                <w:p>
                  <w:pPr>
                    <w:bidi w:val="0"/>
                  </w:pPr>
                  <w:r/>
                  <w:r>
                    <w:rPr>
                      <w:b/>
                      <w:sz w:val="20"/>
                    </w:rPr>
                    <w:t>Environment</w:t>
                  </w:r>
                </w:p>
              </w:tc>
              <w:tc>
                <w:tcPr>
                  <w:tcW w:type="dxa" w:w="288"/>
                </w:tcPr>
                <w:p>
                  <w:pPr>
                    <w:bidi w:val="0"/>
                  </w:pPr>
                  <w:r/>
                  <w:r>
                    <w:rPr>
                      <w:b/>
                      <w:sz w:val="20"/>
                    </w:rPr>
                    <w:t>Topology</w:t>
                  </w:r>
                </w:p>
              </w:tc>
              <w:tc>
                <w:tcPr>
                  <w:tcW w:type="dxa" w:w="288"/>
                </w:tcPr>
                <w:p>
                  <w:pPr>
                    <w:bidi w:val="0"/>
                  </w:pPr>
                  <w:r/>
                  <w:r>
                    <w:rPr>
                      <w:b/>
                      <w:sz w:val="20"/>
                    </w:rPr>
                    <w:t>Database edition</w:t>
                  </w:r>
                </w:p>
              </w:tc>
              <w:tc>
                <w:tcPr>
                  <w:tcW w:type="dxa" w:w="288"/>
                </w:tcPr>
                <w:p>
                  <w:pPr>
                    <w:bidi w:val="0"/>
                  </w:pPr>
                  <w:r/>
                  <w:r>
                    <w:rPr>
                      <w:b/>
                      <w:sz w:val="20"/>
                    </w:rPr>
                    <w:t>Nodes</w:t>
                  </w:r>
                </w:p>
              </w:tc>
              <w:tc>
                <w:tcPr>
                  <w:tcW w:type="dxa" w:w="288"/>
                </w:tcPr>
                <w:p>
                  <w:pPr>
                    <w:bidi w:val="0"/>
                  </w:pPr>
                  <w:r/>
                  <w:r>
                    <w:rPr>
                      <w:b/>
                      <w:sz w:val="20"/>
                    </w:rPr>
                    <w:t>Purpose</w:t>
                  </w:r>
                </w:p>
              </w:tc>
            </w:tr>
            <w:tr>
              <w:tc>
                <w:tcPr>
                  <w:tcW w:type="dxa" w:w="2088"/>
                </w:tcPr>
                <w:p>
                  <w:pPr>
                    <w:bidi w:val="0"/>
                  </w:pPr>
                  <w:r/>
                  <w:r>
                    <w:rPr>
                      <w:sz w:val="20"/>
                    </w:rPr>
                    <w:t>Development</w:t>
                  </w:r>
                </w:p>
              </w:tc>
              <w:tc>
                <w:tcPr>
                  <w:tcW w:type="dxa" w:w="2088"/>
                </w:tcPr>
                <w:p>
                  <w:pPr>
                    <w:bidi w:val="0"/>
                  </w:pPr>
                  <w:r/>
                  <w:r>
                    <w:rPr>
                      <w:sz w:val="20"/>
                    </w:rPr>
                    <w:t>One node hosting all four sites</w:t>
                  </w:r>
                </w:p>
              </w:tc>
              <w:tc>
                <w:tcPr>
                  <w:tcW w:type="dxa" w:w="2088"/>
                </w:tcPr>
                <w:p>
                  <w:pPr>
                    <w:bidi w:val="0"/>
                  </w:pPr>
                  <w:r/>
                  <w:r>
                    <w:rPr>
                      <w:sz w:val="20"/>
                    </w:rPr>
                    <w:t>SQL Server Standard, one instance</w:t>
                  </w:r>
                </w:p>
              </w:tc>
              <w:tc>
                <w:tcPr>
                  <w:tcW w:type="dxa" w:w="2088"/>
                </w:tcPr>
                <w:p>
                  <w:pPr>
                    <w:bidi w:val="0"/>
                  </w:pPr>
                  <w:r/>
                  <w:r>
                    <w:rPr>
                      <w:sz w:val="20"/>
                    </w:rPr>
                    <w:t>One application node, one database instance</w:t>
                  </w:r>
                </w:p>
              </w:tc>
              <w:tc>
                <w:tcPr>
                  <w:tcW w:type="dxa" w:w="2088"/>
                </w:tcPr>
                <w:p>
                  <w:pPr>
                    <w:bidi w:val="0"/>
                  </w:pPr>
                  <w:r/>
                  <w:r>
                    <w:rPr>
                      <w:sz w:val="20"/>
                    </w:rPr>
                    <w:t>Feature development, with the OpenAPI description exposed</w:t>
                  </w:r>
                </w:p>
              </w:tc>
            </w:tr>
            <w:tr>
              <w:tc>
                <w:tcPr>
                  <w:tcW w:type="dxa" w:w="2088"/>
                </w:tcPr>
                <w:p>
                  <w:pPr>
                    <w:bidi w:val="0"/>
                  </w:pPr>
                  <w:r/>
                  <w:r>
                    <w:rPr>
                      <w:sz w:val="20"/>
                    </w:rPr>
                    <w:t>Test</w:t>
                  </w:r>
                </w:p>
              </w:tc>
              <w:tc>
                <w:tcPr>
                  <w:tcW w:type="dxa" w:w="2088"/>
                </w:tcPr>
                <w:p>
                  <w:pPr>
                    <w:bidi w:val="0"/>
                  </w:pPr>
                  <w:r/>
                  <w:r>
                    <w:rPr>
                      <w:sz w:val="20"/>
                    </w:rPr>
                    <w:t>One node hosting all four sites</w:t>
                  </w:r>
                </w:p>
              </w:tc>
              <w:tc>
                <w:tcPr>
                  <w:tcW w:type="dxa" w:w="2088"/>
                </w:tcPr>
                <w:p>
                  <w:pPr>
                    <w:bidi w:val="0"/>
                  </w:pPr>
                  <w:r/>
                  <w:r>
                    <w:rPr>
                      <w:sz w:val="20"/>
                    </w:rPr>
                    <w:t>SQL Server Standard, one instance</w:t>
                  </w:r>
                </w:p>
              </w:tc>
              <w:tc>
                <w:tcPr>
                  <w:tcW w:type="dxa" w:w="2088"/>
                </w:tcPr>
                <w:p>
                  <w:pPr>
                    <w:bidi w:val="0"/>
                  </w:pPr>
                  <w:r/>
                  <w:r>
                    <w:rPr>
                      <w:sz w:val="20"/>
                    </w:rPr>
                    <w:t>One application node, one database instance</w:t>
                  </w:r>
                </w:p>
              </w:tc>
              <w:tc>
                <w:tcPr>
                  <w:tcW w:type="dxa" w:w="2088"/>
                </w:tcPr>
                <w:p>
                  <w:pPr>
                    <w:bidi w:val="0"/>
                  </w:pPr>
                  <w:r/>
                  <w:r>
                    <w:rPr>
                      <w:sz w:val="20"/>
                    </w:rPr>
                    <w:t>Integrated verification before promotion, with the OpenAPI description exposed</w:t>
                  </w:r>
                </w:p>
              </w:tc>
            </w:tr>
            <w:tr>
              <w:tc>
                <w:tcPr>
                  <w:tcW w:type="dxa" w:w="2088"/>
                </w:tcPr>
                <w:p>
                  <w:pPr>
                    <w:bidi w:val="0"/>
                  </w:pPr>
                  <w:r/>
                  <w:r>
                    <w:rPr>
                      <w:sz w:val="20"/>
                    </w:rPr>
                    <w:t>Staging</w:t>
                  </w:r>
                </w:p>
              </w:tc>
              <w:tc>
                <w:tcPr>
                  <w:tcW w:type="dxa" w:w="2088"/>
                </w:tcPr>
                <w:p>
                  <w:pPr>
                    <w:bidi w:val="0"/>
                  </w:pPr>
                  <w:r/>
                  <w:r>
                    <w:rPr>
                      <w:sz w:val="20"/>
                    </w:rPr>
                    <w:t>The production topology, reproduced</w:t>
                  </w:r>
                </w:p>
              </w:tc>
              <w:tc>
                <w:tcPr>
                  <w:tcW w:type="dxa" w:w="2088"/>
                </w:tcPr>
                <w:p>
                  <w:pPr>
                    <w:bidi w:val="0"/>
                  </w:pPr>
                  <w:r/>
                  <w:r>
                    <w:rPr>
                      <w:sz w:val="20"/>
                    </w:rPr>
                    <w:t>As production</w:t>
                  </w:r>
                </w:p>
              </w:tc>
              <w:tc>
                <w:tcPr>
                  <w:tcW w:type="dxa" w:w="2088"/>
                </w:tcPr>
                <w:p>
                  <w:pPr>
                    <w:bidi w:val="0"/>
                  </w:pPr>
                  <w:r/>
                  <w:r>
                    <w:rPr>
                      <w:sz w:val="20"/>
                    </w:rPr>
                    <w:t>As production; counts TBD, owner SITE operations, closing when SITE issues them</w:t>
                  </w:r>
                </w:p>
              </w:tc>
              <w:tc>
                <w:tcPr>
                  <w:tcW w:type="dxa" w:w="2088"/>
                </w:tcPr>
                <w:p>
                  <w:pPr>
                    <w:bidi w:val="0"/>
                  </w:pPr>
                  <w:r/>
                  <w:r>
                    <w:rPr>
                      <w:sz w:val="20"/>
                    </w:rPr>
                    <w:t>Pre-production rehearsal of the live service</w:t>
                  </w:r>
                </w:p>
              </w:tc>
            </w:tr>
            <w:tr>
              <w:tc>
                <w:tcPr>
                  <w:tcW w:type="dxa" w:w="2088"/>
                </w:tcPr>
                <w:p>
                  <w:pPr>
                    <w:bidi w:val="0"/>
                  </w:pPr>
                  <w:r/>
                  <w:r>
                    <w:rPr>
                      <w:sz w:val="20"/>
                    </w:rPr>
                    <w:t>Production</w:t>
                  </w:r>
                </w:p>
              </w:tc>
              <w:tc>
                <w:tcPr>
                  <w:tcW w:type="dxa" w:w="2088"/>
                </w:tcPr>
                <w:p>
                  <w:pPr>
                    <w:bidi w:val="0"/>
                  </w:pPr>
                  <w:r/>
                  <w:r>
                    <w:rPr>
                      <w:sz w:val="20"/>
                    </w:rPr>
                    <w:t>Three tiers, presentation, application and data, across two security areas, shown in Figure 1</w:t>
                  </w:r>
                </w:p>
              </w:tc>
              <w:tc>
                <w:tcPr>
                  <w:tcW w:type="dxa" w:w="2088"/>
                </w:tcPr>
                <w:p>
                  <w:pPr>
                    <w:bidi w:val="0"/>
                  </w:pPr>
                  <w:r/>
                  <w:r>
                    <w:rPr>
                      <w:sz w:val="20"/>
                    </w:rPr>
                    <w:t>SQL Server 2022 Enterprise in an AlwaysOn Availability Group</w:t>
                  </w:r>
                </w:p>
              </w:tc>
              <w:tc>
                <w:tcPr>
                  <w:tcW w:type="dxa" w:w="2088"/>
                </w:tcPr>
                <w:p>
                  <w:pPr>
                    <w:bidi w:val="0"/>
                  </w:pPr>
                  <w:r/>
                  <w:r>
                    <w:rPr>
                      <w:sz w:val="20"/>
                    </w:rPr>
                    <w:t>As section 2.1 specifies</w:t>
                  </w:r>
                </w:p>
              </w:tc>
              <w:tc>
                <w:tcPr>
                  <w:tcW w:type="dxa" w:w="2088"/>
                </w:tcPr>
                <w:p>
                  <w:pPr>
                    <w:bidi w:val="0"/>
                  </w:pPr>
                  <w:r/>
                  <w:r>
                    <w:rPr>
                      <w:sz w:val="20"/>
                    </w:rPr>
                    <w:t>Live service</w:t>
                  </w:r>
                </w:p>
              </w:tc>
            </w:tr>
          </w:tbl>
          <w:p/>
          <w:p>
            <w:pPr/>
          </w:p>
          <w:p>
            <w:pPr>
              <w:jc w:val="both"/>
              <w:bidi w:val="0"/>
            </w:pPr>
            <w:r>
              <w:rPr>
                <w:b w:val="0"/>
                <w:sz w:val="20"/>
              </w:rPr>
              <w:t>Staging fills the pre-production role. It must be available two weeks before launch, and the load test runs there. Promotion skips no environment. A change is promoted only after a clean Release build carrying zero warnings. A build warning, or a dependency with a known vulnerability, fails the pipeline and halts promotion.</w:t>
            </w:r>
          </w:p>
          <w:p>
            <w:pPr>
              <w:jc w:val="left"/>
              <w:bidi w:val="0"/>
            </w:pPr>
            <w:r>
              <w:rPr>
                <w:b/>
                <w:sz w:val="20"/>
              </w:rPr>
              <w:t>Zones and network addressing</w:t>
            </w:r>
          </w:p>
          <w:p>
            <w:pPr>
              <w:jc w:val="both"/>
              <w:bidi w:val="0"/>
            </w:pPr>
            <w:r>
              <w:rPr>
                <w:b w:val="0"/>
                <w:sz w:val="20"/>
              </w:rPr>
              <w:t>Figure 1 and the section 2.1 zone table allocate every production component to its security area, SSA or HSA. The same table allocates each component to its network zone. It also carries the per-tier hardware specification. Network addressing and virtual local area network (VLAN) allocation are not yet assigned; section 3 carries them as OI-09.</w:t>
            </w:r>
          </w:p>
          <w:p>
            <w:pPr>
              <w:jc w:val="left"/>
              <w:bidi w:val="0"/>
            </w:pPr>
            <w:r>
              <w:rPr>
                <w:b/>
                <w:sz w:val="20"/>
              </w:rPr>
              <w:t>Production prerequisites</w:t>
            </w:r>
          </w:p>
          <w:p>
            <w:pPr>
              <w:jc w:val="both"/>
              <w:bidi w:val="0"/>
            </w:pPr>
            <w:r>
              <w:rPr>
                <w:b w:val="0"/>
                <w:sz w:val="20"/>
              </w:rPr>
              <w:t>Four items must be in place before go-live, and each carries a named owner. A fifth item is recommended rather than required.</w:t>
            </w:r>
          </w:p>
          <w:p>
            <w:pPr>
              <w:jc w:val="both"/>
              <w:bidi w:val="0"/>
            </w:pPr>
            <w:r>
              <w:rPr>
                <w:b w:val="0"/>
                <w:sz w:val="20"/>
              </w:rPr>
              <w:t>1. A certificate authority signed TLS certificate covering the published SIMF host names. Owner: SITE operations.</w:t>
            </w:r>
          </w:p>
          <w:p>
            <w:pPr>
              <w:jc w:val="both"/>
              <w:bidi w:val="0"/>
            </w:pPr>
            <w:r>
              <w:rPr>
                <w:b w:val="0"/>
                <w:sz w:val="20"/>
              </w:rPr>
              <w:t>2. MinIO object storage provisioned inside HSA. Owner: SITE operations.</w:t>
            </w:r>
          </w:p>
          <w:p>
            <w:pPr>
              <w:jc w:val="both"/>
              <w:bidi w:val="0"/>
            </w:pPr>
            <w:r>
              <w:rPr>
                <w:b w:val="0"/>
                <w:sz w:val="20"/>
              </w:rPr>
              <w:t>3. One shared data-protection key ring folder that the website nodes and the Control Panel nodes can read and write. Owner: SITE operations. Neither site starts without it.</w:t>
            </w:r>
          </w:p>
          <w:p>
            <w:pPr>
              <w:jc w:val="both"/>
              <w:bidi w:val="0"/>
            </w:pPr>
            <w:r>
              <w:rPr>
                <w:b w:val="0"/>
                <w:sz w:val="20"/>
              </w:rPr>
              <w:t>4. Session affinity enabled on the website and Control Panel tiers. Owner: SITE operations.</w:t>
            </w:r>
          </w:p>
          <w:p>
            <w:pPr>
              <w:jc w:val="both"/>
              <w:bidi w:val="0"/>
            </w:pPr>
            <w:r>
              <w:rPr>
                <w:b w:val="0"/>
                <w:sz w:val="20"/>
              </w:rPr>
              <w:t>5. Recommended: an outbound exception permitting the Control Panel hosts, and no other host, to reach the YouTube caption hosts. Owner: the site network team. Section 2.4 states what the platform does when the exception is refused. Section 3 carries it as OI-07.</w:t>
            </w:r>
          </w:p>
          <w:p>
            <w:pPr>
              <w:jc w:val="left"/>
              <w:bidi w:val="0"/>
            </w:pPr>
            <w:r>
              <w:rPr>
                <w:b/>
                <w:sz w:val="20"/>
              </w:rPr>
              <w:t>Service operations</w:t>
            </w:r>
          </w:p>
          <w:p>
            <w:pPr>
              <w:jc w:val="both"/>
              <w:bidi w:val="0"/>
            </w:pPr>
            <w:r>
              <w:rPr>
                <w:b w:val="0"/>
                <w:sz w:val="20"/>
              </w:rPr>
              <w:t>Production hosts four Internet Information Services (IIS) sites, each with its own application pool. The four sites are the API, the Control Panel, the website and the mobile edge. Each site deploys independently of the other three, so one site restarts without stopping the others. Scheduled jobs run inside the API process, as section 2.2 describes, so restarting them means recycling the API application pool. Each node reads its signing key and its two data keys from the key management service (KMS) at start-up. Section 2.5 gives the behaviour when a key cannot be read, and it states how log files reach the ministry log collector.</w:t>
            </w:r>
          </w:p>
        </w:tc>
      </w:tr>
      <w:tr w:rsidR="00784C3E" w:rsidRPr="002323AE" w14:paraId="400CAC93" w14:textId="77777777" w:rsidTr="00D12CD4">
        <w:trPr>
          <w:trHeight w:val="488"/>
        </w:trPr>
        <w:tc>
          <w:tcPr>
            <w:tcW w:w="5000" w:type="pct"/>
            <w:tcBorders>
              <w:bottom w:val="single" w:sz="4" w:space="0" w:color="auto"/>
            </w:tcBorders>
            <w:shd w:val="clear" w:color="auto" w:fill="29504D"/>
            <w:vAlign w:val="center"/>
          </w:tcPr>
          <w:p w14:paraId="04AB70A2" w14:textId="77777777" w:rsidR="00784C3E" w:rsidRPr="002323AE" w:rsidRDefault="00A93EEA" w:rsidP="00E80022">
            <w:pPr>
              <w:bidi w:val="0"/>
            </w:pPr>
            <w:r>
              <w:lastRenderedPageBreak/>
              <w:t xml:space="preserve">2.8 </w:t>
            </w:r>
            <w:r w:rsidR="00784C3E">
              <w:t>Data Architecture View</w:t>
            </w:r>
          </w:p>
        </w:tc>
      </w:tr>
      <w:tr w:rsidR="00784C3E" w:rsidRPr="00846EC5" w14:paraId="267A8992" w14:textId="77777777" w:rsidTr="00444983">
        <w:trPr>
          <w:trHeight w:val="336"/>
        </w:trPr>
        <w:tc>
          <w:tcPr>
            <w:tcW w:w="5000" w:type="pct"/>
            <w:shd w:val="clear" w:color="auto" w:fill="FFFFFF" w:themeFill="background1"/>
            <w:vAlign w:val="center"/>
          </w:tcPr>
          <w:p>
            <w:pPr>
              <w:jc w:val="left"/>
              <w:bidi w:val="0"/>
            </w:pPr>
            <w:r>
              <w:rPr>
                <w:b/>
                <w:sz w:val="20"/>
              </w:rPr>
              <w:t>Logical data groups</w:t>
            </w:r>
          </w:p>
          <w:p>
            <w:pPr>
              <w:jc w:val="both"/>
              <w:bidi w:val="0"/>
            </w:pPr>
            <w:r>
              <w:rPr>
                <w:b w:val="0"/>
                <w:sz w:val="20"/>
              </w:rPr>
              <w:t>Two physically separate SQL Server 2022 databases hold all persistent data. The split is permanent and isolates the identity surface. SIMF_Identity holds accounts, roles and permissions, token and second-factor material, device keys and password history. SIMF_App holds business data: profiles, the programme, seating and gate activity, published content, networking, feedback, configuration and both audit trails.</w:t>
            </w:r>
          </w:p>
          <w:p>
            <w:pPr>
              <w:jc w:val="left"/>
              <w:bidi w:val="0"/>
            </w:pPr>
            <w:r>
              <w:rPr>
                <w:b/>
                <w:sz w:val="20"/>
              </w:rPr>
              <w:t>Separation invariants</w:t>
            </w:r>
          </w:p>
          <w:p>
            <w:pPr>
              <w:jc w:val="both"/>
              <w:bidi w:val="0"/>
            </w:pPr>
            <w:r>
              <w:rPr>
                <w:b w:val="0"/>
                <w:sz w:val="20"/>
              </w:rPr>
              <w:t>These three rules are permanent.</w:t>
            </w:r>
          </w:p>
          <w:p>
            <w:pPr>
              <w:jc w:val="both"/>
              <w:bidi w:val="0"/>
            </w:pPr>
            <w:r>
              <w:rPr>
                <w:b w:val="0"/>
                <w:sz w:val="20"/>
              </w:rPr>
              <w:t>•  No foreign key spans the two databases; a business record names a user by a bare identifier, resolved by a second query.</w:t>
            </w:r>
          </w:p>
          <w:p>
            <w:pPr>
              <w:jc w:val="both"/>
              <w:bidi w:val="0"/>
            </w:pPr>
            <w:r>
              <w:rPr>
                <w:b w:val="0"/>
                <w:sz w:val="20"/>
              </w:rPr>
              <w:t>•  Live data is never duplicated; the one permitted copy is an immutable audit snapshot of the actor's name and e-mail.</w:t>
            </w:r>
          </w:p>
          <w:p>
            <w:pPr>
              <w:jc w:val="both"/>
              <w:bidi w:val="0"/>
            </w:pPr>
            <w:r>
              <w:rPr>
                <w:b w:val="0"/>
                <w:sz w:val="20"/>
              </w:rPr>
              <w:t>•  No transaction spans both databases, and each connection string may address one instance or two servers.</w:t>
            </w:r>
          </w:p>
          <w:p>
            <w:pPr>
              <w:jc w:val="left"/>
              <w:bidi w:val="0"/>
            </w:pPr>
            <w:r>
              <w:rPr>
                <w:b/>
                <w:sz w:val="20"/>
              </w:rPr>
              <w:t>Data flow</w:t>
            </w:r>
          </w:p>
          <w:p>
            <w:pPr>
              <w:jc w:val="both"/>
              <w:bidi w:val="0"/>
            </w:pPr>
            <w:r>
              <w:rPr>
                <w:b w:val="0"/>
                <w:sz w:val="20"/>
              </w:rPr>
              <w:t>TLS terminates at the WAF and load balancer, which routes each client to its presentation component. Those components call SIMF.Api through the API load balancer, crossing the internal firewall. The API authorises the caller, then reaches the databases, file store, mail relay and inference endpoint. The badge desk workstation sits on the venue network, outside the SSA and the HSA. It uploads each shift through the WAF and load balancer; section 2.1 states the firewall rule that governs this path. Figure 2 shows these flows and their trust boundaries.</w:t>
            </w:r>
          </w:p>
          <w:p>
            <w:pPr>
              <w:jc w:val="left"/>
              <w:bidi w:val="0"/>
            </w:pPr>
            <w:r>
              <w:rPr>
                <w:b/>
                <w:sz w:val="20"/>
              </w:rPr>
              <w:t>File store</w:t>
            </w:r>
          </w:p>
          <w:p>
            <w:pPr>
              <w:jc w:val="both"/>
              <w:bidi w:val="0"/>
            </w:pPr>
            <w:r>
              <w:rPr>
                <w:b w:val="0"/>
                <w:sz w:val="20"/>
              </w:rPr>
              <w:t>The file store holds binary content kept out of the database and readable by any node. MinIO serves it over the S3 API; database rows carry only object keys. Every read and write passes through the API, which applies the content's category policy; no client reaches the store. Four sensitivity tiers classify stored content. Section 2.9 states which content is encrypted at rest. The tier definitions and the rule that assigns content to a tier are TBD, owner Apexium. The closing condition is the file classification published in the Solution Design Document. Session recordings rely on access control, because byte-range playback needs seekable content.</w:t>
            </w:r>
          </w:p>
          <w:p>
            <w:pPr>
              <w:jc w:val="left"/>
              <w:bidi w:val="0"/>
            </w:pPr>
            <w:r>
              <w:rPr>
                <w:b/>
                <w:sz w:val="20"/>
              </w:rPr>
              <w:t>Integrity and validation</w:t>
            </w:r>
          </w:p>
          <w:p>
            <w:pPr>
              <w:jc w:val="both"/>
              <w:bidi w:val="0"/>
            </w:pPr>
            <w:r>
              <w:rPr>
                <w:b w:val="0"/>
                <w:sz w:val="20"/>
              </w:rPr>
              <w:t>•  Primary keys, foreign keys and unique indexes inside each database prevent duplication.</w:t>
            </w:r>
          </w:p>
          <w:p>
            <w:pPr>
              <w:jc w:val="both"/>
              <w:bidi w:val="0"/>
            </w:pPr>
            <w:r>
              <w:rPr>
                <w:b w:val="0"/>
                <w:sz w:val="20"/>
              </w:rPr>
              <w:t>•  Each unit of work is atomic within one database, so no partial update survives.</w:t>
            </w:r>
          </w:p>
          <w:p>
            <w:pPr>
              <w:jc w:val="both"/>
              <w:bidi w:val="0"/>
            </w:pPr>
            <w:r>
              <w:rPr>
                <w:b w:val="0"/>
                <w:sz w:val="20"/>
              </w:rPr>
              <w:t>•  The software engineering standards document governs server-side input validation and parameterised data access.</w:t>
            </w:r>
          </w:p>
          <w:p>
            <w:pPr>
              <w:jc w:val="both"/>
              <w:bidi w:val="0"/>
            </w:pPr>
            <w:r>
              <w:rPr>
                <w:b w:val="0"/>
                <w:sz w:val="20"/>
              </w:rPr>
              <w:t>•  Section 2.9 states the encryption posture, at rest and in transit.</w:t>
            </w:r>
          </w:p>
          <w:p>
            <w:pPr>
              <w:jc w:val="both"/>
              <w:bidi w:val="0"/>
            </w:pPr>
            <w:r>
              <w:rPr>
                <w:b w:val="0"/>
                <w:sz w:val="20"/>
              </w:rPr>
              <w:t>•  Business records are deactivated rather than deleted, preserving referential history; section 2.5 defines the audit trails.</w:t>
            </w:r>
          </w:p>
          <w:p>
            <w:pPr>
              <w:jc w:val="both"/>
              <w:bidi w:val="0"/>
            </w:pPr>
            <w:r>
              <w:rPr>
                <w:b w:val="0"/>
                <w:sz w:val="20"/>
              </w:rPr>
              <w:t>Concurrent sessions and throughput are stated in section 2.1.</w:t>
            </w:r>
          </w:p>
          <w:p>
            <w:pPr>
              <w:jc w:val="left"/>
              <w:bidi w:val="0"/>
            </w:pPr>
            <w:r>
              <w:rPr>
                <w:b/>
                <w:sz w:val="20"/>
              </w:rPr>
              <w:t>Communication requirements matrix</w:t>
            </w:r>
          </w:p>
          <w:p>
            <w:pPr>
              <w:jc w:val="both"/>
              <w:bidi w:val="0"/>
            </w:pPr>
            <w:r>
              <w:rPr>
                <w:b w:val="0"/>
                <w:sz w:val="20"/>
              </w:rPr>
              <w:t>The matrix below records every flow drawn on Figure 1.</w:t>
            </w:r>
          </w:p>
          <w:tbl>
            <w:tblPr>
              <w:tblStyle w:val="TableGrid"/>
              <w:tblLayout w:type="autofit"/>
              <w:tblLook w:firstColumn="1" w:firstRow="1" w:lastColumn="0" w:lastRow="0" w:noHBand="0" w:noVBand="1" w:val="04A0"/>
              <w:tblW w:w="5000" w:type="pct"/>
            </w:tblPr>
            <w:tblGrid>
              <w:gridCol w:w="1740"/>
              <w:gridCol w:w="1740"/>
              <w:gridCol w:w="1740"/>
              <w:gridCol w:w="1740"/>
              <w:gridCol w:w="1740"/>
              <w:gridCol w:w="1740"/>
            </w:tblGrid>
            <w:tr>
              <w:tc>
                <w:tcPr>
                  <w:tcW w:type="dxa" w:w="240"/>
                </w:tcPr>
                <w:p>
                  <w:pPr>
                    <w:bidi w:val="0"/>
                  </w:pPr>
                  <w:r/>
                  <w:r>
                    <w:rPr>
                      <w:b/>
                      <w:sz w:val="20"/>
                    </w:rPr>
                    <w:t>Source</w:t>
                  </w:r>
                </w:p>
              </w:tc>
              <w:tc>
                <w:tcPr>
                  <w:tcW w:type="dxa" w:w="240"/>
                </w:tcPr>
                <w:p>
                  <w:pPr>
                    <w:bidi w:val="0"/>
                  </w:pPr>
                  <w:r/>
                  <w:r>
                    <w:rPr>
                      <w:b/>
                      <w:sz w:val="20"/>
                    </w:rPr>
                    <w:t>Destination</w:t>
                  </w:r>
                </w:p>
              </w:tc>
              <w:tc>
                <w:tcPr>
                  <w:tcW w:type="dxa" w:w="240"/>
                </w:tcPr>
                <w:p>
                  <w:pPr>
                    <w:bidi w:val="0"/>
                  </w:pPr>
                  <w:r/>
                  <w:r>
                    <w:rPr>
                      <w:b/>
                      <w:sz w:val="20"/>
                    </w:rPr>
                    <w:t>Protocol</w:t>
                  </w:r>
                </w:p>
              </w:tc>
              <w:tc>
                <w:tcPr>
                  <w:tcW w:type="dxa" w:w="240"/>
                </w:tcPr>
                <w:p>
                  <w:pPr>
                    <w:bidi w:val="0"/>
                  </w:pPr>
                  <w:r/>
                  <w:r>
                    <w:rPr>
                      <w:b/>
                      <w:sz w:val="20"/>
                    </w:rPr>
                    <w:t>Port</w:t>
                  </w:r>
                </w:p>
              </w:tc>
              <w:tc>
                <w:tcPr>
                  <w:tcW w:type="dxa" w:w="240"/>
                </w:tcPr>
                <w:p>
                  <w:pPr>
                    <w:bidi w:val="0"/>
                  </w:pPr>
                  <w:r/>
                  <w:r>
                    <w:rPr>
                      <w:b/>
                      <w:sz w:val="20"/>
                    </w:rPr>
                    <w:t>Direction</w:t>
                  </w:r>
                </w:p>
              </w:tc>
              <w:tc>
                <w:tcPr>
                  <w:tcW w:type="dxa" w:w="240"/>
                </w:tcPr>
                <w:p>
                  <w:pPr>
                    <w:bidi w:val="0"/>
                  </w:pPr>
                  <w:r/>
                  <w:r>
                    <w:rPr>
                      <w:b/>
                      <w:sz w:val="20"/>
                    </w:rPr>
                    <w:t>Purpose</w:t>
                  </w:r>
                </w:p>
              </w:tc>
            </w:tr>
            <w:tr>
              <w:tc>
                <w:tcPr>
                  <w:tcW w:type="dxa" w:w="1740"/>
                </w:tcPr>
                <w:p>
                  <w:pPr>
                    <w:bidi w:val="0"/>
                  </w:pPr>
                  <w:r/>
                  <w:r>
                    <w:rPr>
                      <w:sz w:val="20"/>
                    </w:rPr>
                    <w:t>Mobile app, Internet</w:t>
                  </w:r>
                </w:p>
              </w:tc>
              <w:tc>
                <w:tcPr>
                  <w:tcW w:type="dxa" w:w="1740"/>
                </w:tcPr>
                <w:p>
                  <w:pPr>
                    <w:bidi w:val="0"/>
                  </w:pPr>
                  <w:r/>
                  <w:r>
                    <w:rPr>
                      <w:sz w:val="20"/>
                    </w:rPr>
                    <w:t>WAF and load balancer</w:t>
                  </w:r>
                </w:p>
              </w:tc>
              <w:tc>
                <w:tcPr>
                  <w:tcW w:type="dxa" w:w="1740"/>
                </w:tcPr>
                <w:p>
                  <w:pPr>
                    <w:bidi w:val="0"/>
                  </w:pPr>
                  <w:r/>
                  <w:r>
                    <w:rPr>
                      <w:sz w:val="20"/>
                    </w:rPr>
                    <w:t>HTTPS, TLS 1.2+</w:t>
                  </w:r>
                </w:p>
              </w:tc>
              <w:tc>
                <w:tcPr>
                  <w:tcW w:type="dxa" w:w="1740"/>
                </w:tcPr>
                <w:p>
                  <w:pPr>
                    <w:bidi w:val="0"/>
                  </w:pPr>
                  <w:r/>
                  <w:r>
                    <w:rPr>
                      <w:sz w:val="20"/>
                    </w:rPr>
                    <w:t>443</w:t>
                  </w:r>
                </w:p>
              </w:tc>
              <w:tc>
                <w:tcPr>
                  <w:tcW w:type="dxa" w:w="1740"/>
                </w:tcPr>
                <w:p>
                  <w:pPr>
                    <w:bidi w:val="0"/>
                  </w:pPr>
                  <w:r/>
                  <w:r>
                    <w:rPr>
                      <w:sz w:val="20"/>
                    </w:rPr>
                    <w:t>Inbound</w:t>
                  </w:r>
                </w:p>
              </w:tc>
              <w:tc>
                <w:tcPr>
                  <w:tcW w:type="dxa" w:w="1740"/>
                </w:tcPr>
                <w:p>
                  <w:pPr>
                    <w:bidi w:val="0"/>
                  </w:pPr>
                  <w:r/>
                  <w:r>
                    <w:rPr>
                      <w:sz w:val="20"/>
                    </w:rPr>
                    <w:t>Application traffic</w:t>
                  </w:r>
                </w:p>
              </w:tc>
            </w:tr>
            <w:tr>
              <w:tc>
                <w:tcPr>
                  <w:tcW w:type="dxa" w:w="1740"/>
                </w:tcPr>
                <w:p>
                  <w:pPr>
                    <w:bidi w:val="0"/>
                  </w:pPr>
                  <w:r/>
                  <w:r>
                    <w:rPr>
                      <w:sz w:val="20"/>
                    </w:rPr>
                    <w:t>Public browser, Internet</w:t>
                  </w:r>
                </w:p>
              </w:tc>
              <w:tc>
                <w:tcPr>
                  <w:tcW w:type="dxa" w:w="1740"/>
                </w:tcPr>
                <w:p>
                  <w:pPr>
                    <w:bidi w:val="0"/>
                  </w:pPr>
                  <w:r/>
                  <w:r>
                    <w:rPr>
                      <w:sz w:val="20"/>
                    </w:rPr>
                    <w:t>WAF and load balancer</w:t>
                  </w:r>
                </w:p>
              </w:tc>
              <w:tc>
                <w:tcPr>
                  <w:tcW w:type="dxa" w:w="1740"/>
                </w:tcPr>
                <w:p>
                  <w:pPr>
                    <w:bidi w:val="0"/>
                  </w:pPr>
                  <w:r/>
                  <w:r>
                    <w:rPr>
                      <w:sz w:val="20"/>
                    </w:rPr>
                    <w:t>HTTPS, TLS 1.2+</w:t>
                  </w:r>
                </w:p>
              </w:tc>
              <w:tc>
                <w:tcPr>
                  <w:tcW w:type="dxa" w:w="1740"/>
                </w:tcPr>
                <w:p>
                  <w:pPr>
                    <w:bidi w:val="0"/>
                  </w:pPr>
                  <w:r/>
                  <w:r>
                    <w:rPr>
                      <w:sz w:val="20"/>
                    </w:rPr>
                    <w:t>443</w:t>
                  </w:r>
                </w:p>
              </w:tc>
              <w:tc>
                <w:tcPr>
                  <w:tcW w:type="dxa" w:w="1740"/>
                </w:tcPr>
                <w:p>
                  <w:pPr>
                    <w:bidi w:val="0"/>
                  </w:pPr>
                  <w:r/>
                  <w:r>
                    <w:rPr>
                      <w:sz w:val="20"/>
                    </w:rPr>
                    <w:t>Inbound</w:t>
                  </w:r>
                </w:p>
              </w:tc>
              <w:tc>
                <w:tcPr>
                  <w:tcW w:type="dxa" w:w="1740"/>
                </w:tcPr>
                <w:p>
                  <w:pPr>
                    <w:bidi w:val="0"/>
                  </w:pPr>
                  <w:r/>
                  <w:r>
                    <w:rPr>
                      <w:sz w:val="20"/>
                    </w:rPr>
                    <w:t>Website traffic</w:t>
                  </w:r>
                </w:p>
              </w:tc>
            </w:tr>
            <w:tr>
              <w:tc>
                <w:tcPr>
                  <w:tcW w:type="dxa" w:w="1740"/>
                </w:tcPr>
                <w:p>
                  <w:pPr>
                    <w:bidi w:val="0"/>
                  </w:pPr>
                  <w:r/>
                  <w:r>
                    <w:rPr>
                      <w:sz w:val="20"/>
                    </w:rPr>
                    <w:t>Administrator, Internet</w:t>
                  </w:r>
                </w:p>
              </w:tc>
              <w:tc>
                <w:tcPr>
                  <w:tcW w:type="dxa" w:w="1740"/>
                </w:tcPr>
                <w:p>
                  <w:pPr>
                    <w:bidi w:val="0"/>
                  </w:pPr>
                  <w:r/>
                  <w:r>
                    <w:rPr>
                      <w:sz w:val="20"/>
                    </w:rPr>
                    <w:t>WAF and load balancer</w:t>
                  </w:r>
                </w:p>
              </w:tc>
              <w:tc>
                <w:tcPr>
                  <w:tcW w:type="dxa" w:w="1740"/>
                </w:tcPr>
                <w:p>
                  <w:pPr>
                    <w:bidi w:val="0"/>
                  </w:pPr>
                  <w:r/>
                  <w:r>
                    <w:rPr>
                      <w:sz w:val="20"/>
                    </w:rPr>
                    <w:t>HTTPS, TLS 1.2+</w:t>
                  </w:r>
                </w:p>
              </w:tc>
              <w:tc>
                <w:tcPr>
                  <w:tcW w:type="dxa" w:w="1740"/>
                </w:tcPr>
                <w:p>
                  <w:pPr>
                    <w:bidi w:val="0"/>
                  </w:pPr>
                  <w:r/>
                  <w:r>
                    <w:rPr>
                      <w:sz w:val="20"/>
                    </w:rPr>
                    <w:t>443</w:t>
                  </w:r>
                </w:p>
              </w:tc>
              <w:tc>
                <w:tcPr>
                  <w:tcW w:type="dxa" w:w="1740"/>
                </w:tcPr>
                <w:p>
                  <w:pPr>
                    <w:bidi w:val="0"/>
                  </w:pPr>
                  <w:r/>
                  <w:r>
                    <w:rPr>
                      <w:sz w:val="20"/>
                    </w:rPr>
                    <w:t>Inbound</w:t>
                  </w:r>
                </w:p>
              </w:tc>
              <w:tc>
                <w:tcPr>
                  <w:tcW w:type="dxa" w:w="1740"/>
                </w:tcPr>
                <w:p>
                  <w:pPr>
                    <w:bidi w:val="0"/>
                  </w:pPr>
                  <w:r/>
                  <w:r>
                    <w:rPr>
                      <w:sz w:val="20"/>
                    </w:rPr>
                    <w:t>Control Panel traffic</w:t>
                  </w:r>
                </w:p>
              </w:tc>
            </w:tr>
            <w:tr>
              <w:tc>
                <w:tcPr>
                  <w:tcW w:type="dxa" w:w="1740"/>
                </w:tcPr>
                <w:p>
                  <w:pPr>
                    <w:bidi w:val="0"/>
                  </w:pPr>
                  <w:r/>
                  <w:r>
                    <w:rPr>
                      <w:sz w:val="20"/>
                    </w:rPr>
                    <w:t>Badge desk workstation, venue network</w:t>
                  </w:r>
                </w:p>
              </w:tc>
              <w:tc>
                <w:tcPr>
                  <w:tcW w:type="dxa" w:w="1740"/>
                </w:tcPr>
                <w:p>
                  <w:pPr>
                    <w:bidi w:val="0"/>
                  </w:pPr>
                  <w:r/>
                  <w:r>
                    <w:rPr>
                      <w:sz w:val="20"/>
                    </w:rPr>
                    <w:t>WAF and load balancer</w:t>
                  </w:r>
                </w:p>
              </w:tc>
              <w:tc>
                <w:tcPr>
                  <w:tcW w:type="dxa" w:w="1740"/>
                </w:tcPr>
                <w:p>
                  <w:pPr>
                    <w:bidi w:val="0"/>
                  </w:pPr>
                  <w:r/>
                  <w:r>
                    <w:rPr>
                      <w:sz w:val="20"/>
                    </w:rPr>
                    <w:t>HTTPS, TLS 1.2+</w:t>
                  </w:r>
                </w:p>
              </w:tc>
              <w:tc>
                <w:tcPr>
                  <w:tcW w:type="dxa" w:w="1740"/>
                </w:tcPr>
                <w:p>
                  <w:pPr>
                    <w:bidi w:val="0"/>
                  </w:pPr>
                  <w:r/>
                  <w:r>
                    <w:rPr>
                      <w:sz w:val="20"/>
                    </w:rPr>
                    <w:t>443</w:t>
                  </w:r>
                </w:p>
              </w:tc>
              <w:tc>
                <w:tcPr>
                  <w:tcW w:type="dxa" w:w="1740"/>
                </w:tcPr>
                <w:p>
                  <w:pPr>
                    <w:bidi w:val="0"/>
                  </w:pPr>
                  <w:r/>
                  <w:r>
                    <w:rPr>
                      <w:sz w:val="20"/>
                    </w:rPr>
                    <w:t>Inbound</w:t>
                  </w:r>
                </w:p>
              </w:tc>
              <w:tc>
                <w:tcPr>
                  <w:tcW w:type="dxa" w:w="1740"/>
                </w:tcPr>
                <w:p>
                  <w:pPr>
                    <w:bidi w:val="0"/>
                  </w:pPr>
                  <w:r/>
                  <w:r>
                    <w:rPr>
                      <w:sz w:val="20"/>
                    </w:rPr>
                    <w:t>Badge desk shift batch upload</w:t>
                  </w:r>
                </w:p>
              </w:tc>
            </w:tr>
            <w:tr>
              <w:tc>
                <w:tcPr>
                  <w:tcW w:type="dxa" w:w="1740"/>
                </w:tcPr>
                <w:p>
                  <w:pPr>
                    <w:bidi w:val="0"/>
                  </w:pPr>
                  <w:r/>
                  <w:r>
                    <w:rPr>
                      <w:sz w:val="20"/>
                    </w:rPr>
                    <w:t>WAF and load balancer</w:t>
                  </w:r>
                </w:p>
              </w:tc>
              <w:tc>
                <w:tcPr>
                  <w:tcW w:type="dxa" w:w="1740"/>
                </w:tcPr>
                <w:p>
                  <w:pPr>
                    <w:bidi w:val="0"/>
                  </w:pPr>
                  <w:r/>
                  <w:r>
                    <w:rPr>
                      <w:sz w:val="20"/>
                    </w:rPr>
                    <w:t>SIMF.MobileEdge</w:t>
                  </w:r>
                </w:p>
              </w:tc>
              <w:tc>
                <w:tcPr>
                  <w:tcW w:type="dxa" w:w="1740"/>
                </w:tcPr>
                <w:p>
                  <w:pPr>
                    <w:bidi w:val="0"/>
                  </w:pPr>
                  <w:r/>
                  <w:r>
                    <w:rPr>
                      <w:sz w:val="20"/>
                    </w:rPr>
                    <w:t>HTTPS</w:t>
                  </w:r>
                </w:p>
              </w:tc>
              <w:tc>
                <w:tcPr>
                  <w:tcW w:type="dxa" w:w="1740"/>
                </w:tcPr>
                <w:p>
                  <w:pPr>
                    <w:bidi w:val="0"/>
                  </w:pPr>
                  <w:r/>
                  <w:r>
                    <w:rPr>
                      <w:sz w:val="20"/>
                    </w:rPr>
                    <w:t>443</w:t>
                  </w:r>
                </w:p>
              </w:tc>
              <w:tc>
                <w:tcPr>
                  <w:tcW w:type="dxa" w:w="1740"/>
                </w:tcPr>
                <w:p>
                  <w:pPr>
                    <w:bidi w:val="0"/>
                  </w:pPr>
                  <w:r/>
                  <w:r>
                    <w:rPr>
                      <w:sz w:val="20"/>
                    </w:rPr>
                    <w:t>Internal, SSA</w:t>
                  </w:r>
                </w:p>
              </w:tc>
              <w:tc>
                <w:tcPr>
                  <w:tcW w:type="dxa" w:w="1740"/>
                </w:tcPr>
                <w:p>
                  <w:pPr>
                    <w:bidi w:val="0"/>
                  </w:pPr>
                  <w:r/>
                  <w:r>
                    <w:rPr>
                      <w:sz w:val="20"/>
                    </w:rPr>
                    <w:t>Mobile edge requests</w:t>
                  </w:r>
                </w:p>
              </w:tc>
            </w:tr>
            <w:tr>
              <w:tc>
                <w:tcPr>
                  <w:tcW w:type="dxa" w:w="1740"/>
                </w:tcPr>
                <w:p>
                  <w:pPr>
                    <w:bidi w:val="0"/>
                  </w:pPr>
                  <w:r/>
                  <w:r>
                    <w:rPr>
                      <w:sz w:val="20"/>
                    </w:rPr>
                    <w:t>WAF and load balancer</w:t>
                  </w:r>
                </w:p>
              </w:tc>
              <w:tc>
                <w:tcPr>
                  <w:tcW w:type="dxa" w:w="1740"/>
                </w:tcPr>
                <w:p>
                  <w:pPr>
                    <w:bidi w:val="0"/>
                  </w:pPr>
                  <w:r/>
                  <w:r>
                    <w:rPr>
                      <w:sz w:val="20"/>
                    </w:rPr>
                    <w:t>SIMF.Web</w:t>
                  </w:r>
                </w:p>
              </w:tc>
              <w:tc>
                <w:tcPr>
                  <w:tcW w:type="dxa" w:w="1740"/>
                </w:tcPr>
                <w:p>
                  <w:pPr>
                    <w:bidi w:val="0"/>
                  </w:pPr>
                  <w:r/>
                  <w:r>
                    <w:rPr>
                      <w:sz w:val="20"/>
                    </w:rPr>
                    <w:t>HTTPS</w:t>
                  </w:r>
                </w:p>
              </w:tc>
              <w:tc>
                <w:tcPr>
                  <w:tcW w:type="dxa" w:w="1740"/>
                </w:tcPr>
                <w:p>
                  <w:pPr>
                    <w:bidi w:val="0"/>
                  </w:pPr>
                  <w:r/>
                  <w:r>
                    <w:rPr>
                      <w:sz w:val="20"/>
                    </w:rPr>
                    <w:t>443</w:t>
                  </w:r>
                </w:p>
              </w:tc>
              <w:tc>
                <w:tcPr>
                  <w:tcW w:type="dxa" w:w="1740"/>
                </w:tcPr>
                <w:p>
                  <w:pPr>
                    <w:bidi w:val="0"/>
                  </w:pPr>
                  <w:r/>
                  <w:r>
                    <w:rPr>
                      <w:sz w:val="20"/>
                    </w:rPr>
                    <w:t>Internal, SSA</w:t>
                  </w:r>
                </w:p>
              </w:tc>
              <w:tc>
                <w:tcPr>
                  <w:tcW w:type="dxa" w:w="1740"/>
                </w:tcPr>
                <w:p>
                  <w:pPr>
                    <w:bidi w:val="0"/>
                  </w:pPr>
                  <w:r/>
                  <w:r>
                    <w:rPr>
                      <w:sz w:val="20"/>
                    </w:rPr>
                    <w:t>Website rendering</w:t>
                  </w:r>
                </w:p>
              </w:tc>
            </w:tr>
            <w:tr>
              <w:tc>
                <w:tcPr>
                  <w:tcW w:type="dxa" w:w="1740"/>
                </w:tcPr>
                <w:p>
                  <w:pPr>
                    <w:bidi w:val="0"/>
                  </w:pPr>
                  <w:r/>
                  <w:r>
                    <w:rPr>
                      <w:sz w:val="20"/>
                    </w:rPr>
                    <w:t>WAF and load balancer</w:t>
                  </w:r>
                </w:p>
              </w:tc>
              <w:tc>
                <w:tcPr>
                  <w:tcW w:type="dxa" w:w="1740"/>
                </w:tcPr>
                <w:p>
                  <w:pPr>
                    <w:bidi w:val="0"/>
                  </w:pPr>
                  <w:r/>
                  <w:r>
                    <w:rPr>
                      <w:sz w:val="20"/>
                    </w:rPr>
                    <w:t>SIMF.ControlPanel</w:t>
                  </w:r>
                </w:p>
              </w:tc>
              <w:tc>
                <w:tcPr>
                  <w:tcW w:type="dxa" w:w="1740"/>
                </w:tcPr>
                <w:p>
                  <w:pPr>
                    <w:bidi w:val="0"/>
                  </w:pPr>
                  <w:r/>
                  <w:r>
                    <w:rPr>
                      <w:sz w:val="20"/>
                    </w:rPr>
                    <w:t>HTTPS</w:t>
                  </w:r>
                </w:p>
              </w:tc>
              <w:tc>
                <w:tcPr>
                  <w:tcW w:type="dxa" w:w="1740"/>
                </w:tcPr>
                <w:p>
                  <w:pPr>
                    <w:bidi w:val="0"/>
                  </w:pPr>
                  <w:r/>
                  <w:r>
                    <w:rPr>
                      <w:sz w:val="20"/>
                    </w:rPr>
                    <w:t>443</w:t>
                  </w:r>
                </w:p>
              </w:tc>
              <w:tc>
                <w:tcPr>
                  <w:tcW w:type="dxa" w:w="1740"/>
                </w:tcPr>
                <w:p>
                  <w:pPr>
                    <w:bidi w:val="0"/>
                  </w:pPr>
                  <w:r/>
                  <w:r>
                    <w:rPr>
                      <w:sz w:val="20"/>
                    </w:rPr>
                    <w:t>Internal, SSA</w:t>
                  </w:r>
                </w:p>
              </w:tc>
              <w:tc>
                <w:tcPr>
                  <w:tcW w:type="dxa" w:w="1740"/>
                </w:tcPr>
                <w:p>
                  <w:pPr>
                    <w:bidi w:val="0"/>
                  </w:pPr>
                  <w:r/>
                  <w:r>
                    <w:rPr>
                      <w:sz w:val="20"/>
                    </w:rPr>
                    <w:t>Administration</w:t>
                  </w:r>
                </w:p>
              </w:tc>
            </w:tr>
            <w:tr>
              <w:tc>
                <w:tcPr>
                  <w:tcW w:type="dxa" w:w="1740"/>
                </w:tcPr>
                <w:p>
                  <w:pPr>
                    <w:bidi w:val="0"/>
                  </w:pPr>
                  <w:r/>
                  <w:r>
                    <w:rPr>
                      <w:sz w:val="20"/>
                    </w:rPr>
                    <w:t>SIMF.MobileEdge, SIMF.Web, SIMF.ControlPanel</w:t>
                  </w:r>
                </w:p>
              </w:tc>
              <w:tc>
                <w:tcPr>
                  <w:tcW w:type="dxa" w:w="1740"/>
                </w:tcPr>
                <w:p>
                  <w:pPr>
                    <w:bidi w:val="0"/>
                  </w:pPr>
                  <w:r/>
                  <w:r>
                    <w:rPr>
                      <w:sz w:val="20"/>
                    </w:rPr>
                    <w:t>API load balancer</w:t>
                  </w:r>
                </w:p>
              </w:tc>
              <w:tc>
                <w:tcPr>
                  <w:tcW w:type="dxa" w:w="1740"/>
                </w:tcPr>
                <w:p>
                  <w:pPr>
                    <w:bidi w:val="0"/>
                  </w:pPr>
                  <w:r/>
                  <w:r>
                    <w:rPr>
                      <w:sz w:val="20"/>
                    </w:rPr>
                    <w:t>HTTPS</w:t>
                  </w:r>
                </w:p>
              </w:tc>
              <w:tc>
                <w:tcPr>
                  <w:tcW w:type="dxa" w:w="1740"/>
                </w:tcPr>
                <w:p>
                  <w:pPr>
                    <w:bidi w:val="0"/>
                  </w:pPr>
                  <w:r/>
                  <w:r>
                    <w:rPr>
                      <w:sz w:val="20"/>
                    </w:rPr>
                    <w:t>443</w:t>
                  </w:r>
                </w:p>
              </w:tc>
              <w:tc>
                <w:tcPr>
                  <w:tcW w:type="dxa" w:w="1740"/>
                </w:tcPr>
                <w:p>
                  <w:pPr>
                    <w:bidi w:val="0"/>
                  </w:pPr>
                  <w:r/>
                  <w:r>
                    <w:rPr>
                      <w:sz w:val="20"/>
                    </w:rPr>
                    <w:t>SSA to HSA</w:t>
                  </w:r>
                </w:p>
              </w:tc>
              <w:tc>
                <w:tcPr>
                  <w:tcW w:type="dxa" w:w="1740"/>
                </w:tcPr>
                <w:p>
                  <w:pPr>
                    <w:bidi w:val="0"/>
                  </w:pPr>
                  <w:r/>
                  <w:r>
                    <w:rPr>
                      <w:sz w:val="20"/>
                    </w:rPr>
                    <w:t>Presentation to API</w:t>
                  </w:r>
                </w:p>
              </w:tc>
            </w:tr>
            <w:tr>
              <w:tc>
                <w:tcPr>
                  <w:tcW w:type="dxa" w:w="1740"/>
                </w:tcPr>
                <w:p>
                  <w:pPr>
                    <w:bidi w:val="0"/>
                  </w:pPr>
                  <w:r/>
                  <w:r>
                    <w:rPr>
                      <w:sz w:val="20"/>
                    </w:rPr>
                    <w:t>API load balancer</w:t>
                  </w:r>
                </w:p>
              </w:tc>
              <w:tc>
                <w:tcPr>
                  <w:tcW w:type="dxa" w:w="1740"/>
                </w:tcPr>
                <w:p>
                  <w:pPr>
                    <w:bidi w:val="0"/>
                  </w:pPr>
                  <w:r/>
                  <w:r>
                    <w:rPr>
                      <w:sz w:val="20"/>
                    </w:rPr>
                    <w:t>SIMF.Api</w:t>
                  </w:r>
                </w:p>
              </w:tc>
              <w:tc>
                <w:tcPr>
                  <w:tcW w:type="dxa" w:w="1740"/>
                </w:tcPr>
                <w:p>
                  <w:pPr>
                    <w:bidi w:val="0"/>
                  </w:pPr>
                  <w:r/>
                  <w:r>
                    <w:rPr>
                      <w:sz w:val="20"/>
                    </w:rPr>
                    <w:t>HTTPS</w:t>
                  </w:r>
                </w:p>
              </w:tc>
              <w:tc>
                <w:tcPr>
                  <w:tcW w:type="dxa" w:w="1740"/>
                </w:tcPr>
                <w:p>
                  <w:pPr>
                    <w:bidi w:val="0"/>
                  </w:pPr>
                  <w:r/>
                  <w:r>
                    <w:rPr>
                      <w:sz w:val="20"/>
                    </w:rPr>
                    <w:t>443</w:t>
                  </w:r>
                </w:p>
              </w:tc>
              <w:tc>
                <w:tcPr>
                  <w:tcW w:type="dxa" w:w="1740"/>
                </w:tcPr>
                <w:p>
                  <w:pPr>
                    <w:bidi w:val="0"/>
                  </w:pPr>
                  <w:r/>
                  <w:r>
                    <w:rPr>
                      <w:sz w:val="20"/>
                    </w:rPr>
                    <w:t>Internal, HSA</w:t>
                  </w:r>
                </w:p>
              </w:tc>
              <w:tc>
                <w:tcPr>
                  <w:tcW w:type="dxa" w:w="1740"/>
                </w:tcPr>
                <w:p>
                  <w:pPr>
                    <w:bidi w:val="0"/>
                  </w:pPr>
                  <w:r/>
                  <w:r>
                    <w:rPr>
                      <w:sz w:val="20"/>
                    </w:rPr>
                    <w:t>API node distribution</w:t>
                  </w:r>
                </w:p>
              </w:tc>
            </w:tr>
            <w:tr>
              <w:tc>
                <w:tcPr>
                  <w:tcW w:type="dxa" w:w="1740"/>
                </w:tcPr>
                <w:p>
                  <w:pPr>
                    <w:bidi w:val="0"/>
                  </w:pPr>
                  <w:r/>
                  <w:r>
                    <w:rPr>
                      <w:sz w:val="20"/>
                    </w:rPr>
                    <w:t>SIMF.Api</w:t>
                  </w:r>
                </w:p>
              </w:tc>
              <w:tc>
                <w:tcPr>
                  <w:tcW w:type="dxa" w:w="1740"/>
                </w:tcPr>
                <w:p>
                  <w:pPr>
                    <w:bidi w:val="0"/>
                  </w:pPr>
                  <w:r/>
                  <w:r>
                    <w:rPr>
                      <w:sz w:val="20"/>
                    </w:rPr>
                    <w:t>GPT OSS 120B server</w:t>
                  </w:r>
                </w:p>
              </w:tc>
              <w:tc>
                <w:tcPr>
                  <w:tcW w:type="dxa" w:w="1740"/>
                </w:tcPr>
                <w:p>
                  <w:pPr>
                    <w:bidi w:val="0"/>
                  </w:pPr>
                  <w:r/>
                  <w:r>
                    <w:rPr>
                      <w:sz w:val="20"/>
                    </w:rPr>
                    <w:t>HTTPS</w:t>
                  </w:r>
                </w:p>
              </w:tc>
              <w:tc>
                <w:tcPr>
                  <w:tcW w:type="dxa" w:w="1740"/>
                </w:tcPr>
                <w:p>
                  <w:pPr>
                    <w:bidi w:val="0"/>
                  </w:pPr>
                  <w:r/>
                  <w:r>
                    <w:rPr>
                      <w:sz w:val="20"/>
                    </w:rPr>
                    <w:t>443</w:t>
                  </w:r>
                </w:p>
              </w:tc>
              <w:tc>
                <w:tcPr>
                  <w:tcW w:type="dxa" w:w="1740"/>
                </w:tcPr>
                <w:p>
                  <w:pPr>
                    <w:bidi w:val="0"/>
                  </w:pPr>
                  <w:r/>
                  <w:r>
                    <w:rPr>
                      <w:sz w:val="20"/>
                    </w:rPr>
                    <w:t>Internal, HSA</w:t>
                  </w:r>
                </w:p>
              </w:tc>
              <w:tc>
                <w:tcPr>
                  <w:tcW w:type="dxa" w:w="1740"/>
                </w:tcPr>
                <w:p>
                  <w:pPr>
                    <w:bidi w:val="0"/>
                  </w:pPr>
                  <w:r/>
                  <w:r>
                    <w:rPr>
                      <w:sz w:val="20"/>
                    </w:rPr>
                    <w:t>Model inference</w:t>
                  </w:r>
                </w:p>
              </w:tc>
            </w:tr>
            <w:tr>
              <w:tc>
                <w:tcPr>
                  <w:tcW w:type="dxa" w:w="1740"/>
                </w:tcPr>
                <w:p>
                  <w:pPr>
                    <w:bidi w:val="0"/>
                  </w:pPr>
                  <w:r/>
                  <w:r>
                    <w:rPr>
                      <w:sz w:val="20"/>
                    </w:rPr>
                    <w:t>SIMF.Api</w:t>
                  </w:r>
                </w:p>
              </w:tc>
              <w:tc>
                <w:tcPr>
                  <w:tcW w:type="dxa" w:w="1740"/>
                </w:tcPr>
                <w:p>
                  <w:pPr>
                    <w:bidi w:val="0"/>
                  </w:pPr>
                  <w:r/>
                  <w:r>
                    <w:rPr>
                      <w:sz w:val="20"/>
                    </w:rPr>
                    <w:t>Mail server</w:t>
                  </w:r>
                </w:p>
              </w:tc>
              <w:tc>
                <w:tcPr>
                  <w:tcW w:type="dxa" w:w="1740"/>
                </w:tcPr>
                <w:p>
                  <w:pPr>
                    <w:bidi w:val="0"/>
                  </w:pPr>
                  <w:r/>
                  <w:r>
                    <w:rPr>
                      <w:sz w:val="20"/>
                    </w:rPr>
                    <w:t>SMTP with STARTTLS</w:t>
                  </w:r>
                </w:p>
              </w:tc>
              <w:tc>
                <w:tcPr>
                  <w:tcW w:type="dxa" w:w="1740"/>
                </w:tcPr>
                <w:p>
                  <w:pPr>
                    <w:bidi w:val="0"/>
                  </w:pPr>
                  <w:r/>
                  <w:r>
                    <w:rPr>
                      <w:sz w:val="20"/>
                    </w:rPr>
                    <w:t>587</w:t>
                  </w:r>
                </w:p>
              </w:tc>
              <w:tc>
                <w:tcPr>
                  <w:tcW w:type="dxa" w:w="1740"/>
                </w:tcPr>
                <w:p>
                  <w:pPr>
                    <w:bidi w:val="0"/>
                  </w:pPr>
                  <w:r/>
                  <w:r>
                    <w:rPr>
                      <w:sz w:val="20"/>
                    </w:rPr>
                    <w:t>Internal, HSA</w:t>
                  </w:r>
                </w:p>
              </w:tc>
              <w:tc>
                <w:tcPr>
                  <w:tcW w:type="dxa" w:w="1740"/>
                </w:tcPr>
                <w:p>
                  <w:pPr>
                    <w:bidi w:val="0"/>
                  </w:pPr>
                  <w:r/>
                  <w:r>
                    <w:rPr>
                      <w:sz w:val="20"/>
                    </w:rPr>
                    <w:t>Transactional e-mail</w:t>
                  </w:r>
                </w:p>
              </w:tc>
            </w:tr>
            <w:tr>
              <w:tc>
                <w:tcPr>
                  <w:tcW w:type="dxa" w:w="1740"/>
                </w:tcPr>
                <w:p>
                  <w:pPr>
                    <w:bidi w:val="0"/>
                  </w:pPr>
                  <w:r/>
                  <w:r>
                    <w:rPr>
                      <w:sz w:val="20"/>
                    </w:rPr>
                    <w:t>SIMF.Api</w:t>
                  </w:r>
                </w:p>
              </w:tc>
              <w:tc>
                <w:tcPr>
                  <w:tcW w:type="dxa" w:w="1740"/>
                </w:tcPr>
                <w:p>
                  <w:pPr>
                    <w:bidi w:val="0"/>
                  </w:pPr>
                  <w:r/>
                  <w:r>
                    <w:rPr>
                      <w:sz w:val="20"/>
                    </w:rPr>
                    <w:t>SQL Server Availability Group listener</w:t>
                  </w:r>
                </w:p>
              </w:tc>
              <w:tc>
                <w:tcPr>
                  <w:tcW w:type="dxa" w:w="1740"/>
                </w:tcPr>
                <w:p>
                  <w:pPr>
                    <w:bidi w:val="0"/>
                  </w:pPr>
                  <w:r/>
                  <w:r>
                    <w:rPr>
                      <w:sz w:val="20"/>
                    </w:rPr>
                    <w:t>TCP, TDS</w:t>
                  </w:r>
                </w:p>
              </w:tc>
              <w:tc>
                <w:tcPr>
                  <w:tcW w:type="dxa" w:w="1740"/>
                </w:tcPr>
                <w:p>
                  <w:pPr>
                    <w:bidi w:val="0"/>
                  </w:pPr>
                  <w:r/>
                  <w:r>
                    <w:rPr>
                      <w:sz w:val="20"/>
                    </w:rPr>
                    <w:t>1433</w:t>
                  </w:r>
                </w:p>
              </w:tc>
              <w:tc>
                <w:tcPr>
                  <w:tcW w:type="dxa" w:w="1740"/>
                </w:tcPr>
                <w:p>
                  <w:pPr>
                    <w:bidi w:val="0"/>
                  </w:pPr>
                  <w:r/>
                  <w:r>
                    <w:rPr>
                      <w:sz w:val="20"/>
                    </w:rPr>
                    <w:t>Internal, HSA</w:t>
                  </w:r>
                </w:p>
              </w:tc>
              <w:tc>
                <w:tcPr>
                  <w:tcW w:type="dxa" w:w="1740"/>
                </w:tcPr>
                <w:p>
                  <w:pPr>
                    <w:bidi w:val="0"/>
                  </w:pPr>
                  <w:r/>
                  <w:r>
                    <w:rPr>
                      <w:sz w:val="20"/>
                    </w:rPr>
                    <w:t>Both databases</w:t>
                  </w:r>
                </w:p>
              </w:tc>
            </w:tr>
            <w:tr>
              <w:tc>
                <w:tcPr>
                  <w:tcW w:type="dxa" w:w="1740"/>
                </w:tcPr>
                <w:p>
                  <w:pPr>
                    <w:bidi w:val="0"/>
                  </w:pPr>
                  <w:r/>
                  <w:r>
                    <w:rPr>
                      <w:sz w:val="20"/>
                    </w:rPr>
                    <w:t>SIMF.Api</w:t>
                  </w:r>
                </w:p>
              </w:tc>
              <w:tc>
                <w:tcPr>
                  <w:tcW w:type="dxa" w:w="1740"/>
                </w:tcPr>
                <w:p>
                  <w:pPr>
                    <w:bidi w:val="0"/>
                  </w:pPr>
                  <w:r/>
                  <w:r>
                    <w:rPr>
                      <w:sz w:val="20"/>
                    </w:rPr>
                    <w:t>MinIO object store</w:t>
                  </w:r>
                </w:p>
              </w:tc>
              <w:tc>
                <w:tcPr>
                  <w:tcW w:type="dxa" w:w="1740"/>
                </w:tcPr>
                <w:p>
                  <w:pPr>
                    <w:bidi w:val="0"/>
                  </w:pPr>
                  <w:r/>
                  <w:r>
                    <w:rPr>
                      <w:sz w:val="20"/>
                    </w:rPr>
                    <w:t>HTTPS, S3 API</w:t>
                  </w:r>
                </w:p>
              </w:tc>
              <w:tc>
                <w:tcPr>
                  <w:tcW w:type="dxa" w:w="1740"/>
                </w:tcPr>
                <w:p>
                  <w:pPr>
                    <w:bidi w:val="0"/>
                  </w:pPr>
                  <w:r/>
                  <w:r>
                    <w:rPr>
                      <w:sz w:val="20"/>
                    </w:rPr>
                    <w:t>443</w:t>
                  </w:r>
                </w:p>
              </w:tc>
              <w:tc>
                <w:tcPr>
                  <w:tcW w:type="dxa" w:w="1740"/>
                </w:tcPr>
                <w:p>
                  <w:pPr>
                    <w:bidi w:val="0"/>
                  </w:pPr>
                  <w:r/>
                  <w:r>
                    <w:rPr>
                      <w:sz w:val="20"/>
                    </w:rPr>
                    <w:t>Internal, HSA</w:t>
                  </w:r>
                </w:p>
              </w:tc>
              <w:tc>
                <w:tcPr>
                  <w:tcW w:type="dxa" w:w="1740"/>
                </w:tcPr>
                <w:p>
                  <w:pPr>
                    <w:bidi w:val="0"/>
                  </w:pPr>
                  <w:r/>
                  <w:r>
                    <w:rPr>
                      <w:sz w:val="20"/>
                    </w:rPr>
                    <w:t>File access</w:t>
                  </w:r>
                </w:p>
              </w:tc>
            </w:tr>
            <w:tr>
              <w:tc>
                <w:tcPr>
                  <w:tcW w:type="dxa" w:w="1740"/>
                </w:tcPr>
                <w:p>
                  <w:pPr>
                    <w:bidi w:val="0"/>
                  </w:pPr>
                  <w:r/>
                  <w:r>
                    <w:rPr>
                      <w:sz w:val="20"/>
                    </w:rPr>
                    <w:t>SQL Server replica</w:t>
                  </w:r>
                </w:p>
              </w:tc>
              <w:tc>
                <w:tcPr>
                  <w:tcW w:type="dxa" w:w="1740"/>
                </w:tcPr>
                <w:p>
                  <w:pPr>
                    <w:bidi w:val="0"/>
                  </w:pPr>
                  <w:r/>
                  <w:r>
                    <w:rPr>
                      <w:sz w:val="20"/>
                    </w:rPr>
                    <w:t>SQL Server replica</w:t>
                  </w:r>
                </w:p>
              </w:tc>
              <w:tc>
                <w:tcPr>
                  <w:tcW w:type="dxa" w:w="1740"/>
                </w:tcPr>
                <w:p>
                  <w:pPr>
                    <w:bidi w:val="0"/>
                  </w:pPr>
                  <w:r/>
                  <w:r>
                    <w:rPr>
                      <w:sz w:val="20"/>
                    </w:rPr>
                    <w:t>TCP</w:t>
                  </w:r>
                </w:p>
              </w:tc>
              <w:tc>
                <w:tcPr>
                  <w:tcW w:type="dxa" w:w="1740"/>
                </w:tcPr>
                <w:p>
                  <w:pPr>
                    <w:bidi w:val="0"/>
                  </w:pPr>
                  <w:r/>
                  <w:r>
                    <w:rPr>
                      <w:sz w:val="20"/>
                    </w:rPr>
                    <w:t>5022</w:t>
                  </w:r>
                </w:p>
              </w:tc>
              <w:tc>
                <w:tcPr>
                  <w:tcW w:type="dxa" w:w="1740"/>
                </w:tcPr>
                <w:p>
                  <w:pPr>
                    <w:bidi w:val="0"/>
                  </w:pPr>
                  <w:r/>
                  <w:r>
                    <w:rPr>
                      <w:sz w:val="20"/>
                    </w:rPr>
                    <w:t>Internal, HSA</w:t>
                  </w:r>
                </w:p>
              </w:tc>
              <w:tc>
                <w:tcPr>
                  <w:tcW w:type="dxa" w:w="1740"/>
                </w:tcPr>
                <w:p>
                  <w:pPr>
                    <w:bidi w:val="0"/>
                  </w:pPr>
                  <w:r/>
                  <w:r>
                    <w:rPr>
                      <w:sz w:val="20"/>
                    </w:rPr>
                    <w:t>Availability Group replication</w:t>
                  </w:r>
                </w:p>
              </w:tc>
            </w:tr>
            <w:tr>
              <w:tc>
                <w:tcPr>
                  <w:tcW w:type="dxa" w:w="1740"/>
                </w:tcPr>
                <w:p>
                  <w:pPr>
                    <w:bidi w:val="0"/>
                  </w:pPr>
                  <w:r/>
                  <w:r>
                    <w:rPr>
                      <w:sz w:val="20"/>
                    </w:rPr>
                    <w:t>SIMF.ControlPanel</w:t>
                  </w:r>
                </w:p>
              </w:tc>
              <w:tc>
                <w:tcPr>
                  <w:tcW w:type="dxa" w:w="1740"/>
                </w:tcPr>
                <w:p>
                  <w:pPr>
                    <w:bidi w:val="0"/>
                  </w:pPr>
                  <w:r/>
                  <w:r>
                    <w:rPr>
                      <w:sz w:val="20"/>
                    </w:rPr>
                    <w:t>YouTube caption hosts</w:t>
                  </w:r>
                </w:p>
              </w:tc>
              <w:tc>
                <w:tcPr>
                  <w:tcW w:type="dxa" w:w="1740"/>
                </w:tcPr>
                <w:p>
                  <w:pPr>
                    <w:bidi w:val="0"/>
                  </w:pPr>
                  <w:r/>
                  <w:r>
                    <w:rPr>
                      <w:sz w:val="20"/>
                    </w:rPr>
                    <w:t>HTTPS</w:t>
                  </w:r>
                </w:p>
              </w:tc>
              <w:tc>
                <w:tcPr>
                  <w:tcW w:type="dxa" w:w="1740"/>
                </w:tcPr>
                <w:p>
                  <w:pPr>
                    <w:bidi w:val="0"/>
                  </w:pPr>
                  <w:r/>
                  <w:r>
                    <w:rPr>
                      <w:sz w:val="20"/>
                    </w:rPr>
                    <w:t>443</w:t>
                  </w:r>
                </w:p>
              </w:tc>
              <w:tc>
                <w:tcPr>
                  <w:tcW w:type="dxa" w:w="1740"/>
                </w:tcPr>
                <w:p>
                  <w:pPr>
                    <w:bidi w:val="0"/>
                  </w:pPr>
                  <w:r/>
                  <w:r>
                    <w:rPr>
                      <w:sz w:val="20"/>
                    </w:rPr>
                    <w:t>Outbound</w:t>
                  </w:r>
                </w:p>
              </w:tc>
              <w:tc>
                <w:tcPr>
                  <w:tcW w:type="dxa" w:w="1740"/>
                </w:tcPr>
                <w:p>
                  <w:pPr>
                    <w:bidi w:val="0"/>
                  </w:pPr>
                  <w:r/>
                  <w:r>
                    <w:rPr>
                      <w:sz w:val="20"/>
                    </w:rPr>
                    <w:t>Caption import, video identifier only</w:t>
                  </w:r>
                </w:p>
              </w:tc>
            </w:tr>
            <w:tr>
              <w:tc>
                <w:tcPr>
                  <w:tcW w:type="dxa" w:w="1740"/>
                </w:tcPr>
                <w:p>
                  <w:pPr>
                    <w:bidi w:val="0"/>
                  </w:pPr>
                  <w:r/>
                  <w:r>
                    <w:rPr>
                      <w:sz w:val="20"/>
                    </w:rPr>
                    <w:t>Application hosts</w:t>
                  </w:r>
                </w:p>
              </w:tc>
              <w:tc>
                <w:tcPr>
                  <w:tcW w:type="dxa" w:w="1740"/>
                </w:tcPr>
                <w:p>
                  <w:pPr>
                    <w:bidi w:val="0"/>
                  </w:pPr>
                  <w:r/>
                  <w:r>
                    <w:rPr>
                      <w:sz w:val="20"/>
                    </w:rPr>
                    <w:t>Ministry log collector</w:t>
                  </w:r>
                </w:p>
              </w:tc>
              <w:tc>
                <w:tcPr>
                  <w:tcW w:type="dxa" w:w="1740"/>
                </w:tcPr>
                <w:p>
                  <w:pPr>
                    <w:bidi w:val="0"/>
                  </w:pPr>
                  <w:r/>
                  <w:r>
                    <w:rPr>
                      <w:sz w:val="20"/>
                    </w:rPr>
                    <w:t>Syslog over TLS</w:t>
                  </w:r>
                </w:p>
              </w:tc>
              <w:tc>
                <w:tcPr>
                  <w:tcW w:type="dxa" w:w="1740"/>
                </w:tcPr>
                <w:p>
                  <w:pPr>
                    <w:bidi w:val="0"/>
                  </w:pPr>
                  <w:r/>
                  <w:r>
                    <w:rPr>
                      <w:sz w:val="20"/>
                    </w:rPr>
                    <w:t>6514</w:t>
                  </w:r>
                </w:p>
              </w:tc>
              <w:tc>
                <w:tcPr>
                  <w:tcW w:type="dxa" w:w="1740"/>
                </w:tcPr>
                <w:p>
                  <w:pPr>
                    <w:bidi w:val="0"/>
                  </w:pPr>
                  <w:r/>
                  <w:r>
                    <w:rPr>
                      <w:sz w:val="20"/>
                    </w:rPr>
                    <w:t>Outbound</w:t>
                  </w:r>
                </w:p>
              </w:tc>
              <w:tc>
                <w:tcPr>
                  <w:tcW w:type="dxa" w:w="1740"/>
                </w:tcPr>
                <w:p>
                  <w:pPr>
                    <w:bidi w:val="0"/>
                  </w:pPr>
                  <w:r/>
                  <w:r>
                    <w:rPr>
                      <w:sz w:val="20"/>
                    </w:rPr>
                    <w:t>Centralised structured logging</w:t>
                  </w:r>
                </w:p>
              </w:tc>
            </w:tr>
            <w:tr>
              <w:tc>
                <w:tcPr>
                  <w:tcW w:type="dxa" w:w="1740"/>
                </w:tcPr>
                <w:p>
                  <w:pPr>
                    <w:bidi w:val="0"/>
                  </w:pPr>
                  <w:r/>
                  <w:r>
                    <w:rPr>
                      <w:sz w:val="20"/>
                    </w:rPr>
                    <w:t>Attendee device, Internet</w:t>
                  </w:r>
                </w:p>
              </w:tc>
              <w:tc>
                <w:tcPr>
                  <w:tcW w:type="dxa" w:w="1740"/>
                </w:tcPr>
                <w:p>
                  <w:pPr>
                    <w:bidi w:val="0"/>
                  </w:pPr>
                  <w:r/>
                  <w:r>
                    <w:rPr>
                      <w:sz w:val="20"/>
                    </w:rPr>
                    <w:t>YouTube</w:t>
                  </w:r>
                </w:p>
              </w:tc>
              <w:tc>
                <w:tcPr>
                  <w:tcW w:type="dxa" w:w="1740"/>
                </w:tcPr>
                <w:p>
                  <w:pPr>
                    <w:bidi w:val="0"/>
                  </w:pPr>
                  <w:r/>
                  <w:r>
                    <w:rPr>
                      <w:sz w:val="20"/>
                    </w:rPr>
                    <w:t>HTTPS</w:t>
                  </w:r>
                </w:p>
              </w:tc>
              <w:tc>
                <w:tcPr>
                  <w:tcW w:type="dxa" w:w="1740"/>
                </w:tcPr>
                <w:p>
                  <w:pPr>
                    <w:bidi w:val="0"/>
                  </w:pPr>
                  <w:r/>
                  <w:r>
                    <w:rPr>
                      <w:sz w:val="20"/>
                    </w:rPr>
                    <w:t>443</w:t>
                  </w:r>
                </w:p>
              </w:tc>
              <w:tc>
                <w:tcPr>
                  <w:tcW w:type="dxa" w:w="1740"/>
                </w:tcPr>
                <w:p>
                  <w:pPr>
                    <w:bidi w:val="0"/>
                  </w:pPr>
                  <w:r/>
                  <w:r>
                    <w:rPr>
                      <w:sz w:val="20"/>
                    </w:rPr>
                    <w:t>Client-side</w:t>
                  </w:r>
                </w:p>
              </w:tc>
              <w:tc>
                <w:tcPr>
                  <w:tcW w:type="dxa" w:w="1740"/>
                </w:tcPr>
                <w:p>
                  <w:pPr>
                    <w:bidi w:val="0"/>
                  </w:pPr>
                  <w:r/>
                  <w:r>
                    <w:rPr>
                      <w:sz w:val="20"/>
                    </w:rPr>
                    <w:t>Live playback, no SIMF server</w:t>
                  </w:r>
                </w:p>
              </w:tc>
            </w:tr>
          </w:tbl>
          <w:p/>
          <w:p>
            <w:pPr/>
          </w:p>
        </w:tc>
      </w:tr>
    </w:tbl>
    <w:p w14:paraId="6041FE29" w14:textId="77777777" w:rsidR="00D60493" w:rsidRDefault="00D60493" w:rsidP="00E80022">
      <w:pPr>
        <w:bidi w:val="0"/>
        <w:rPr>
          <w:rtl/>
        </w:rPr>
      </w:pPr>
    </w:p>
    <w:p w14:paraId="5EC04F39" w14:textId="77777777" w:rsidR="006E7488" w:rsidRDefault="006E7488" w:rsidP="00E80022">
      <w:pPr>
        <w:bidi w:val="0"/>
        <w:rPr>
          <w:rtl/>
        </w:rPr>
      </w:pPr>
    </w:p>
    <w:p w14:paraId="12AC1FDE" w14:textId="77777777" w:rsidR="006E7488" w:rsidRDefault="006E7488" w:rsidP="00E80022">
      <w:pPr>
        <w:bidi w:val="0"/>
        <w:rPr>
          <w:rtl/>
        </w:rPr>
      </w:pPr>
    </w:p>
    <w:p w14:paraId="704F392C" w14:textId="77777777" w:rsidR="006E7488" w:rsidRDefault="006E7488" w:rsidP="00E80022">
      <w:pPr>
        <w:bidi w:val="0"/>
      </w:pPr>
    </w:p>
    <w:p w14:paraId="2A514FA9" w14:textId="77777777" w:rsidR="00D60493" w:rsidRDefault="00D60493" w:rsidP="00E80022">
      <w:pPr>
        <w:bidi w:val="0"/>
      </w:pPr>
    </w:p>
    <w:p w14:paraId="0C69D7D8" w14:textId="77777777" w:rsidR="00D60493" w:rsidRDefault="00D60493" w:rsidP="00E80022">
      <w:pPr>
        <w:bidi w:val="0"/>
      </w:pPr>
    </w:p>
    <w:p w14:paraId="538A3DF4" w14:textId="77777777" w:rsidR="00D60493" w:rsidRDefault="00D60493" w:rsidP="00E80022">
      <w:pPr>
        <w:bidi w:val="0"/>
      </w:pPr>
    </w:p>
    <w:p w14:paraId="7977943A" w14:textId="77777777" w:rsidR="00D60493" w:rsidRDefault="00D60493" w:rsidP="00E80022">
      <w:pPr>
        <w:bidi w:val="0"/>
      </w:pPr>
    </w:p>
    <w:p w14:paraId="7B7E660F" w14:textId="77777777" w:rsidR="00D60493" w:rsidRDefault="00D60493" w:rsidP="00E80022">
      <w:pPr>
        <w:bidi w:val="0"/>
      </w:pPr>
    </w:p>
    <w:p w14:paraId="3B1E4A5B" w14:textId="77777777" w:rsidR="00D60493" w:rsidRDefault="00D60493" w:rsidP="00E80022">
      <w:pPr>
        <w:bidi w:val="0"/>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D60493" w:rsidRPr="002323AE" w14:paraId="5E757CAD" w14:textId="77777777" w:rsidTr="00AB5973">
        <w:trPr>
          <w:trHeight w:val="488"/>
        </w:trPr>
        <w:tc>
          <w:tcPr>
            <w:tcW w:w="5000" w:type="pct"/>
            <w:tcBorders>
              <w:bottom w:val="single" w:sz="4" w:space="0" w:color="auto"/>
            </w:tcBorders>
            <w:shd w:val="clear" w:color="auto" w:fill="29504D"/>
            <w:vAlign w:val="center"/>
          </w:tcPr>
          <w:p w14:paraId="1417571C" w14:textId="77777777" w:rsidR="00D60493" w:rsidRPr="002323AE" w:rsidRDefault="00D60493" w:rsidP="00E80022">
            <w:pPr>
              <w:bidi w:val="0"/>
            </w:pPr>
            <w:r>
              <w:lastRenderedPageBreak/>
              <w:t>2.9 Solution and Non-Functional Views</w:t>
            </w:r>
          </w:p>
        </w:tc>
      </w:tr>
      <w:tr w:rsidR="00D60493" w:rsidRPr="00444983" w14:paraId="4BEE3F85" w14:textId="77777777" w:rsidTr="00AB5973">
        <w:trPr>
          <w:trHeight w:val="336"/>
        </w:trPr>
        <w:tc>
          <w:tcPr>
            <w:tcW w:w="5000" w:type="pct"/>
            <w:shd w:val="clear" w:color="auto" w:fill="FFFFFF" w:themeFill="background1"/>
            <w:vAlign w:val="center"/>
          </w:tcPr>
          <w:p>
            <w:pPr>
              <w:jc w:val="left"/>
              <w:bidi w:val="0"/>
            </w:pPr>
            <w:r>
              <w:rPr>
                <w:b/>
                <w:sz w:val="20"/>
              </w:rPr>
              <w:t>Security</w:t>
            </w:r>
          </w:p>
          <w:p>
            <w:pPr>
              <w:jc w:val="both"/>
              <w:bidi w:val="0"/>
            </w:pPr>
            <w:r>
              <w:rPr>
                <w:b w:val="0"/>
                <w:sz w:val="20"/>
              </w:rPr>
              <w:t>Every audience signs in with an e-mail address and a password. The platform stores a password only as a one-way hash, and can force a change before sign-in completes. Visitors confirm with a one-time password (OTP) sent by e-mail, administrators with a time-based one-time password (TOTP) or a single-use recovery code. No token is issued until the second factor succeeds, and the platform never e-mails a password. Mobile sign-in may add a device key, generated inside the device hardware security element and never exported. Only its public half is registered against the account and device. An administrator can revoke a device, after which the server refuses its key.</w:t>
            </w:r>
          </w:p>
          <w:p>
            <w:pPr>
              <w:jc w:val="both"/>
              <w:bidi w:val="0"/>
            </w:pPr>
            <w:r>
              <w:rPr>
                <w:b w:val="0"/>
                <w:sz w:val="20"/>
              </w:rPr>
              <w:t>Access tokens are JSON Web Tokens (JWT), signed asymmetrically rather than with a shared secret. Only the API inside HSA holds the private key, so no presentation host can mint a token. Access tokens are short-lived, refresh tokens rotate on use, and reuse is detected. An absolute session cap applies, and a security stamp revokes a session at once. The Solution Design Document carries the token lifetimes and the signing algorithm. Authorisation is role-based access control (RBAC), with per-page and per-action permissions from one catalogue, enforced on the API and the Control Panel alike.</w:t>
            </w:r>
          </w:p>
          <w:p>
            <w:pPr>
              <w:jc w:val="both"/>
              <w:bidi w:val="0"/>
            </w:pPr>
            <w:r>
              <w:rPr>
                <w:b w:val="0"/>
                <w:sz w:val="20"/>
              </w:rPr>
              <w:t>A web application firewall (WAF) at the edge blocks injection, cross-site scripting and cross-site request forgery. All traffic runs on TLS 1.2 or higher, terminated at the load balancer and re-encrypted onward. Section 2.4 states the authentication each internal interface carries. AES-256-GCM protects the encrypted file categories and the national identity, Iqama, passport and mobile number columns. Those keys and the application secrets live in the key management service (KMS) behind a hardware security module (HSM), never in configuration.</w:t>
            </w:r>
          </w:p>
          <w:p>
            <w:pPr>
              <w:jc w:val="both"/>
              <w:bidi w:val="0"/>
            </w:pPr>
            <w:r>
              <w:rPr>
                <w:b w:val="0"/>
                <w:sz w:val="20"/>
              </w:rPr>
              <w:t>Rate limiting applies on several dimensions, not one global rule, and every rejection reaches the audit trail. The application sets security headers and a content security policy, and allows cross-origin resource sharing (CORS) only from an explicit origin list. It scans every uploaded file. Text sent to the on-site model is sanitised against hidden instructions. Database accounts hold least privilege, and the runtime account holds data rights only.</w:t>
            </w:r>
          </w:p>
          <w:p>
            <w:pPr>
              <w:jc w:val="both"/>
              <w:bidi w:val="0"/>
            </w:pPr>
            <w:r>
              <w:rPr>
                <w:b w:val="0"/>
                <w:sz w:val="20"/>
              </w:rPr>
              <w:t>Section 2.5 describes the two audit trails.</w:t>
            </w:r>
          </w:p>
          <w:p>
            <w:pPr>
              <w:jc w:val="both"/>
              <w:bidi w:val="0"/>
            </w:pPr>
            <w:r>
              <w:rPr>
                <w:b w:val="0"/>
                <w:sz w:val="20"/>
              </w:rPr>
              <w:t>An offline server-side check inside HSA confirms an uploaded photograph holds a human face, so no badge is issued against an unusable picture. The mobile application runs a guided liveness capture wholly on the device, producing the photograph and nothing else. Optional biometric sign-in asks the operating system to check a fingerprint or face, which unlocks the device key and never reaches SIMF. The platform performs no facial recognition, computes no face embedding, stores no biometric template and matches no face against any register.</w:t>
            </w:r>
          </w:p>
          <w:p>
            <w:pPr>
              <w:jc w:val="both"/>
              <w:bidi w:val="0"/>
            </w:pPr>
            <w:r>
              <w:rPr>
                <w:b w:val="0"/>
                <w:sz w:val="20"/>
              </w:rPr>
              <w:t>The platform meets its Saudi Personal Data Protection Law (PDPL) obligations as follows.</w:t>
            </w:r>
          </w:p>
          <w:tbl>
            <w:tblPr>
              <w:tblStyle w:val="TableGrid"/>
              <w:tblLayout w:type="autofit"/>
              <w:tblLook w:firstColumn="1" w:firstRow="1" w:lastColumn="0" w:lastRow="0" w:noHBand="0" w:noVBand="1" w:val="04A0"/>
              <w:tblW w:w="5000" w:type="pct"/>
            </w:tblPr>
            <w:tblGrid>
              <w:gridCol w:w="3480"/>
              <w:gridCol w:w="3480"/>
              <w:gridCol w:w="3480"/>
            </w:tblGrid>
            <w:tr>
              <w:tc>
                <w:tcPr>
                  <w:tcW w:type="dxa" w:w="480"/>
                </w:tcPr>
                <w:p>
                  <w:pPr>
                    <w:bidi w:val="0"/>
                  </w:pPr>
                  <w:r/>
                  <w:r>
                    <w:rPr>
                      <w:b/>
                      <w:sz w:val="20"/>
                    </w:rPr>
                    <w:t>Obligation</w:t>
                  </w:r>
                </w:p>
              </w:tc>
              <w:tc>
                <w:tcPr>
                  <w:tcW w:type="dxa" w:w="480"/>
                </w:tcPr>
                <w:p>
                  <w:pPr>
                    <w:bidi w:val="0"/>
                  </w:pPr>
                  <w:r/>
                  <w:r>
                    <w:rPr>
                      <w:b/>
                      <w:sz w:val="20"/>
                    </w:rPr>
                    <w:t>How the platform meets it</w:t>
                  </w:r>
                </w:p>
              </w:tc>
              <w:tc>
                <w:tcPr>
                  <w:tcW w:type="dxa" w:w="480"/>
                </w:tcPr>
                <w:p>
                  <w:pPr>
                    <w:bidi w:val="0"/>
                  </w:pPr>
                  <w:r/>
                  <w:r>
                    <w:rPr>
                      <w:b/>
                      <w:sz w:val="20"/>
                    </w:rPr>
                    <w:t>Control point</w:t>
                  </w:r>
                </w:p>
              </w:tc>
            </w:tr>
            <w:tr>
              <w:tc>
                <w:tcPr>
                  <w:tcW w:type="dxa" w:w="3480"/>
                </w:tcPr>
                <w:p>
                  <w:pPr>
                    <w:bidi w:val="0"/>
                  </w:pPr>
                  <w:r/>
                  <w:r>
                    <w:rPr>
                      <w:sz w:val="20"/>
                    </w:rPr>
                    <w:t>Lawful basis</w:t>
                  </w:r>
                </w:p>
              </w:tc>
              <w:tc>
                <w:tcPr>
                  <w:tcW w:type="dxa" w:w="3480"/>
                </w:tcPr>
                <w:p>
                  <w:pPr>
                    <w:bidi w:val="0"/>
                  </w:pPr>
                  <w:r/>
                  <w:r>
                    <w:rPr>
                      <w:sz w:val="20"/>
                    </w:rPr>
                    <w:t>The registrant enters their own data and accepts the terms</w:t>
                  </w:r>
                </w:p>
              </w:tc>
              <w:tc>
                <w:tcPr>
                  <w:tcW w:type="dxa" w:w="3480"/>
                </w:tcPr>
                <w:p>
                  <w:pPr>
                    <w:bidi w:val="0"/>
                  </w:pPr>
                  <w:r/>
                  <w:r>
                    <w:rPr>
                      <w:sz w:val="20"/>
                    </w:rPr>
                    <w:t>Registration form</w:t>
                  </w:r>
                </w:p>
              </w:tc>
            </w:tr>
            <w:tr>
              <w:tc>
                <w:tcPr>
                  <w:tcW w:type="dxa" w:w="3480"/>
                </w:tcPr>
                <w:p>
                  <w:pPr>
                    <w:bidi w:val="0"/>
                  </w:pPr>
                  <w:r/>
                  <w:r>
                    <w:rPr>
                      <w:sz w:val="20"/>
                    </w:rPr>
                    <w:t>Purpose limitation</w:t>
                  </w:r>
                </w:p>
              </w:tc>
              <w:tc>
                <w:tcPr>
                  <w:tcW w:type="dxa" w:w="3480"/>
                </w:tcPr>
                <w:p>
                  <w:pPr>
                    <w:bidi w:val="0"/>
                  </w:pPr>
                  <w:r/>
                  <w:r>
                    <w:rPr>
                      <w:sz w:val="20"/>
                    </w:rPr>
                    <w:t>Personal data serves event admission only, and is never profiled, sold or shared</w:t>
                  </w:r>
                </w:p>
              </w:tc>
              <w:tc>
                <w:tcPr>
                  <w:tcW w:type="dxa" w:w="3480"/>
                </w:tcPr>
                <w:p>
                  <w:pPr>
                    <w:bidi w:val="0"/>
                  </w:pPr>
                  <w:r/>
                  <w:r>
                    <w:rPr>
                      <w:sz w:val="20"/>
                    </w:rPr>
                    <w:t>Access control</w:t>
                  </w:r>
                </w:p>
              </w:tc>
            </w:tr>
            <w:tr>
              <w:tc>
                <w:tcPr>
                  <w:tcW w:type="dxa" w:w="3480"/>
                </w:tcPr>
                <w:p>
                  <w:pPr>
                    <w:bidi w:val="0"/>
                  </w:pPr>
                  <w:r/>
                  <w:r>
                    <w:rPr>
                      <w:sz w:val="20"/>
                    </w:rPr>
                    <w:t>Minimisation</w:t>
                  </w:r>
                </w:p>
              </w:tc>
              <w:tc>
                <w:tcPr>
                  <w:tcW w:type="dxa" w:w="3480"/>
                </w:tcPr>
                <w:p>
                  <w:pPr>
                    <w:bidi w:val="0"/>
                  </w:pPr>
                  <w:r/>
                  <w:r>
                    <w:rPr>
                      <w:sz w:val="20"/>
                    </w:rPr>
                    <w:t>Fields are limited to what a badge and a security approval require</w:t>
                  </w:r>
                </w:p>
              </w:tc>
              <w:tc>
                <w:tcPr>
                  <w:tcW w:type="dxa" w:w="3480"/>
                </w:tcPr>
                <w:p>
                  <w:pPr>
                    <w:bidi w:val="0"/>
                  </w:pPr>
                  <w:r/>
                  <w:r>
                    <w:rPr>
                      <w:sz w:val="20"/>
                    </w:rPr>
                    <w:t>Registration form</w:t>
                  </w:r>
                </w:p>
              </w:tc>
            </w:tr>
            <w:tr>
              <w:tc>
                <w:tcPr>
                  <w:tcW w:type="dxa" w:w="3480"/>
                </w:tcPr>
                <w:p>
                  <w:pPr>
                    <w:bidi w:val="0"/>
                  </w:pPr>
                  <w:r/>
                  <w:r>
                    <w:rPr>
                      <w:sz w:val="20"/>
                    </w:rPr>
                    <w:t>Access and correction</w:t>
                  </w:r>
                </w:p>
              </w:tc>
              <w:tc>
                <w:tcPr>
                  <w:tcW w:type="dxa" w:w="3480"/>
                </w:tcPr>
                <w:p>
                  <w:pPr>
                    <w:bidi w:val="0"/>
                  </w:pPr>
                  <w:r/>
                  <w:r>
                    <w:rPr>
                      <w:sz w:val="20"/>
                    </w:rPr>
                    <w:t>The holder reads and edits their profile, and may delete the photograph alone</w:t>
                  </w:r>
                </w:p>
              </w:tc>
              <w:tc>
                <w:tcPr>
                  <w:tcW w:type="dxa" w:w="3480"/>
                </w:tcPr>
                <w:p>
                  <w:pPr>
                    <w:bidi w:val="0"/>
                  </w:pPr>
                  <w:r/>
                  <w:r>
                    <w:rPr>
                      <w:sz w:val="20"/>
                    </w:rPr>
                    <w:t>Profile screen</w:t>
                  </w:r>
                </w:p>
              </w:tc>
            </w:tr>
            <w:tr>
              <w:tc>
                <w:tcPr>
                  <w:tcW w:type="dxa" w:w="3480"/>
                </w:tcPr>
                <w:p>
                  <w:pPr>
                    <w:bidi w:val="0"/>
                  </w:pPr>
                  <w:r/>
                  <w:r>
                    <w:rPr>
                      <w:sz w:val="20"/>
                    </w:rPr>
                    <w:t>Erasure</w:t>
                  </w:r>
                </w:p>
              </w:tc>
              <w:tc>
                <w:tcPr>
                  <w:tcW w:type="dxa" w:w="3480"/>
                </w:tcPr>
                <w:p>
                  <w:pPr>
                    <w:bidi w:val="0"/>
                  </w:pPr>
                  <w:r/>
                  <w:r>
                    <w:rPr>
                      <w:sz w:val="20"/>
                    </w:rPr>
                    <w:t>Irreversible erasure hard deletes the personal data and files, revokes sessions and device keys, and disables the account; the business record survives without identifying data, an exception to the deactivation rule in section 2.8</w:t>
                  </w:r>
                </w:p>
              </w:tc>
              <w:tc>
                <w:tcPr>
                  <w:tcW w:type="dxa" w:w="3480"/>
                </w:tcPr>
                <w:p>
                  <w:pPr>
                    <w:bidi w:val="0"/>
                  </w:pPr>
                  <w:r/>
                  <w:r>
                    <w:rPr>
                      <w:sz w:val="20"/>
                    </w:rPr>
                    <w:t>Mobile application, any account state</w:t>
                  </w:r>
                </w:p>
              </w:tc>
            </w:tr>
            <w:tr>
              <w:tc>
                <w:tcPr>
                  <w:tcW w:type="dxa" w:w="3480"/>
                </w:tcPr>
                <w:p>
                  <w:pPr>
                    <w:bidi w:val="0"/>
                  </w:pPr>
                  <w:r/>
                  <w:r>
                    <w:rPr>
                      <w:sz w:val="20"/>
                    </w:rPr>
                    <w:t>Residency</w:t>
                  </w:r>
                </w:p>
              </w:tc>
              <w:tc>
                <w:tcPr>
                  <w:tcW w:type="dxa" w:w="3480"/>
                </w:tcPr>
                <w:p>
                  <w:pPr>
                    <w:bidi w:val="0"/>
                  </w:pPr>
                  <w:r/>
                  <w:r>
                    <w:rPr>
                      <w:sz w:val="20"/>
                    </w:rPr>
                    <w:t>Every store holding personal data sits inside the HSA zone</w:t>
                  </w:r>
                </w:p>
              </w:tc>
              <w:tc>
                <w:tcPr>
                  <w:tcW w:type="dxa" w:w="3480"/>
                </w:tcPr>
                <w:p>
                  <w:pPr>
                    <w:bidi w:val="0"/>
                  </w:pPr>
                  <w:r/>
                  <w:r>
                    <w:rPr>
                      <w:sz w:val="20"/>
                    </w:rPr>
                    <w:t>Hosting zones, Figure 1</w:t>
                  </w:r>
                </w:p>
              </w:tc>
            </w:tr>
            <w:tr>
              <w:tc>
                <w:tcPr>
                  <w:tcW w:type="dxa" w:w="3480"/>
                </w:tcPr>
                <w:p>
                  <w:pPr>
                    <w:bidi w:val="0"/>
                  </w:pPr>
                  <w:r/>
                  <w:r>
                    <w:rPr>
                      <w:sz w:val="20"/>
                    </w:rPr>
                    <w:t>Retention and disposal</w:t>
                  </w:r>
                </w:p>
              </w:tc>
              <w:tc>
                <w:tcPr>
                  <w:tcW w:type="dxa" w:w="3480"/>
                </w:tcPr>
                <w:p>
                  <w:pPr>
                    <w:bidi w:val="0"/>
                  </w:pPr>
                  <w:r/>
                  <w:r>
                    <w:rPr>
                      <w:sz w:val="20"/>
                    </w:rPr>
                    <w:t>Personal data is scoped to the edition it was collected for and disposed of through the erasure path; the disposal schedule is open, item OI-05</w:t>
                  </w:r>
                </w:p>
              </w:tc>
              <w:tc>
                <w:tcPr>
                  <w:tcW w:type="dxa" w:w="3480"/>
                </w:tcPr>
                <w:p>
                  <w:pPr>
                    <w:bidi w:val="0"/>
                  </w:pPr>
                  <w:r/>
                  <w:r>
                    <w:rPr>
                      <w:sz w:val="20"/>
                    </w:rPr>
                    <w:t>Ministry data-protection function</w:t>
                  </w:r>
                </w:p>
              </w:tc>
            </w:tr>
          </w:tbl>
          <w:p/>
          <w:p>
            <w:pPr/>
          </w:p>
          <w:p>
            <w:pPr>
              <w:jc w:val="both"/>
              <w:bidi w:val="0"/>
            </w:pPr>
            <w:r>
              <w:rPr>
                <w:b w:val="0"/>
                <w:sz w:val="20"/>
              </w:rPr>
              <w:t>The design conforms to its mandated standards as follows.</w:t>
            </w:r>
          </w:p>
          <w:tbl>
            <w:tblPr>
              <w:tblStyle w:val="TableGrid"/>
              <w:tblLayout w:type="autofit"/>
              <w:tblLook w:firstColumn="1" w:firstRow="1" w:lastColumn="0" w:lastRow="0" w:noHBand="0" w:noVBand="1" w:val="04A0"/>
              <w:tblW w:w="5000" w:type="pct"/>
            </w:tblPr>
            <w:tblGrid>
              <w:gridCol w:w="3480"/>
              <w:gridCol w:w="3480"/>
              <w:gridCol w:w="3480"/>
            </w:tblGrid>
            <w:tr>
              <w:tc>
                <w:tcPr>
                  <w:tcW w:type="dxa" w:w="480"/>
                </w:tcPr>
                <w:p>
                  <w:pPr>
                    <w:bidi w:val="0"/>
                  </w:pPr>
                  <w:r/>
                  <w:r>
                    <w:rPr>
                      <w:b/>
                      <w:sz w:val="20"/>
                    </w:rPr>
                    <w:t>Standard</w:t>
                  </w:r>
                </w:p>
              </w:tc>
              <w:tc>
                <w:tcPr>
                  <w:tcW w:type="dxa" w:w="480"/>
                </w:tcPr>
                <w:p>
                  <w:pPr>
                    <w:bidi w:val="0"/>
                  </w:pPr>
                  <w:r/>
                  <w:r>
                    <w:rPr>
                      <w:b/>
                      <w:sz w:val="20"/>
                    </w:rPr>
                    <w:t>Conformance</w:t>
                  </w:r>
                </w:p>
              </w:tc>
              <w:tc>
                <w:tcPr>
                  <w:tcW w:type="dxa" w:w="480"/>
                </w:tcPr>
                <w:p>
                  <w:pPr>
                    <w:bidi w:val="0"/>
                  </w:pPr>
                  <w:r/>
                  <w:r>
                    <w:rPr>
                      <w:b/>
                      <w:sz w:val="20"/>
                    </w:rPr>
                    <w:t>Open items</w:t>
                  </w:r>
                </w:p>
              </w:tc>
            </w:tr>
            <w:tr>
              <w:tc>
                <w:tcPr>
                  <w:tcW w:type="dxa" w:w="3480"/>
                </w:tcPr>
                <w:p>
                  <w:pPr>
                    <w:bidi w:val="0"/>
                  </w:pPr>
                  <w:r/>
                  <w:r>
                    <w:rPr>
                      <w:sz w:val="20"/>
                    </w:rPr>
                    <w:t>NCA Secure Application Development Standard</w:t>
                  </w:r>
                </w:p>
              </w:tc>
              <w:tc>
                <w:tcPr>
                  <w:tcW w:type="dxa" w:w="3480"/>
                </w:tcPr>
                <w:p>
                  <w:pPr>
                    <w:bidi w:val="0"/>
                  </w:pPr>
                  <w:r/>
                  <w:r>
                    <w:rPr>
                      <w:sz w:val="20"/>
                    </w:rPr>
                    <w:t>Designed to conform</w:t>
                  </w:r>
                </w:p>
              </w:tc>
              <w:tc>
                <w:tcPr>
                  <w:tcW w:type="dxa" w:w="3480"/>
                </w:tcPr>
                <w:p>
                  <w:pPr>
                    <w:bidi w:val="0"/>
                  </w:pPr>
                  <w:r/>
                  <w:r>
                    <w:rPr>
                      <w:sz w:val="20"/>
                    </w:rPr>
                    <w:t>Independent penetration test not yet commissioned, item OI-01, section 3</w:t>
                  </w:r>
                </w:p>
              </w:tc>
            </w:tr>
            <w:tr>
              <w:tc>
                <w:tcPr>
                  <w:tcW w:type="dxa" w:w="3480"/>
                </w:tcPr>
                <w:p>
                  <w:pPr>
                    <w:bidi w:val="0"/>
                  </w:pPr>
                  <w:r/>
                  <w:r>
                    <w:rPr>
                      <w:sz w:val="20"/>
                    </w:rPr>
                    <w:t>NCA Essential Cybersecurity Controls (ECC)</w:t>
                  </w:r>
                </w:p>
              </w:tc>
              <w:tc>
                <w:tcPr>
                  <w:tcW w:type="dxa" w:w="3480"/>
                </w:tcPr>
                <w:p>
                  <w:pPr>
                    <w:bidi w:val="0"/>
                  </w:pPr>
                  <w:r/>
                  <w:r>
                    <w:rPr>
                      <w:sz w:val="20"/>
                    </w:rPr>
                    <w:t>Conforms except on identity lifecycle</w:t>
                  </w:r>
                </w:p>
              </w:tc>
              <w:tc>
                <w:tcPr>
                  <w:tcW w:type="dxa" w:w="3480"/>
                </w:tcPr>
                <w:p>
                  <w:pPr>
                    <w:bidi w:val="0"/>
                  </w:pPr>
                  <w:r/>
                  <w:r>
                    <w:rPr>
                      <w:sz w:val="20"/>
                    </w:rPr>
                    <w:t>Password expiry ships inactive; enabling it, secret rotation and the signed certificate are pre-launch activities, item OI-01, section 3</w:t>
                  </w:r>
                </w:p>
              </w:tc>
            </w:tr>
            <w:tr>
              <w:tc>
                <w:tcPr>
                  <w:tcW w:type="dxa" w:w="3480"/>
                </w:tcPr>
                <w:p>
                  <w:pPr>
                    <w:bidi w:val="0"/>
                  </w:pPr>
                  <w:r/>
                  <w:r>
                    <w:rPr>
                      <w:sz w:val="20"/>
                    </w:rPr>
                    <w:t>Saudi Personal Data Protection Law</w:t>
                  </w:r>
                </w:p>
              </w:tc>
              <w:tc>
                <w:tcPr>
                  <w:tcW w:type="dxa" w:w="3480"/>
                </w:tcPr>
                <w:p>
                  <w:pPr>
                    <w:bidi w:val="0"/>
                  </w:pPr>
                  <w:r/>
                  <w:r>
                    <w:rPr>
                      <w:sz w:val="20"/>
                    </w:rPr>
                    <w:t>Designed to conform</w:t>
                  </w:r>
                </w:p>
              </w:tc>
              <w:tc>
                <w:tcPr>
                  <w:tcW w:type="dxa" w:w="3480"/>
                </w:tcPr>
                <w:p>
                  <w:pPr>
                    <w:bidi w:val="0"/>
                  </w:pPr>
                  <w:r/>
                  <w:r>
                    <w:rPr>
                      <w:sz w:val="20"/>
                    </w:rPr>
                    <w:t>Retention schedule not yet agreed, item OI-05, section 3</w:t>
                  </w:r>
                </w:p>
              </w:tc>
            </w:tr>
            <w:tr>
              <w:tc>
                <w:tcPr>
                  <w:tcW w:type="dxa" w:w="3480"/>
                </w:tcPr>
                <w:p>
                  <w:pPr>
                    <w:bidi w:val="0"/>
                  </w:pPr>
                  <w:r/>
                  <w:r>
                    <w:rPr>
                      <w:sz w:val="20"/>
                    </w:rPr>
                    <w:t>OWASP application security baseline</w:t>
                  </w:r>
                </w:p>
              </w:tc>
              <w:tc>
                <w:tcPr>
                  <w:tcW w:type="dxa" w:w="3480"/>
                </w:tcPr>
                <w:p>
                  <w:pPr>
                    <w:bidi w:val="0"/>
                  </w:pPr>
                  <w:r/>
                  <w:r>
                    <w:rPr>
                      <w:sz w:val="20"/>
                    </w:rPr>
                    <w:t>Designed to conform</w:t>
                  </w:r>
                </w:p>
              </w:tc>
              <w:tc>
                <w:tcPr>
                  <w:tcW w:type="dxa" w:w="3480"/>
                </w:tcPr>
                <w:p>
                  <w:pPr>
                    <w:bidi w:val="0"/>
                  </w:pPr>
                  <w:r/>
                  <w:r>
                    <w:rPr>
                      <w:sz w:val="20"/>
                    </w:rPr>
                    <w:t>WAF appliance and ruleset agreed at deployment, section 2.4</w:t>
                  </w:r>
                </w:p>
              </w:tc>
            </w:tr>
          </w:tbl>
          <w:p/>
          <w:p>
            <w:pPr/>
          </w:p>
          <w:p>
            <w:pPr>
              <w:jc w:val="left"/>
              <w:bidi w:val="0"/>
            </w:pPr>
            <w:r>
              <w:rPr>
                <w:b/>
                <w:sz w:val="20"/>
              </w:rPr>
              <w:t>Availability</w:t>
            </w:r>
          </w:p>
          <w:p>
            <w:pPr>
              <w:jc w:val="both"/>
              <w:bidi w:val="0"/>
            </w:pPr>
            <w:r>
              <w:rPr>
                <w:b w:val="0"/>
                <w:sz w:val="20"/>
              </w:rPr>
              <w:t>Database availability rests on a SQL Server 2022 Enterprise AlwaysOn Availability Group (AG) holding both databases. It runs one read-write primary and one readable secondary, replicates by synchronous commit, and fails over automatically. The listener routes writes to the primary and read-only queries to the secondary. A cluster quorum witness completes the cluster; its configuration is open in section 3.</w:t>
            </w:r>
          </w:p>
          <w:p>
            <w:pPr>
              <w:jc w:val="both"/>
              <w:bidi w:val="0"/>
            </w:pPr>
            <w:r>
              <w:rPr>
                <w:b w:val="0"/>
                <w:sz w:val="20"/>
              </w:rPr>
              <w:t>A valid restore needs four artefacts from one point in time. They are the two databases, the object store contents, and an escrowed copy of the encryption keys. The keys belong in that set because encrypted columns and files restore unreadable without them. Backups run on a schedule, and a set is restored into a non-production environment on a defined cycle. Cadence, retention and the rehearsal interval are TBD, owner SITE. The recovery site and its replication method remain open in section 3.</w:t>
            </w:r>
          </w:p>
          <w:p>
            <w:pPr>
              <w:jc w:val="both"/>
              <w:bidi w:val="0"/>
            </w:pPr>
            <w:r>
              <w:rPr>
                <w:b w:val="0"/>
                <w:sz w:val="20"/>
              </w:rPr>
              <w:t>The platform commits to the following availability, recovery point and recovery time objectives.</w:t>
            </w:r>
          </w:p>
          <w:tbl>
            <w:tblPr>
              <w:tblStyle w:val="TableGrid"/>
              <w:tblLayout w:type="autofit"/>
              <w:tblLook w:firstColumn="1" w:firstRow="1" w:lastColumn="0" w:lastRow="0" w:noHBand="0" w:noVBand="1" w:val="04A0"/>
              <w:tblW w:w="5000" w:type="pct"/>
            </w:tblPr>
            <w:tblGrid>
              <w:gridCol w:w="3480"/>
              <w:gridCol w:w="3480"/>
              <w:gridCol w:w="3480"/>
            </w:tblGrid>
            <w:tr>
              <w:tc>
                <w:tcPr>
                  <w:tcW w:type="dxa" w:w="480"/>
                </w:tcPr>
                <w:p>
                  <w:pPr>
                    <w:bidi w:val="0"/>
                  </w:pPr>
                  <w:r/>
                  <w:r>
                    <w:rPr>
                      <w:b/>
                      <w:sz w:val="20"/>
                    </w:rPr>
                    <w:t>Objective</w:t>
                  </w:r>
                </w:p>
              </w:tc>
              <w:tc>
                <w:tcPr>
                  <w:tcW w:type="dxa" w:w="480"/>
                </w:tcPr>
                <w:p>
                  <w:pPr>
                    <w:bidi w:val="0"/>
                  </w:pPr>
                  <w:r/>
                  <w:r>
                    <w:rPr>
                      <w:b/>
                      <w:sz w:val="20"/>
                    </w:rPr>
                    <w:t>Commitment</w:t>
                  </w:r>
                </w:p>
              </w:tc>
              <w:tc>
                <w:tcPr>
                  <w:tcW w:type="dxa" w:w="480"/>
                </w:tcPr>
                <w:p>
                  <w:pPr>
                    <w:bidi w:val="0"/>
                  </w:pPr>
                  <w:r/>
                  <w:r>
                    <w:rPr>
                      <w:b/>
                      <w:sz w:val="20"/>
                    </w:rPr>
                    <w:t>Basis</w:t>
                  </w:r>
                </w:p>
              </w:tc>
            </w:tr>
            <w:tr>
              <w:tc>
                <w:tcPr>
                  <w:tcW w:type="dxa" w:w="3480"/>
                </w:tcPr>
                <w:p>
                  <w:pPr>
                    <w:bidi w:val="0"/>
                  </w:pPr>
                  <w:r/>
                  <w:r>
                    <w:rPr>
                      <w:sz w:val="20"/>
                    </w:rPr>
                    <w:t>Availability during the three forum days</w:t>
                  </w:r>
                </w:p>
              </w:tc>
              <w:tc>
                <w:tcPr>
                  <w:tcW w:type="dxa" w:w="3480"/>
                </w:tcPr>
                <w:p>
                  <w:pPr>
                    <w:bidi w:val="0"/>
                  </w:pPr>
                  <w:r/>
                  <w:r>
                    <w:rPr>
                      <w:sz w:val="20"/>
                    </w:rPr>
                    <w:t>99.9 percent</w:t>
                  </w:r>
                </w:p>
              </w:tc>
              <w:tc>
                <w:tcPr>
                  <w:tcW w:type="dxa" w:w="3480"/>
                </w:tcPr>
                <w:p>
                  <w:pPr>
                    <w:bidi w:val="0"/>
                  </w:pPr>
                  <w:r/>
                  <w:r>
                    <w:rPr>
                      <w:sz w:val="20"/>
                    </w:rPr>
                    <w:t>An outage inside the event window cannot be rescheduled. Time inside a node or database recovery, bounded by the recovery time objective below, is excluded; the permitted number of such events per window is TBD, owner SITE, confirmed in the deployment plan</w:t>
                  </w:r>
                </w:p>
              </w:tc>
            </w:tr>
            <w:tr>
              <w:tc>
                <w:tcPr>
                  <w:tcW w:type="dxa" w:w="3480"/>
                </w:tcPr>
                <w:p>
                  <w:pPr>
                    <w:bidi w:val="0"/>
                  </w:pPr>
                  <w:r/>
                  <w:r>
                    <w:rPr>
                      <w:sz w:val="20"/>
                    </w:rPr>
                    <w:t>Availability outside the event window</w:t>
                  </w:r>
                </w:p>
              </w:tc>
              <w:tc>
                <w:tcPr>
                  <w:tcW w:type="dxa" w:w="3480"/>
                </w:tcPr>
                <w:p>
                  <w:pPr>
                    <w:bidi w:val="0"/>
                  </w:pPr>
                  <w:r/>
                  <w:r>
                    <w:rPr>
                      <w:sz w:val="20"/>
                    </w:rPr>
                    <w:t>99.5 percent</w:t>
                  </w:r>
                </w:p>
              </w:tc>
              <w:tc>
                <w:tcPr>
                  <w:tcW w:type="dxa" w:w="3480"/>
                </w:tcPr>
                <w:p>
                  <w:pPr>
                    <w:bidi w:val="0"/>
                  </w:pPr>
                  <w:r/>
                  <w:r>
                    <w:rPr>
                      <w:sz w:val="20"/>
                    </w:rPr>
                    <w:t>Normal service</w:t>
                  </w:r>
                </w:p>
              </w:tc>
            </w:tr>
            <w:tr>
              <w:tc>
                <w:tcPr>
                  <w:tcW w:type="dxa" w:w="3480"/>
                </w:tcPr>
                <w:p>
                  <w:pPr>
                    <w:bidi w:val="0"/>
                  </w:pPr>
                  <w:r/>
                  <w:r>
                    <w:rPr>
                      <w:sz w:val="20"/>
                    </w:rPr>
                    <w:t>Recovery point objective, databases, node or replica failure</w:t>
                  </w:r>
                </w:p>
              </w:tc>
              <w:tc>
                <w:tcPr>
                  <w:tcW w:type="dxa" w:w="3480"/>
                </w:tcPr>
                <w:p>
                  <w:pPr>
                    <w:bidi w:val="0"/>
                  </w:pPr>
                  <w:r/>
                  <w:r>
                    <w:rPr>
                      <w:sz w:val="20"/>
                    </w:rPr>
                    <w:t>Zero</w:t>
                  </w:r>
                </w:p>
              </w:tc>
              <w:tc>
                <w:tcPr>
                  <w:tcW w:type="dxa" w:w="3480"/>
                </w:tcPr>
                <w:p>
                  <w:pPr>
                    <w:bidi w:val="0"/>
                  </w:pPr>
                  <w:r/>
                  <w:r>
                    <w:rPr>
                      <w:sz w:val="20"/>
                    </w:rPr>
                    <w:t>The Availability Group runs synchronous commit, so a committed transaction is on both replicas before the commit returns</w:t>
                  </w:r>
                </w:p>
              </w:tc>
            </w:tr>
            <w:tr>
              <w:tc>
                <w:tcPr>
                  <w:tcW w:type="dxa" w:w="3480"/>
                </w:tcPr>
                <w:p>
                  <w:pPr>
                    <w:bidi w:val="0"/>
                  </w:pPr>
                  <w:r/>
                  <w:r>
                    <w:rPr>
                      <w:sz w:val="20"/>
                    </w:rPr>
                    <w:t>Recovery point objective, object store</w:t>
                  </w:r>
                </w:p>
              </w:tc>
              <w:tc>
                <w:tcPr>
                  <w:tcW w:type="dxa" w:w="3480"/>
                </w:tcPr>
                <w:p>
                  <w:pPr>
                    <w:bidi w:val="0"/>
                  </w:pPr>
                  <w:r/>
                  <w:r>
                    <w:rPr>
                      <w:sz w:val="20"/>
                    </w:rPr>
                    <w:t>15 minutes</w:t>
                  </w:r>
                </w:p>
              </w:tc>
              <w:tc>
                <w:tcPr>
                  <w:tcW w:type="dxa" w:w="3480"/>
                </w:tcPr>
                <w:p>
                  <w:pPr>
                    <w:bidi w:val="0"/>
                  </w:pPr>
                  <w:r/>
                  <w:r>
                    <w:rPr>
                      <w:sz w:val="20"/>
                    </w:rPr>
                    <w:t>Snapshot interval, confirmed with SITE during deployment planning</w:t>
                  </w:r>
                </w:p>
              </w:tc>
            </w:tr>
            <w:tr>
              <w:tc>
                <w:tcPr>
                  <w:tcW w:type="dxa" w:w="3480"/>
                </w:tcPr>
                <w:p>
                  <w:pPr>
                    <w:bidi w:val="0"/>
                  </w:pPr>
                  <w:r/>
                  <w:r>
                    <w:rPr>
                      <w:sz w:val="20"/>
                    </w:rPr>
                    <w:t>Recovery point objective, loss of the HSA zone</w:t>
                  </w:r>
                </w:p>
              </w:tc>
              <w:tc>
                <w:tcPr>
                  <w:tcW w:type="dxa" w:w="3480"/>
                </w:tcPr>
                <w:p>
                  <w:pPr>
                    <w:bidi w:val="0"/>
                  </w:pPr>
                  <w:r/>
                  <w:r>
                    <w:rPr>
                      <w:sz w:val="20"/>
                    </w:rPr>
                    <w:t>The backup cadence, which cannot better the 15-minute object store interval</w:t>
                  </w:r>
                </w:p>
              </w:tc>
              <w:tc>
                <w:tcPr>
                  <w:tcW w:type="dxa" w:w="3480"/>
                </w:tcPr>
                <w:p>
                  <w:pPr>
                    <w:bidi w:val="0"/>
                  </w:pPr>
                  <w:r/>
                  <w:r>
                    <w:rPr>
                      <w:sz w:val="20"/>
                    </w:rPr>
                    <w:t>A zone loss restores from the four artefact backup set, so the exposure is the gap between backups</w:t>
                  </w:r>
                </w:p>
              </w:tc>
            </w:tr>
            <w:tr>
              <w:tc>
                <w:tcPr>
                  <w:tcW w:type="dxa" w:w="3480"/>
                </w:tcPr>
                <w:p>
                  <w:pPr>
                    <w:bidi w:val="0"/>
                  </w:pPr>
                  <w:r/>
                  <w:r>
                    <w:rPr>
                      <w:sz w:val="20"/>
                    </w:rPr>
                    <w:t>Recovery time objective, node or database failure</w:t>
                  </w:r>
                </w:p>
              </w:tc>
              <w:tc>
                <w:tcPr>
                  <w:tcW w:type="dxa" w:w="3480"/>
                </w:tcPr>
                <w:p>
                  <w:pPr>
                    <w:bidi w:val="0"/>
                  </w:pPr>
                  <w:r/>
                  <w:r>
                    <w:rPr>
                      <w:sz w:val="20"/>
                    </w:rPr>
                    <w:t>5 minutes</w:t>
                  </w:r>
                </w:p>
              </w:tc>
              <w:tc>
                <w:tcPr>
                  <w:tcW w:type="dxa" w:w="3480"/>
                </w:tcPr>
                <w:p>
                  <w:pPr>
                    <w:bidi w:val="0"/>
                  </w:pPr>
                  <w:r/>
                  <w:r>
                    <w:rPr>
                      <w:sz w:val="20"/>
                    </w:rPr>
                    <w:t>Availability Group failover is automatic and takes seconds; the budget covers detection, load balancer rotation and client retry</w:t>
                  </w:r>
                </w:p>
              </w:tc>
            </w:tr>
            <w:tr>
              <w:tc>
                <w:tcPr>
                  <w:tcW w:type="dxa" w:w="3480"/>
                </w:tcPr>
                <w:p>
                  <w:pPr>
                    <w:bidi w:val="0"/>
                  </w:pPr>
                  <w:r/>
                  <w:r>
                    <w:rPr>
                      <w:sz w:val="20"/>
                    </w:rPr>
                    <w:t>Recovery time objective, loss of the HSA zone</w:t>
                  </w:r>
                </w:p>
              </w:tc>
              <w:tc>
                <w:tcPr>
                  <w:tcW w:type="dxa" w:w="3480"/>
                </w:tcPr>
                <w:p>
                  <w:pPr>
                    <w:bidi w:val="0"/>
                  </w:pPr>
                  <w:r/>
                  <w:r>
                    <w:rPr>
                      <w:sz w:val="20"/>
                    </w:rPr>
                    <w:t>4 hours</w:t>
                  </w:r>
                </w:p>
              </w:tc>
              <w:tc>
                <w:tcPr>
                  <w:tcW w:type="dxa" w:w="3480"/>
                </w:tcPr>
                <w:p>
                  <w:pPr>
                    <w:bidi w:val="0"/>
                  </w:pPr>
                  <w:r/>
                  <w:r>
                    <w:rPr>
                      <w:sz w:val="20"/>
                    </w:rPr>
                    <w:t>A restore from the four artefact backup set, not a failover</w:t>
                  </w:r>
                </w:p>
              </w:tc>
            </w:tr>
          </w:tbl>
          <w:p/>
          <w:p>
            <w:pPr/>
          </w:p>
          <w:p>
            <w:pPr>
              <w:jc w:val="left"/>
              <w:bidi w:val="0"/>
            </w:pPr>
            <w:r>
              <w:rPr>
                <w:b/>
                <w:sz w:val="20"/>
              </w:rPr>
              <w:t>Monitoring</w:t>
            </w:r>
          </w:p>
          <w:p>
            <w:pPr>
              <w:jc w:val="both"/>
              <w:bidi w:val="0"/>
            </w:pPr>
            <w:r>
              <w:rPr>
                <w:b w:val="0"/>
                <w:sz w:val="20"/>
              </w:rPr>
              <w:t>Each host writes structured events to rolling files, each carrying a correlation identifier for tracing. Section 2.7 states how they reach the ministry log collector, and administrators read both audit trails in the Control Panel. A health endpoint serves as the readiness probe and reports the scheduled jobs from their heartbeat registry. A faulted job turns the node degraded and drops it from rotation. A monitoring toolchain collects processor, memory, response-time, throughput and query metrics, and alerts on thresholds. The Control Panel presents usage statistics for registrations, attendance, bookings, scans and ratings. The alerting product, its thresholds and the escalation path are TBD, owner SITE.</w:t>
            </w:r>
          </w:p>
          <w:p>
            <w:pPr>
              <w:jc w:val="left"/>
              <w:bidi w:val="0"/>
            </w:pPr>
            <w:r>
              <w:rPr>
                <w:b/>
                <w:sz w:val="20"/>
              </w:rPr>
              <w:t>Sizing and Performance</w:t>
            </w:r>
          </w:p>
          <w:p>
            <w:pPr>
              <w:jc w:val="both"/>
              <w:bidi w:val="0"/>
            </w:pPr>
            <w:r>
              <w:rPr>
                <w:b w:val="0"/>
                <w:sz w:val="20"/>
              </w:rPr>
              <w:t>Scaling out is a deployment change, not a redesign: nothing scales itself, and capacity is added node by node. The website scales horizontally behind the load balancer. The API is stateless, so nodes are added freely for registration surges, gate-scan bursts and live-session load. Its baseline is four nodes, sized in section 2.1; the database tier scales vertically instead.</w:t>
            </w:r>
          </w:p>
          <w:p>
            <w:pPr>
              <w:jc w:val="both"/>
              <w:bidi w:val="0"/>
            </w:pPr>
            <w:r>
              <w:rPr>
                <w:b w:val="0"/>
                <w:sz w:val="20"/>
              </w:rPr>
              <w:t>Queries are indexed and projected, and list endpoints page at the data source rather than in memory. Live notifications and questions use bounded conditional polling, and this build carries no server-push transport. At the peak concurrency given in section 2.1, polling is roughly 1,000 requests per second across the four API nodes. The Solution Design Document carries the poll interval, the cache behaviour and the response codes. Reference data is cached, and large media is served through a caching layer rather than the API. Load tests in staging set the pass thresholds, which section 3 carries.</w:t>
            </w:r>
          </w:p>
        </w:tc>
      </w:tr>
      <w:tr w:rsidR="00D60493" w14:paraId="17E29FF7" w14:textId="77777777" w:rsidTr="00AB5973">
        <w:trPr>
          <w:trHeight w:val="336"/>
        </w:trPr>
        <w:tc>
          <w:tcPr>
            <w:tcW w:w="5000" w:type="pct"/>
            <w:shd w:val="clear" w:color="auto" w:fill="29504D"/>
            <w:vAlign w:val="center"/>
          </w:tcPr>
          <w:p w14:paraId="70B2D6AD" w14:textId="77777777" w:rsidR="00D60493" w:rsidRPr="0036437A" w:rsidRDefault="00D60493" w:rsidP="00E80022">
            <w:pPr>
              <w:bidi w:val="0"/>
            </w:pPr>
            <w:r>
              <w:lastRenderedPageBreak/>
              <w:t xml:space="preserve">3. </w:t>
            </w:r>
            <w:r w:rsidRPr="005F6F95">
              <w:t>Risks and Mitigation Strategies</w:t>
            </w:r>
          </w:p>
        </w:tc>
      </w:tr>
      <w:tr w:rsidR="00D60493" w14:paraId="30168644" w14:textId="77777777" w:rsidTr="00AB5973">
        <w:trPr>
          <w:trHeight w:val="336"/>
        </w:trPr>
        <w:tc>
          <w:tcPr>
            <w:tcW w:w="5000" w:type="pct"/>
            <w:shd w:val="clear" w:color="auto" w:fill="FFFFFF" w:themeFill="background1"/>
            <w:vAlign w:val="center"/>
          </w:tcPr>
          <w:p>
            <w:pPr>
              <w:jc w:val="both"/>
              <w:bidi w:val="0"/>
            </w:pPr>
            <w:r>
              <w:rPr>
                <w:b w:val="0"/>
                <w:sz w:val="20"/>
              </w:rPr>
              <w:t>Six risks govern delivery. Likelihood is the residual assessment once the mitigation is in place, and each mitigation names the section that implements it.</w:t>
            </w:r>
          </w:p>
          <w:p>
            <w:pPr>
              <w:jc w:val="both"/>
              <w:bidi w:val="0"/>
            </w:pPr>
            <w:r>
              <w:rPr>
                <w:b w:val="0"/>
                <w:sz w:val="20"/>
              </w:rPr>
              <w:t>The table below sets out each risk with its impact, likelihood, mitigation and owner.</w:t>
            </w:r>
          </w:p>
          <w:tbl>
            <w:tblPr>
              <w:tblStyle w:val="TableGrid"/>
              <w:tblLayout w:type="autofit"/>
              <w:tblLook w:firstColumn="1" w:firstRow="1" w:lastColumn="0" w:lastRow="0" w:noHBand="0" w:noVBand="1" w:val="04A0"/>
              <w:tblW w:w="5000" w:type="pct"/>
            </w:tblPr>
            <w:tblGrid>
              <w:gridCol w:w="2088"/>
              <w:gridCol w:w="2088"/>
              <w:gridCol w:w="2088"/>
              <w:gridCol w:w="2088"/>
              <w:gridCol w:w="2088"/>
            </w:tblGrid>
            <w:tr>
              <w:tc>
                <w:tcPr>
                  <w:tcW w:type="dxa" w:w="288"/>
                </w:tcPr>
                <w:p>
                  <w:pPr>
                    <w:bidi w:val="0"/>
                  </w:pPr>
                  <w:r/>
                  <w:r>
                    <w:rPr>
                      <w:b/>
                      <w:sz w:val="20"/>
                    </w:rPr>
                    <w:t>Risk</w:t>
                  </w:r>
                </w:p>
              </w:tc>
              <w:tc>
                <w:tcPr>
                  <w:tcW w:type="dxa" w:w="288"/>
                </w:tcPr>
                <w:p>
                  <w:pPr>
                    <w:bidi w:val="0"/>
                  </w:pPr>
                  <w:r/>
                  <w:r>
                    <w:rPr>
                      <w:b/>
                      <w:sz w:val="20"/>
                    </w:rPr>
                    <w:t>Impact</w:t>
                  </w:r>
                </w:p>
              </w:tc>
              <w:tc>
                <w:tcPr>
                  <w:tcW w:type="dxa" w:w="288"/>
                </w:tcPr>
                <w:p>
                  <w:pPr>
                    <w:bidi w:val="0"/>
                  </w:pPr>
                  <w:r/>
                  <w:r>
                    <w:rPr>
                      <w:b/>
                      <w:sz w:val="20"/>
                    </w:rPr>
                    <w:t>Likelihood</w:t>
                  </w:r>
                </w:p>
              </w:tc>
              <w:tc>
                <w:tcPr>
                  <w:tcW w:type="dxa" w:w="288"/>
                </w:tcPr>
                <w:p>
                  <w:pPr>
                    <w:bidi w:val="0"/>
                  </w:pPr>
                  <w:r/>
                  <w:r>
                    <w:rPr>
                      <w:b/>
                      <w:sz w:val="20"/>
                    </w:rPr>
                    <w:t>Mitigation</w:t>
                  </w:r>
                </w:p>
              </w:tc>
              <w:tc>
                <w:tcPr>
                  <w:tcW w:type="dxa" w:w="288"/>
                </w:tcPr>
                <w:p>
                  <w:pPr>
                    <w:bidi w:val="0"/>
                  </w:pPr>
                  <w:r/>
                  <w:r>
                    <w:rPr>
                      <w:b/>
                      <w:sz w:val="20"/>
                    </w:rPr>
                    <w:t>Owner</w:t>
                  </w:r>
                </w:p>
              </w:tc>
            </w:tr>
            <w:tr>
              <w:tc>
                <w:tcPr>
                  <w:tcW w:type="dxa" w:w="2088"/>
                </w:tcPr>
                <w:p>
                  <w:pPr>
                    <w:bidi w:val="0"/>
                  </w:pPr>
                  <w:r/>
                  <w:r>
                    <w:rPr>
                      <w:sz w:val="20"/>
                    </w:rPr>
                    <w:t>Security</w:t>
                  </w:r>
                </w:p>
              </w:tc>
              <w:tc>
                <w:tcPr>
                  <w:tcW w:type="dxa" w:w="2088"/>
                </w:tcPr>
                <w:p>
                  <w:pPr>
                    <w:bidi w:val="0"/>
                  </w:pPr>
                  <w:r/>
                  <w:r>
                    <w:rPr>
                      <w:sz w:val="20"/>
                    </w:rPr>
                    <w:t>Exposure of attendee identity documents, or an unauthorised administrative action</w:t>
                  </w:r>
                </w:p>
              </w:tc>
              <w:tc>
                <w:tcPr>
                  <w:tcW w:type="dxa" w:w="2088"/>
                </w:tcPr>
                <w:p>
                  <w:pPr>
                    <w:bidi w:val="0"/>
                  </w:pPr>
                  <w:r/>
                  <w:r>
                    <w:rPr>
                      <w:sz w:val="20"/>
                    </w:rPr>
                    <w:t>Low</w:t>
                  </w:r>
                </w:p>
              </w:tc>
              <w:tc>
                <w:tcPr>
                  <w:tcW w:type="dxa" w:w="2088"/>
                </w:tcPr>
                <w:p>
                  <w:pPr>
                    <w:bidi w:val="0"/>
                  </w:pPr>
                  <w:r/>
                  <w:r>
                    <w:rPr>
                      <w:sz w:val="20"/>
                    </w:rPr>
                    <w:t>Permission gating per page and action, encryption at rest and in transit, a web application firewall, rate limiting, key management service secrets, and pre-handover penetration testing (2.9)</w:t>
                  </w:r>
                </w:p>
              </w:tc>
              <w:tc>
                <w:tcPr>
                  <w:tcW w:type="dxa" w:w="2088"/>
                </w:tcPr>
                <w:p>
                  <w:pPr>
                    <w:bidi w:val="0"/>
                  </w:pPr>
                  <w:r/>
                  <w:r>
                    <w:rPr>
                      <w:sz w:val="20"/>
                    </w:rPr>
                    <w:t>Apexium</w:t>
                  </w:r>
                </w:p>
              </w:tc>
            </w:tr>
            <w:tr>
              <w:tc>
                <w:tcPr>
                  <w:tcW w:type="dxa" w:w="2088"/>
                </w:tcPr>
                <w:p>
                  <w:pPr>
                    <w:bidi w:val="0"/>
                  </w:pPr>
                  <w:r/>
                  <w:r>
                    <w:rPr>
                      <w:sz w:val="20"/>
                    </w:rPr>
                    <w:t>Event-day availability</w:t>
                  </w:r>
                </w:p>
              </w:tc>
              <w:tc>
                <w:tcPr>
                  <w:tcW w:type="dxa" w:w="2088"/>
                </w:tcPr>
                <w:p>
                  <w:pPr>
                    <w:bidi w:val="0"/>
                  </w:pPr>
                  <w:r/>
                  <w:r>
                    <w:rPr>
                      <w:sz w:val="20"/>
                    </w:rPr>
                    <w:t>Loss of registration, gate entry and live-session access during the forum window, against the constraints in 1.2</w:t>
                  </w:r>
                </w:p>
              </w:tc>
              <w:tc>
                <w:tcPr>
                  <w:tcW w:type="dxa" w:w="2088"/>
                </w:tcPr>
                <w:p>
                  <w:pPr>
                    <w:bidi w:val="0"/>
                  </w:pPr>
                  <w:r/>
                  <w:r>
                    <w:rPr>
                      <w:sz w:val="20"/>
                    </w:rPr>
                    <w:t>Low</w:t>
                  </w:r>
                </w:p>
              </w:tc>
              <w:tc>
                <w:tcPr>
                  <w:tcW w:type="dxa" w:w="2088"/>
                </w:tcPr>
                <w:p>
                  <w:pPr>
                    <w:bidi w:val="0"/>
                  </w:pPr>
                  <w:r/>
                  <w:r>
                    <w:rPr>
                      <w:sz w:val="20"/>
                    </w:rPr>
                    <w:t>Load balancer, stateless multi-node application tier, Availability Group failover, health-probe rotation, and rollback to the last good build (2.7, 2.9)</w:t>
                  </w:r>
                </w:p>
              </w:tc>
              <w:tc>
                <w:tcPr>
                  <w:tcW w:type="dxa" w:w="2088"/>
                </w:tcPr>
                <w:p>
                  <w:pPr>
                    <w:bidi w:val="0"/>
                  </w:pPr>
                  <w:r/>
                  <w:r>
                    <w:rPr>
                      <w:sz w:val="20"/>
                    </w:rPr>
                    <w:t>SITE</w:t>
                  </w:r>
                </w:p>
              </w:tc>
            </w:tr>
            <w:tr>
              <w:tc>
                <w:tcPr>
                  <w:tcW w:type="dxa" w:w="2088"/>
                </w:tcPr>
                <w:p>
                  <w:pPr>
                    <w:bidi w:val="0"/>
                  </w:pPr>
                  <w:r/>
                  <w:r>
                    <w:rPr>
                      <w:sz w:val="20"/>
                    </w:rPr>
                    <w:t>Scalability and performance</w:t>
                  </w:r>
                </w:p>
              </w:tc>
              <w:tc>
                <w:tcPr>
                  <w:tcW w:type="dxa" w:w="2088"/>
                </w:tcPr>
                <w:p>
                  <w:pPr>
                    <w:bidi w:val="0"/>
                  </w:pPr>
                  <w:r/>
                  <w:r>
                    <w:rPr>
                      <w:sz w:val="20"/>
                    </w:rPr>
                    <w:t>Registration surge, live-session concurrency, gate-scan bursts and notification fan-out coincide and slow responses</w:t>
                  </w:r>
                </w:p>
              </w:tc>
              <w:tc>
                <w:tcPr>
                  <w:tcW w:type="dxa" w:w="2088"/>
                </w:tcPr>
                <w:p>
                  <w:pPr>
                    <w:bidi w:val="0"/>
                  </w:pPr>
                  <w:r/>
                  <w:r>
                    <w:rPr>
                      <w:sz w:val="20"/>
                    </w:rPr>
                    <w:t>Medium</w:t>
                  </w:r>
                </w:p>
              </w:tc>
              <w:tc>
                <w:tcPr>
                  <w:tcW w:type="dxa" w:w="2088"/>
                </w:tcPr>
                <w:p>
                  <w:pPr>
                    <w:bidi w:val="0"/>
                  </w:pPr>
                  <w:r/>
                  <w:r>
                    <w:rPr>
                      <w:sz w:val="20"/>
                    </w:rPr>
                    <w:t>Scale-out per tier, indexed and paged queries, bounded polling with caching, and peak-shaped staging load tests (2.9)</w:t>
                  </w:r>
                </w:p>
              </w:tc>
              <w:tc>
                <w:tcPr>
                  <w:tcW w:type="dxa" w:w="2088"/>
                </w:tcPr>
                <w:p>
                  <w:pPr>
                    <w:bidi w:val="0"/>
                  </w:pPr>
                  <w:r/>
                  <w:r>
                    <w:rPr>
                      <w:sz w:val="20"/>
                    </w:rPr>
                    <w:t>Apexium</w:t>
                  </w:r>
                </w:p>
              </w:tc>
            </w:tr>
            <w:tr>
              <w:tc>
                <w:tcPr>
                  <w:tcW w:type="dxa" w:w="2088"/>
                </w:tcPr>
                <w:p>
                  <w:pPr>
                    <w:bidi w:val="0"/>
                  </w:pPr>
                  <w:r/>
                  <w:r>
                    <w:rPr>
                      <w:sz w:val="20"/>
                    </w:rPr>
                    <w:t>Supplier and technology dependency</w:t>
                  </w:r>
                </w:p>
              </w:tc>
              <w:tc>
                <w:tcPr>
                  <w:tcW w:type="dxa" w:w="2088"/>
                </w:tcPr>
                <w:p>
                  <w:pPr>
                    <w:bidi w:val="0"/>
                  </w:pPr>
                  <w:r/>
                  <w:r>
                    <w:rPr>
                      <w:sz w:val="20"/>
                    </w:rPr>
                    <w:t>A SITE-supplied service is delayed or withdrawn: hosting, mail relay, model server or recovery site</w:t>
                  </w:r>
                </w:p>
              </w:tc>
              <w:tc>
                <w:tcPr>
                  <w:tcW w:type="dxa" w:w="2088"/>
                </w:tcPr>
                <w:p>
                  <w:pPr>
                    <w:bidi w:val="0"/>
                  </w:pPr>
                  <w:r/>
                  <w:r>
                    <w:rPr>
                      <w:sz w:val="20"/>
                    </w:rPr>
                    <w:t>Medium</w:t>
                  </w:r>
                </w:p>
              </w:tc>
              <w:tc>
                <w:tcPr>
                  <w:tcW w:type="dxa" w:w="2088"/>
                </w:tcPr>
                <w:p>
                  <w:pPr>
                    <w:bidi w:val="0"/>
                  </w:pPr>
                  <w:r/>
                  <w:r>
                    <w:rPr>
                      <w:sz w:val="20"/>
                    </w:rPr>
                    <w:t>Inference runs on site, so no external provider sits in the path; the provider is one configurable abstraction (2.4)</w:t>
                  </w:r>
                </w:p>
              </w:tc>
              <w:tc>
                <w:tcPr>
                  <w:tcW w:type="dxa" w:w="2088"/>
                </w:tcPr>
                <w:p>
                  <w:pPr>
                    <w:bidi w:val="0"/>
                  </w:pPr>
                  <w:r/>
                  <w:r>
                    <w:rPr>
                      <w:sz w:val="20"/>
                    </w:rPr>
                    <w:t>SITE</w:t>
                  </w:r>
                </w:p>
              </w:tc>
            </w:tr>
            <w:tr>
              <w:tc>
                <w:tcPr>
                  <w:tcW w:type="dxa" w:w="2088"/>
                </w:tcPr>
                <w:p>
                  <w:pPr>
                    <w:bidi w:val="0"/>
                  </w:pPr>
                  <w:r/>
                  <w:r>
                    <w:rPr>
                      <w:sz w:val="20"/>
                    </w:rPr>
                    <w:t>Data protection</w:t>
                  </w:r>
                </w:p>
              </w:tc>
              <w:tc>
                <w:tcPr>
                  <w:tcW w:type="dxa" w:w="2088"/>
                </w:tcPr>
                <w:p>
                  <w:pPr>
                    <w:bidi w:val="0"/>
                  </w:pPr>
                  <w:r/>
                  <w:r>
                    <w:rPr>
                      <w:sz w:val="20"/>
                    </w:rPr>
                    <w:t>Loss or corruption of attendee, booking or scan data, or no evidence of who changed it</w:t>
                  </w:r>
                </w:p>
              </w:tc>
              <w:tc>
                <w:tcPr>
                  <w:tcW w:type="dxa" w:w="2088"/>
                </w:tcPr>
                <w:p>
                  <w:pPr>
                    <w:bidi w:val="0"/>
                  </w:pPr>
                  <w:r/>
                  <w:r>
                    <w:rPr>
                      <w:sz w:val="20"/>
                    </w:rPr>
                    <w:t>Low</w:t>
                  </w:r>
                </w:p>
              </w:tc>
              <w:tc>
                <w:tcPr>
                  <w:tcW w:type="dxa" w:w="2088"/>
                </w:tcPr>
                <w:p>
                  <w:pPr>
                    <w:bidi w:val="0"/>
                  </w:pPr>
                  <w:r/>
                  <w:r>
                    <w:rPr>
                      <w:sz w:val="20"/>
                    </w:rPr>
                    <w:t>Separated databases with no cross-database key or transaction, database-enforced integrity, soft delete, reconciliation of logical references, and append-only audit trails (2.5, 2.8)</w:t>
                  </w:r>
                </w:p>
              </w:tc>
              <w:tc>
                <w:tcPr>
                  <w:tcW w:type="dxa" w:w="2088"/>
                </w:tcPr>
                <w:p>
                  <w:pPr>
                    <w:bidi w:val="0"/>
                  </w:pPr>
                  <w:r/>
                  <w:r>
                    <w:rPr>
                      <w:sz w:val="20"/>
                    </w:rPr>
                    <w:t>Apexium</w:t>
                  </w:r>
                </w:p>
              </w:tc>
            </w:tr>
            <w:tr>
              <w:tc>
                <w:tcPr>
                  <w:tcW w:type="dxa" w:w="2088"/>
                </w:tcPr>
                <w:p>
                  <w:pPr>
                    <w:bidi w:val="0"/>
                  </w:pPr>
                  <w:r/>
                  <w:r>
                    <w:rPr>
                      <w:sz w:val="20"/>
                    </w:rPr>
                    <w:t>Schedule and change freeze</w:t>
                  </w:r>
                </w:p>
              </w:tc>
              <w:tc>
                <w:tcPr>
                  <w:tcW w:type="dxa" w:w="2088"/>
                </w:tcPr>
                <w:p>
                  <w:pPr>
                    <w:bidi w:val="0"/>
                  </w:pPr>
                  <w:r/>
                  <w:r>
                    <w:rPr>
                      <w:sz w:val="20"/>
                    </w:rPr>
                    <w:t>A defect found after the freeze is expensive and disruptive to correct</w:t>
                  </w:r>
                </w:p>
              </w:tc>
              <w:tc>
                <w:tcPr>
                  <w:tcW w:type="dxa" w:w="2088"/>
                </w:tcPr>
                <w:p>
                  <w:pPr>
                    <w:bidi w:val="0"/>
                  </w:pPr>
                  <w:r/>
                  <w:r>
                    <w:rPr>
                      <w:sz w:val="20"/>
                    </w:rPr>
                    <w:t>Medium</w:t>
                  </w:r>
                </w:p>
              </w:tc>
              <w:tc>
                <w:tcPr>
                  <w:tcW w:type="dxa" w:w="2088"/>
                </w:tcPr>
                <w:p>
                  <w:pPr>
                    <w:bidi w:val="0"/>
                  </w:pPr>
                  <w:r/>
                  <w:r>
                    <w:rPr>
                      <w:sz w:val="20"/>
                    </w:rPr>
                    <w:t>Four-stage promotion with no stage skipped, reviewed pull requests, a pipeline that halts on a warning or vulnerable dependency, and per-page regression scenarios (2.7)</w:t>
                  </w:r>
                </w:p>
              </w:tc>
              <w:tc>
                <w:tcPr>
                  <w:tcW w:type="dxa" w:w="2088"/>
                </w:tcPr>
                <w:p>
                  <w:pPr>
                    <w:bidi w:val="0"/>
                  </w:pPr>
                  <w:r/>
                  <w:r>
                    <w:rPr>
                      <w:sz w:val="20"/>
                    </w:rPr>
                    <w:t>Apexium</w:t>
                  </w:r>
                </w:p>
              </w:tc>
            </w:tr>
          </w:tbl>
          <w:p/>
          <w:p>
            <w:pPr/>
          </w:p>
          <w:p>
            <w:pPr>
              <w:jc w:val="left"/>
              <w:bidi w:val="0"/>
            </w:pPr>
            <w:r>
              <w:rPr>
                <w:b/>
                <w:sz w:val="20"/>
              </w:rPr>
              <w:t>Open items register</w:t>
            </w:r>
          </w:p>
          <w:p>
            <w:pPr>
              <w:jc w:val="both"/>
              <w:bidi w:val="0"/>
            </w:pPr>
            <w:r>
              <w:rPr>
                <w:b w:val="0"/>
                <w:sz w:val="20"/>
              </w:rPr>
              <w:t>The register below is the only list of open items in the design.</w:t>
            </w:r>
          </w:p>
          <w:tbl>
            <w:tblPr>
              <w:tblStyle w:val="TableGrid"/>
              <w:tblLayout w:type="autofit"/>
              <w:tblLook w:firstColumn="1" w:firstRow="1" w:lastColumn="0" w:lastRow="0" w:noHBand="0" w:noVBand="1" w:val="04A0"/>
              <w:tblW w:w="5000" w:type="pct"/>
            </w:tblPr>
            <w:tblGrid>
              <w:gridCol w:w="2610"/>
              <w:gridCol w:w="2610"/>
              <w:gridCol w:w="2610"/>
              <w:gridCol w:w="2610"/>
            </w:tblGrid>
            <w:tr>
              <w:tc>
                <w:tcPr>
                  <w:tcW w:type="dxa" w:w="360"/>
                </w:tcPr>
                <w:p>
                  <w:pPr>
                    <w:bidi w:val="0"/>
                  </w:pPr>
                  <w:r/>
                  <w:r>
                    <w:rPr>
                      <w:b/>
                      <w:sz w:val="20"/>
                    </w:rPr>
                    <w:t>Identifier</w:t>
                  </w:r>
                </w:p>
              </w:tc>
              <w:tc>
                <w:tcPr>
                  <w:tcW w:type="dxa" w:w="360"/>
                </w:tcPr>
                <w:p>
                  <w:pPr>
                    <w:bidi w:val="0"/>
                  </w:pPr>
                  <w:r/>
                  <w:r>
                    <w:rPr>
                      <w:b/>
                      <w:sz w:val="20"/>
                    </w:rPr>
                    <w:t>Item</w:t>
                  </w:r>
                </w:p>
              </w:tc>
              <w:tc>
                <w:tcPr>
                  <w:tcW w:type="dxa" w:w="360"/>
                </w:tcPr>
                <w:p>
                  <w:pPr>
                    <w:bidi w:val="0"/>
                  </w:pPr>
                  <w:r/>
                  <w:r>
                    <w:rPr>
                      <w:b/>
                      <w:sz w:val="20"/>
                    </w:rPr>
                    <w:t>Owner</w:t>
                  </w:r>
                </w:p>
              </w:tc>
              <w:tc>
                <w:tcPr>
                  <w:tcW w:type="dxa" w:w="360"/>
                </w:tcPr>
                <w:p>
                  <w:pPr>
                    <w:bidi w:val="0"/>
                  </w:pPr>
                  <w:r/>
                  <w:r>
                    <w:rPr>
                      <w:b/>
                      <w:sz w:val="20"/>
                    </w:rPr>
                    <w:t>Closing condition</w:t>
                  </w:r>
                </w:p>
              </w:tc>
            </w:tr>
            <w:tr>
              <w:tc>
                <w:tcPr>
                  <w:tcW w:type="dxa" w:w="2610"/>
                </w:tcPr>
                <w:p>
                  <w:pPr>
                    <w:bidi w:val="0"/>
                  </w:pPr>
                  <w:r/>
                  <w:r>
                    <w:rPr>
                      <w:sz w:val="20"/>
                    </w:rPr>
                    <w:t>OI-01</w:t>
                  </w:r>
                </w:p>
              </w:tc>
              <w:tc>
                <w:tcPr>
                  <w:tcW w:type="dxa" w:w="2610"/>
                </w:tcPr>
                <w:p>
                  <w:pPr>
                    <w:bidi w:val="0"/>
                  </w:pPr>
                  <w:r/>
                  <w:r>
                    <w:rPr>
                      <w:sz w:val="20"/>
                    </w:rPr>
                    <w:t>Pre-launch deployment activities listed in 2.7 and 2.9</w:t>
                  </w:r>
                </w:p>
              </w:tc>
              <w:tc>
                <w:tcPr>
                  <w:tcW w:type="dxa" w:w="2610"/>
                </w:tcPr>
                <w:p>
                  <w:pPr>
                    <w:bidi w:val="0"/>
                  </w:pPr>
                  <w:r/>
                  <w:r>
                    <w:rPr>
                      <w:sz w:val="20"/>
                    </w:rPr>
                    <w:t>SITE</w:t>
                  </w:r>
                </w:p>
              </w:tc>
              <w:tc>
                <w:tcPr>
                  <w:tcW w:type="dxa" w:w="2610"/>
                </w:tcPr>
                <w:p>
                  <w:pPr>
                    <w:bidi w:val="0"/>
                  </w:pPr>
                  <w:r/>
                  <w:r>
                    <w:rPr>
                      <w:sz w:val="20"/>
                    </w:rPr>
                    <w:t>Each activity completed and verified in production before go-live</w:t>
                  </w:r>
                </w:p>
              </w:tc>
            </w:tr>
            <w:tr>
              <w:tc>
                <w:tcPr>
                  <w:tcW w:type="dxa" w:w="2610"/>
                </w:tcPr>
                <w:p>
                  <w:pPr>
                    <w:bidi w:val="0"/>
                  </w:pPr>
                  <w:r/>
                  <w:r>
                    <w:rPr>
                      <w:sz w:val="20"/>
                    </w:rPr>
                    <w:t>OI-02</w:t>
                  </w:r>
                </w:p>
              </w:tc>
              <w:tc>
                <w:tcPr>
                  <w:tcW w:type="dxa" w:w="2610"/>
                </w:tcPr>
                <w:p>
                  <w:pPr>
                    <w:bidi w:val="0"/>
                  </w:pPr>
                  <w:r/>
                  <w:r>
                    <w:rPr>
                      <w:sz w:val="20"/>
                    </w:rPr>
                    <w:t>Venue boundary for the deferred geofence behaviour</w:t>
                  </w:r>
                </w:p>
              </w:tc>
              <w:tc>
                <w:tcPr>
                  <w:tcW w:type="dxa" w:w="2610"/>
                </w:tcPr>
                <w:p>
                  <w:pPr>
                    <w:bidi w:val="0"/>
                  </w:pPr>
                  <w:r/>
                  <w:r>
                    <w:rPr>
                      <w:sz w:val="20"/>
                    </w:rPr>
                    <w:t>RSNF</w:t>
                  </w:r>
                </w:p>
              </w:tc>
              <w:tc>
                <w:tcPr>
                  <w:tcW w:type="dxa" w:w="2610"/>
                </w:tcPr>
                <w:p>
                  <w:pPr>
                    <w:bidi w:val="0"/>
                  </w:pPr>
                  <w:r/>
                  <w:r>
                    <w:rPr>
                      <w:sz w:val="20"/>
                    </w:rPr>
                    <w:t>Boundary confirmed, then the behaviour designed and scheduled</w:t>
                  </w:r>
                </w:p>
              </w:tc>
            </w:tr>
            <w:tr>
              <w:tc>
                <w:tcPr>
                  <w:tcW w:type="dxa" w:w="2610"/>
                </w:tcPr>
                <w:p>
                  <w:pPr>
                    <w:bidi w:val="0"/>
                  </w:pPr>
                  <w:r/>
                  <w:r>
                    <w:rPr>
                      <w:sz w:val="20"/>
                    </w:rPr>
                    <w:t>OI-03</w:t>
                  </w:r>
                </w:p>
              </w:tc>
              <w:tc>
                <w:tcPr>
                  <w:tcW w:type="dxa" w:w="2610"/>
                </w:tcPr>
                <w:p>
                  <w:pPr>
                    <w:bidi w:val="0"/>
                  </w:pPr>
                  <w:r/>
                  <w:r>
                    <w:rPr>
                      <w:sz w:val="20"/>
                    </w:rPr>
                    <w:t>The statistics metric list</w:t>
                  </w:r>
                </w:p>
              </w:tc>
              <w:tc>
                <w:tcPr>
                  <w:tcW w:type="dxa" w:w="2610"/>
                </w:tcPr>
                <w:p>
                  <w:pPr>
                    <w:bidi w:val="0"/>
                  </w:pPr>
                  <w:r/>
                  <w:r>
                    <w:rPr>
                      <w:sz w:val="20"/>
                    </w:rPr>
                    <w:t>RSNF</w:t>
                  </w:r>
                </w:p>
              </w:tc>
              <w:tc>
                <w:tcPr>
                  <w:tcW w:type="dxa" w:w="2610"/>
                </w:tcPr>
                <w:p>
                  <w:pPr>
                    <w:bidi w:val="0"/>
                  </w:pPr>
                  <w:r/>
                  <w:r>
                    <w:rPr>
                      <w:sz w:val="20"/>
                    </w:rPr>
                    <w:t>Metric list confirmed in writing</w:t>
                  </w:r>
                </w:p>
              </w:tc>
            </w:tr>
            <w:tr>
              <w:tc>
                <w:tcPr>
                  <w:tcW w:type="dxa" w:w="2610"/>
                </w:tcPr>
                <w:p>
                  <w:pPr>
                    <w:bidi w:val="0"/>
                  </w:pPr>
                  <w:r/>
                  <w:r>
                    <w:rPr>
                      <w:sz w:val="20"/>
                    </w:rPr>
                    <w:t>OI-04</w:t>
                  </w:r>
                </w:p>
              </w:tc>
              <w:tc>
                <w:tcPr>
                  <w:tcW w:type="dxa" w:w="2610"/>
                </w:tcPr>
                <w:p>
                  <w:pPr>
                    <w:bidi w:val="0"/>
                  </w:pPr>
                  <w:r/>
                  <w:r>
                    <w:rPr>
                      <w:sz w:val="20"/>
                    </w:rPr>
                    <w:t>Load test pass thresholds</w:t>
                  </w:r>
                </w:p>
              </w:tc>
              <w:tc>
                <w:tcPr>
                  <w:tcW w:type="dxa" w:w="2610"/>
                </w:tcPr>
                <w:p>
                  <w:pPr>
                    <w:bidi w:val="0"/>
                  </w:pPr>
                  <w:r/>
                  <w:r>
                    <w:rPr>
                      <w:sz w:val="20"/>
                    </w:rPr>
                    <w:t>Apexium</w:t>
                  </w:r>
                </w:p>
              </w:tc>
              <w:tc>
                <w:tcPr>
                  <w:tcW w:type="dxa" w:w="2610"/>
                </w:tcPr>
                <w:p>
                  <w:pPr>
                    <w:bidi w:val="0"/>
                  </w:pPr>
                  <w:r/>
                  <w:r>
                    <w:rPr>
                      <w:sz w:val="20"/>
                    </w:rPr>
                    <w:t>Thresholds agreed, then met by a peak-shaped staging run</w:t>
                  </w:r>
                </w:p>
              </w:tc>
            </w:tr>
            <w:tr>
              <w:tc>
                <w:tcPr>
                  <w:tcW w:type="dxa" w:w="2610"/>
                </w:tcPr>
                <w:p>
                  <w:pPr>
                    <w:bidi w:val="0"/>
                  </w:pPr>
                  <w:r/>
                  <w:r>
                    <w:rPr>
                      <w:sz w:val="20"/>
                    </w:rPr>
                    <w:t>OI-05</w:t>
                  </w:r>
                </w:p>
              </w:tc>
              <w:tc>
                <w:tcPr>
                  <w:tcW w:type="dxa" w:w="2610"/>
                </w:tcPr>
                <w:p>
                  <w:pPr>
                    <w:bidi w:val="0"/>
                  </w:pPr>
                  <w:r/>
                  <w:r>
                    <w:rPr>
                      <w:sz w:val="20"/>
                    </w:rPr>
                    <w:t>Personal data retention schedule</w:t>
                  </w:r>
                </w:p>
              </w:tc>
              <w:tc>
                <w:tcPr>
                  <w:tcW w:type="dxa" w:w="2610"/>
                </w:tcPr>
                <w:p>
                  <w:pPr>
                    <w:bidi w:val="0"/>
                  </w:pPr>
                  <w:r/>
                  <w:r>
                    <w:rPr>
                      <w:sz w:val="20"/>
                    </w:rPr>
                    <w:t>RSNF</w:t>
                  </w:r>
                </w:p>
              </w:tc>
              <w:tc>
                <w:tcPr>
                  <w:tcW w:type="dxa" w:w="2610"/>
                </w:tcPr>
                <w:p>
                  <w:pPr>
                    <w:bidi w:val="0"/>
                  </w:pPr>
                  <w:r/>
                  <w:r>
                    <w:rPr>
                      <w:sz w:val="20"/>
                    </w:rPr>
                    <w:t>Retention period approved for each category of personal data</w:t>
                  </w:r>
                </w:p>
              </w:tc>
            </w:tr>
            <w:tr>
              <w:tc>
                <w:tcPr>
                  <w:tcW w:type="dxa" w:w="2610"/>
                </w:tcPr>
                <w:p>
                  <w:pPr>
                    <w:bidi w:val="0"/>
                  </w:pPr>
                  <w:r/>
                  <w:r>
                    <w:rPr>
                      <w:sz w:val="20"/>
                    </w:rPr>
                    <w:t>OI-06</w:t>
                  </w:r>
                </w:p>
              </w:tc>
              <w:tc>
                <w:tcPr>
                  <w:tcW w:type="dxa" w:w="2610"/>
                </w:tcPr>
                <w:p>
                  <w:pPr>
                    <w:bidi w:val="0"/>
                  </w:pPr>
                  <w:r/>
                  <w:r>
                    <w:rPr>
                      <w:sz w:val="20"/>
                    </w:rPr>
                    <w:t>Availability Group quorum witness</w:t>
                  </w:r>
                </w:p>
              </w:tc>
              <w:tc>
                <w:tcPr>
                  <w:tcW w:type="dxa" w:w="2610"/>
                </w:tcPr>
                <w:p>
                  <w:pPr>
                    <w:bidi w:val="0"/>
                  </w:pPr>
                  <w:r/>
                  <w:r>
                    <w:rPr>
                      <w:sz w:val="20"/>
                    </w:rPr>
                    <w:t>SITE</w:t>
                  </w:r>
                </w:p>
              </w:tc>
              <w:tc>
                <w:tcPr>
                  <w:tcW w:type="dxa" w:w="2610"/>
                </w:tcPr>
                <w:p>
                  <w:pPr>
                    <w:bidi w:val="0"/>
                  </w:pPr>
                  <w:r/>
                  <w:r>
                    <w:rPr>
                      <w:sz w:val="20"/>
                    </w:rPr>
                    <w:t>Witness type and location confirmed and configured</w:t>
                  </w:r>
                </w:p>
              </w:tc>
            </w:tr>
            <w:tr>
              <w:tc>
                <w:tcPr>
                  <w:tcW w:type="dxa" w:w="2610"/>
                </w:tcPr>
                <w:p>
                  <w:pPr>
                    <w:bidi w:val="0"/>
                  </w:pPr>
                  <w:r/>
                  <w:r>
                    <w:rPr>
                      <w:sz w:val="20"/>
                    </w:rPr>
                    <w:t>OI-07</w:t>
                  </w:r>
                </w:p>
              </w:tc>
              <w:tc>
                <w:tcPr>
                  <w:tcW w:type="dxa" w:w="2610"/>
                </w:tcPr>
                <w:p>
                  <w:pPr>
                    <w:bidi w:val="0"/>
                  </w:pPr>
                  <w:r/>
                  <w:r>
                    <w:rPr>
                      <w:sz w:val="20"/>
                    </w:rPr>
                    <w:t>Outbound exception for the caption import</w:t>
                  </w:r>
                </w:p>
              </w:tc>
              <w:tc>
                <w:tcPr>
                  <w:tcW w:type="dxa" w:w="2610"/>
                </w:tcPr>
                <w:p>
                  <w:pPr>
                    <w:bidi w:val="0"/>
                  </w:pPr>
                  <w:r/>
                  <w:r>
                    <w:rPr>
                      <w:sz w:val="20"/>
                    </w:rPr>
                    <w:t>SITE</w:t>
                  </w:r>
                </w:p>
              </w:tc>
              <w:tc>
                <w:tcPr>
                  <w:tcW w:type="dxa" w:w="2610"/>
                </w:tcPr>
                <w:p>
                  <w:pPr>
                    <w:bidi w:val="0"/>
                  </w:pPr>
                  <w:r/>
                  <w:r>
                    <w:rPr>
                      <w:sz w:val="20"/>
                    </w:rPr>
                    <w:t>Rule approved and in place, or transcript upload adopted instead</w:t>
                  </w:r>
                </w:p>
              </w:tc>
            </w:tr>
            <w:tr>
              <w:tc>
                <w:tcPr>
                  <w:tcW w:type="dxa" w:w="2610"/>
                </w:tcPr>
                <w:p>
                  <w:pPr>
                    <w:bidi w:val="0"/>
                  </w:pPr>
                  <w:r/>
                  <w:r>
                    <w:rPr>
                      <w:sz w:val="20"/>
                    </w:rPr>
                    <w:t>OI-08</w:t>
                  </w:r>
                </w:p>
              </w:tc>
              <w:tc>
                <w:tcPr>
                  <w:tcW w:type="dxa" w:w="2610"/>
                </w:tcPr>
                <w:p>
                  <w:pPr>
                    <w:bidi w:val="0"/>
                  </w:pPr>
                  <w:r/>
                  <w:r>
                    <w:rPr>
                      <w:sz w:val="20"/>
                    </w:rPr>
                    <w:t>Proposed sizing for the mobile edge and object store hosts</w:t>
                  </w:r>
                </w:p>
              </w:tc>
              <w:tc>
                <w:tcPr>
                  <w:tcW w:type="dxa" w:w="2610"/>
                </w:tcPr>
                <w:p>
                  <w:pPr>
                    <w:bidi w:val="0"/>
                  </w:pPr>
                  <w:r/>
                  <w:r>
                    <w:rPr>
                      <w:sz w:val="20"/>
                    </w:rPr>
                    <w:t>SITE</w:t>
                  </w:r>
                </w:p>
              </w:tc>
              <w:tc>
                <w:tcPr>
                  <w:tcW w:type="dxa" w:w="2610"/>
                </w:tcPr>
                <w:p>
                  <w:pPr>
                    <w:bidi w:val="0"/>
                  </w:pPr>
                  <w:r/>
                  <w:r>
                    <w:rPr>
                      <w:sz w:val="20"/>
                    </w:rPr>
                    <w:t xml:space="preserve">Node count and specification agreed with the customer</w:t>
                  </w:r>
                </w:p>
              </w:tc>
            </w:tr>
            <w:tr>
              <w:tc>
                <w:tcPr>
                  <w:tcW w:type="dxa" w:w="2610"/>
                </w:tcPr>
                <w:p>
                  <w:pPr>
                    <w:bidi w:val="0"/>
                  </w:pPr>
                  <w:r/>
                  <w:r>
                    <w:rPr>
                      <w:sz w:val="20"/>
                    </w:rPr>
                    <w:t>OI-09</w:t>
                  </w:r>
                </w:p>
              </w:tc>
              <w:tc>
                <w:tcPr>
                  <w:tcW w:type="dxa" w:w="2610"/>
                </w:tcPr>
                <w:p>
                  <w:pPr>
                    <w:bidi w:val="0"/>
                  </w:pPr>
                  <w:r/>
                  <w:r>
                    <w:rPr>
                      <w:sz w:val="20"/>
                    </w:rPr>
                    <w:t>Network addressing and virtual local area network allocation</w:t>
                  </w:r>
                </w:p>
              </w:tc>
              <w:tc>
                <w:tcPr>
                  <w:tcW w:type="dxa" w:w="2610"/>
                </w:tcPr>
                <w:p>
                  <w:pPr>
                    <w:bidi w:val="0"/>
                  </w:pPr>
                  <w:r/>
                  <w:r>
                    <w:rPr>
                      <w:sz w:val="20"/>
                    </w:rPr>
                    <w:t>SITE network team</w:t>
                  </w:r>
                </w:p>
              </w:tc>
              <w:tc>
                <w:tcPr>
                  <w:tcW w:type="dxa" w:w="2610"/>
                </w:tcPr>
                <w:p>
                  <w:pPr>
                    <w:bidi w:val="0"/>
                  </w:pPr>
                  <w:r/>
                  <w:r>
                    <w:rPr>
                      <w:sz w:val="20"/>
                    </w:rPr>
                    <w:t>Addresses and identifiers issued for every zone</w:t>
                  </w:r>
                </w:p>
              </w:tc>
            </w:tr>
            <w:tr>
              <w:tc>
                <w:tcPr>
                  <w:tcW w:type="dxa" w:w="2610"/>
                </w:tcPr>
                <w:p>
                  <w:pPr>
                    <w:bidi w:val="0"/>
                  </w:pPr>
                  <w:r/>
                  <w:r>
                    <w:rPr>
                      <w:sz w:val="20"/>
                    </w:rPr>
                    <w:t>OI-10</w:t>
                  </w:r>
                </w:p>
              </w:tc>
              <w:tc>
                <w:tcPr>
                  <w:tcW w:type="dxa" w:w="2610"/>
                </w:tcPr>
                <w:p>
                  <w:pPr>
                    <w:bidi w:val="0"/>
                  </w:pPr>
                  <w:r/>
                  <w:r>
                    <w:rPr>
                      <w:sz w:val="20"/>
                    </w:rPr>
                    <w:t>Recovery site, and the replication method for the databases and the object store</w:t>
                  </w:r>
                </w:p>
              </w:tc>
              <w:tc>
                <w:tcPr>
                  <w:tcW w:type="dxa" w:w="2610"/>
                </w:tcPr>
                <w:p>
                  <w:pPr>
                    <w:bidi w:val="0"/>
                  </w:pPr>
                  <w:r/>
                  <w:r>
                    <w:rPr>
                      <w:sz w:val="20"/>
                    </w:rPr>
                    <w:t>SITE</w:t>
                  </w:r>
                </w:p>
              </w:tc>
              <w:tc>
                <w:tcPr>
                  <w:tcW w:type="dxa" w:w="2610"/>
                </w:tcPr>
                <w:p>
                  <w:pPr>
                    <w:bidi w:val="0"/>
                  </w:pPr>
                  <w:r/>
                  <w:r>
                    <w:rPr>
                      <w:sz w:val="20"/>
                    </w:rPr>
                    <w:t>Site named and replication confirmed against the four-hour recovery time objective</w:t>
                  </w:r>
                </w:p>
              </w:tc>
            </w:tr>
            <w:tr>
              <w:tc>
                <w:tcPr>
                  <w:tcW w:type="dxa" w:w="2610"/>
                </w:tcPr>
                <w:p>
                  <w:pPr>
                    <w:bidi w:val="0"/>
                  </w:pPr>
                  <w:r/>
                  <w:r>
                    <w:rPr>
                      <w:sz w:val="20"/>
                    </w:rPr>
                    <w:t>OI-11</w:t>
                  </w:r>
                </w:p>
              </w:tc>
              <w:tc>
                <w:tcPr>
                  <w:tcW w:type="dxa" w:w="2610"/>
                </w:tcPr>
                <w:p>
                  <w:pPr>
                    <w:bidi w:val="0"/>
                  </w:pPr>
                  <w:r/>
                  <w:r>
                    <w:rPr>
                      <w:sz w:val="20"/>
                    </w:rPr>
                    <w:t>Minimum supported browser and mobile operating system versions</w:t>
                  </w:r>
                </w:p>
              </w:tc>
              <w:tc>
                <w:tcPr>
                  <w:tcW w:type="dxa" w:w="2610"/>
                </w:tcPr>
                <w:p>
                  <w:pPr>
                    <w:bidi w:val="0"/>
                  </w:pPr>
                  <w:r/>
                  <w:r>
                    <w:rPr>
                      <w:sz w:val="20"/>
                    </w:rPr>
                    <w:t>Apexium</w:t>
                  </w:r>
                </w:p>
              </w:tc>
              <w:tc>
                <w:tcPr>
                  <w:tcW w:type="dxa" w:w="2610"/>
                </w:tcPr>
                <w:p>
                  <w:pPr>
                    <w:bidi w:val="0"/>
                  </w:pPr>
                  <w:r/>
                  <w:r>
                    <w:rPr>
                      <w:sz w:val="20"/>
                    </w:rPr>
                    <w:t>Confirmed from the delivered client build configuration</w:t>
                  </w:r>
                </w:p>
              </w:tc>
            </w:tr>
          </w:tbl>
          <w:p/>
          <w:p>
            <w:pPr/>
          </w:p>
          <w:p>
            <w:pPr>
              <w:jc w:val="both"/>
              <w:bidi w:val="0"/>
            </w:pPr>
            <w:r>
              <w:rPr>
                <w:b w:val="0"/>
                <w:sz w:val="20"/>
              </w:rPr>
              <w:t>Pre-launch activities close before go-live; the rest stay open until their closing condition is met.</w:t>
            </w:r>
          </w:p>
        </w:tc>
      </w:tr>
    </w:tbl>
    <w:p w14:paraId="6B29A462" w14:textId="77777777" w:rsidR="00D60493" w:rsidRDefault="00D60493" w:rsidP="00E80022">
      <w:pPr>
        <w:bidi w:val="0"/>
        <w:rPr>
          <w:rtl/>
        </w:rPr>
      </w:pPr>
    </w:p>
    <w:bookmarkEnd w:id="0"/>
    <w:bookmarkEnd w:id="1"/>
    <w:p w14:paraId="379440F5" w14:textId="77777777" w:rsidR="005569FB" w:rsidRDefault="005569FB" w:rsidP="00E80022">
      <w:pPr>
        <w:bidi w:val="0"/>
      </w:pPr>
    </w:p>
    <w:p w14:paraId="4D8CCC7F" w14:textId="77777777" w:rsidR="00444983" w:rsidRDefault="00444983" w:rsidP="00E80022">
      <w:pPr>
        <w:bidi w:val="0"/>
      </w:pPr>
    </w:p>
    <w:p w14:paraId="2D8E07A5" w14:textId="77777777" w:rsidR="00444983" w:rsidRDefault="00444983" w:rsidP="00E80022">
      <w:pPr>
        <w:bidi w:val="0"/>
      </w:pPr>
    </w:p>
    <w:p w14:paraId="3CC800CF" w14:textId="77777777" w:rsidR="00444983" w:rsidRDefault="00444983" w:rsidP="00E80022">
      <w:pPr>
        <w:bidi w:val="0"/>
      </w:pPr>
    </w:p>
    <w:p w14:paraId="5FD3E40F" w14:textId="77777777" w:rsidR="00444983" w:rsidRDefault="00444983" w:rsidP="00E80022">
      <w:pPr>
        <w:bidi w:val="0"/>
      </w:pPr>
    </w:p>
    <w:p w14:paraId="5EE0EBA3" w14:textId="77777777" w:rsidR="00444983" w:rsidRDefault="00444983" w:rsidP="00E80022">
      <w:pPr>
        <w:bidi w:val="0"/>
      </w:pPr>
    </w:p>
    <w:p w14:paraId="75BCC466" w14:textId="77777777" w:rsidR="00444983" w:rsidRDefault="00444983" w:rsidP="00E80022">
      <w:pPr>
        <w:bidi w:val="0"/>
      </w:pPr>
    </w:p>
    <w:p w14:paraId="65C76461" w14:textId="77777777" w:rsidR="00444983" w:rsidRDefault="00444983" w:rsidP="00E80022">
      <w:pPr>
        <w:bidi w:val="0"/>
      </w:pPr>
    </w:p>
    <w:p w14:paraId="2D62C9A9" w14:textId="77777777" w:rsidR="00444983" w:rsidRDefault="00444983" w:rsidP="00E80022">
      <w:pPr>
        <w:bidi w:val="0"/>
      </w:pPr>
    </w:p>
    <w:p w14:paraId="41DF2BDD" w14:textId="77777777" w:rsidR="00444983" w:rsidRDefault="00444983" w:rsidP="00E80022">
      <w:pPr>
        <w:bidi w:val="0"/>
        <w:rPr>
          <w:rtl/>
        </w:rPr>
      </w:pPr>
    </w:p>
    <w:p w14:paraId="5F4325B1" w14:textId="77777777" w:rsidR="006B7143" w:rsidRDefault="006B7143" w:rsidP="00E80022">
      <w:pPr>
        <w:bidi w:val="0"/>
      </w:pPr>
    </w:p>
    <w:tbl>
      <w:tblPr>
        <w:tblpPr w:leftFromText="180" w:rightFromText="180" w:vertAnchor="page" w:horzAnchor="margin" w:tblpY="3799"/>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3"/>
        <w:gridCol w:w="2862"/>
      </w:tblGrid>
      <w:tr w:rsidR="005569FB" w:rsidRPr="0041599B" w14:paraId="37BD7922" w14:textId="77777777" w:rsidTr="005569FB">
        <w:tc>
          <w:tcPr>
            <w:tcW w:w="9675" w:type="dxa"/>
            <w:gridSpan w:val="2"/>
            <w:tcBorders>
              <w:top w:val="single" w:sz="4" w:space="0" w:color="auto"/>
              <w:left w:val="nil"/>
              <w:bottom w:val="nil"/>
              <w:right w:val="nil"/>
            </w:tcBorders>
            <w:vAlign w:val="center"/>
          </w:tcPr>
          <w:p w14:paraId="2E09D6D6" w14:textId="77777777" w:rsidR="005569FB" w:rsidRPr="0041599B" w:rsidRDefault="005569FB" w:rsidP="00E80022">
            <w:pPr>
              <w:bidi w:val="0"/>
              <w:rPr>
                <w:rtl/>
              </w:rPr>
            </w:pPr>
          </w:p>
          <w:tbl>
            <w:tblPr>
              <w:tblStyle w:val="TableGrid"/>
              <w:tblW w:w="0" w:type="auto"/>
              <w:shd w:val="clear" w:color="auto" w:fill="00A05A"/>
              <w:tblLook w:val="04A0" w:firstRow="1" w:lastRow="0" w:firstColumn="1" w:lastColumn="0" w:noHBand="0" w:noVBand="1"/>
            </w:tblPr>
            <w:tblGrid>
              <w:gridCol w:w="9449"/>
            </w:tblGrid>
            <w:tr w:rsidR="005569FB" w:rsidRPr="0041599B" w14:paraId="35B4C5D5" w14:textId="77777777" w:rsidTr="005569FB">
              <w:tc>
                <w:tcPr>
                  <w:tcW w:w="9449" w:type="dxa"/>
                  <w:shd w:val="clear" w:color="auto" w:fill="00A05A"/>
                </w:tcPr>
                <w:p w14:paraId="4A8399EC" w14:textId="77777777" w:rsidR="005569FB" w:rsidRPr="00D67F94" w:rsidRDefault="005569FB" w:rsidP="0095573C">
                  <w:pPr>
                    <w:framePr w:hSpace="180" w:wrap="around" w:vAnchor="page" w:hAnchor="margin" w:y="3799"/>
                    <w:bidi w:val="0"/>
                    <w:rPr>
                      <w:bCs/>
                      <w:lang w:val="en-US"/>
                    </w:rPr>
                  </w:pPr>
                  <w:bookmarkStart w:id="2" w:name="_Hlk136203427"/>
                  <w:r w:rsidRPr="00D67F94">
                    <w:t>Approvals</w:t>
                  </w:r>
                </w:p>
              </w:tc>
            </w:tr>
            <w:bookmarkEnd w:id="2"/>
          </w:tbl>
          <w:p w14:paraId="731640B6" w14:textId="77777777" w:rsidR="005569FB" w:rsidRPr="0041599B" w:rsidRDefault="005569FB" w:rsidP="00E80022">
            <w:pPr>
              <w:bidi w:val="0"/>
              <w:rPr>
                <w:rtl/>
              </w:rPr>
            </w:pPr>
          </w:p>
        </w:tc>
      </w:tr>
      <w:tr w:rsidR="005569FB" w:rsidRPr="0041599B" w14:paraId="2181EC6E" w14:textId="77777777" w:rsidTr="005569FB">
        <w:trPr>
          <w:trHeight w:val="698"/>
        </w:trPr>
        <w:tc>
          <w:tcPr>
            <w:tcW w:w="6813" w:type="dxa"/>
            <w:tcBorders>
              <w:top w:val="nil"/>
              <w:left w:val="nil"/>
              <w:bottom w:val="nil"/>
              <w:right w:val="nil"/>
            </w:tcBorders>
            <w:vAlign w:val="bottom"/>
          </w:tcPr>
          <w:p w14:paraId="7ADCE04B" w14:textId="77777777" w:rsidR="005569FB" w:rsidRPr="00A271D8" w:rsidRDefault="005569FB" w:rsidP="00E80022">
            <w:pPr>
              <w:bidi w:val="0"/>
            </w:pPr>
          </w:p>
          <w:p w14:paraId="0695A060" w14:textId="77777777" w:rsidR="005569FB" w:rsidRPr="00A271D8" w:rsidRDefault="00782F9E" w:rsidP="00E80022">
            <w:pPr>
              <w:bidi w:val="0"/>
            </w:pPr>
            <w:r w:rsidRPr="00A271D8">
              <w:t>Technology</w:t>
            </w:r>
            <w:r w:rsidR="005569FB" w:rsidRPr="00A271D8">
              <w:t xml:space="preserve"> </w:t>
            </w:r>
            <w:r w:rsidR="00950F12" w:rsidRPr="00A271D8">
              <w:t>Expert,</w:t>
            </w:r>
            <w:r w:rsidR="005569FB" w:rsidRPr="00A271D8">
              <w:t xml:space="preserve"> Role 1</w:t>
            </w:r>
          </w:p>
          <w:p w14:paraId="3536318E" w14:textId="77777777" w:rsidR="005569FB" w:rsidRPr="00A271D8" w:rsidRDefault="005569FB" w:rsidP="00E80022">
            <w:pPr>
              <w:bidi w:val="0"/>
            </w:pPr>
            <w:r w:rsidRPr="00A271D8">
              <w:t>Signature:</w:t>
            </w:r>
            <w:r w:rsidRPr="00A271D8">
              <w:rPr>
                <w:color w:val="7F7F7F"/>
              </w:rPr>
              <w:t xml:space="preserve"> </w:t>
            </w:r>
            <w:r w:rsidRPr="00A271D8">
              <w:t>_______________________________</w:t>
            </w:r>
          </w:p>
        </w:tc>
        <w:tc>
          <w:tcPr>
            <w:tcW w:w="2862" w:type="dxa"/>
            <w:tcBorders>
              <w:top w:val="nil"/>
              <w:left w:val="nil"/>
              <w:bottom w:val="nil"/>
              <w:right w:val="nil"/>
            </w:tcBorders>
            <w:vAlign w:val="bottom"/>
          </w:tcPr>
          <w:p w14:paraId="7B17F4A4" w14:textId="77777777" w:rsidR="005569FB" w:rsidRPr="00A271D8" w:rsidRDefault="005569FB" w:rsidP="00E80022">
            <w:pPr>
              <w:bidi w:val="0"/>
            </w:pPr>
          </w:p>
          <w:p w14:paraId="61113289" w14:textId="77777777" w:rsidR="005569FB" w:rsidRPr="00A271D8" w:rsidRDefault="005569FB" w:rsidP="00E80022">
            <w:pPr>
              <w:bidi w:val="0"/>
            </w:pPr>
          </w:p>
          <w:p w14:paraId="6BCC8E74" w14:textId="77777777" w:rsidR="005569FB" w:rsidRPr="00A271D8" w:rsidRDefault="005569FB" w:rsidP="00E80022">
            <w:pPr>
              <w:bidi w:val="0"/>
            </w:pPr>
            <w:r w:rsidRPr="00A271D8">
              <w:t>Date__________</w:t>
            </w:r>
          </w:p>
        </w:tc>
      </w:tr>
      <w:tr w:rsidR="005569FB" w:rsidRPr="0041599B" w14:paraId="4BDE0514" w14:textId="77777777" w:rsidTr="005569FB">
        <w:trPr>
          <w:trHeight w:val="698"/>
        </w:trPr>
        <w:tc>
          <w:tcPr>
            <w:tcW w:w="6813" w:type="dxa"/>
            <w:tcBorders>
              <w:top w:val="nil"/>
              <w:left w:val="nil"/>
              <w:bottom w:val="nil"/>
              <w:right w:val="nil"/>
            </w:tcBorders>
            <w:vAlign w:val="center"/>
          </w:tcPr>
          <w:p w14:paraId="10580E35" w14:textId="77777777" w:rsidR="005569FB" w:rsidRPr="00A271D8" w:rsidRDefault="005569FB" w:rsidP="00E80022">
            <w:pPr>
              <w:bidi w:val="0"/>
            </w:pPr>
          </w:p>
        </w:tc>
        <w:tc>
          <w:tcPr>
            <w:tcW w:w="2862" w:type="dxa"/>
            <w:tcBorders>
              <w:top w:val="nil"/>
              <w:left w:val="nil"/>
              <w:bottom w:val="nil"/>
              <w:right w:val="nil"/>
            </w:tcBorders>
            <w:vAlign w:val="center"/>
          </w:tcPr>
          <w:p w14:paraId="1D25BD5B" w14:textId="77777777" w:rsidR="005569FB" w:rsidRPr="00A271D8" w:rsidRDefault="005569FB" w:rsidP="00E80022">
            <w:pPr>
              <w:bidi w:val="0"/>
            </w:pPr>
          </w:p>
        </w:tc>
      </w:tr>
      <w:tr w:rsidR="005569FB" w:rsidRPr="0041599B" w14:paraId="5A804DDA" w14:textId="77777777" w:rsidTr="005569FB">
        <w:trPr>
          <w:trHeight w:val="698"/>
        </w:trPr>
        <w:tc>
          <w:tcPr>
            <w:tcW w:w="6813" w:type="dxa"/>
            <w:tcBorders>
              <w:top w:val="nil"/>
              <w:left w:val="nil"/>
              <w:bottom w:val="nil"/>
              <w:right w:val="nil"/>
            </w:tcBorders>
            <w:vAlign w:val="bottom"/>
          </w:tcPr>
          <w:p w14:paraId="1F75B2E0" w14:textId="77777777" w:rsidR="005569FB" w:rsidRPr="00A271D8" w:rsidRDefault="005569FB" w:rsidP="00E80022">
            <w:pPr>
              <w:bidi w:val="0"/>
              <w:rPr>
                <w:rtl/>
              </w:rPr>
            </w:pPr>
            <w:r w:rsidRPr="00A271D8">
              <w:t>Technology</w:t>
            </w:r>
            <w:r w:rsidR="00782F9E" w:rsidRPr="00A271D8">
              <w:t xml:space="preserve"> Head </w:t>
            </w:r>
            <w:r w:rsidRPr="00A271D8">
              <w:t xml:space="preserve"> </w:t>
            </w:r>
          </w:p>
          <w:p w14:paraId="015BF05A" w14:textId="77777777" w:rsidR="005569FB" w:rsidRPr="00A271D8" w:rsidRDefault="00782F9E" w:rsidP="00E80022">
            <w:pPr>
              <w:bidi w:val="0"/>
            </w:pPr>
            <w:r w:rsidRPr="00A271D8">
              <w:t>Signature:</w:t>
            </w:r>
            <w:r w:rsidRPr="00A271D8">
              <w:rPr>
                <w:color w:val="7F7F7F"/>
              </w:rPr>
              <w:t xml:space="preserve"> </w:t>
            </w:r>
            <w:r w:rsidRPr="00A271D8">
              <w:t xml:space="preserve"> _____________________________</w:t>
            </w:r>
            <w:r w:rsidR="005569FB" w:rsidRPr="00A271D8">
              <w:tab/>
            </w:r>
          </w:p>
        </w:tc>
        <w:tc>
          <w:tcPr>
            <w:tcW w:w="2862" w:type="dxa"/>
            <w:tcBorders>
              <w:top w:val="nil"/>
              <w:left w:val="nil"/>
              <w:bottom w:val="nil"/>
              <w:right w:val="nil"/>
            </w:tcBorders>
            <w:vAlign w:val="bottom"/>
          </w:tcPr>
          <w:p w14:paraId="3F207048" w14:textId="77777777" w:rsidR="005569FB" w:rsidRPr="00A271D8" w:rsidRDefault="005569FB" w:rsidP="00E80022">
            <w:pPr>
              <w:bidi w:val="0"/>
            </w:pPr>
            <w:r w:rsidRPr="00A271D8">
              <w:t>Date__________</w:t>
            </w:r>
          </w:p>
        </w:tc>
      </w:tr>
      <w:tr w:rsidR="005569FB" w:rsidRPr="0041599B" w14:paraId="651EB039" w14:textId="77777777" w:rsidTr="005569FB">
        <w:trPr>
          <w:trHeight w:val="698"/>
        </w:trPr>
        <w:tc>
          <w:tcPr>
            <w:tcW w:w="6813" w:type="dxa"/>
            <w:tcBorders>
              <w:top w:val="nil"/>
              <w:left w:val="nil"/>
              <w:bottom w:val="nil"/>
              <w:right w:val="nil"/>
            </w:tcBorders>
            <w:vAlign w:val="bottom"/>
          </w:tcPr>
          <w:p w14:paraId="07378562" w14:textId="77777777" w:rsidR="005569FB" w:rsidRPr="00A271D8" w:rsidRDefault="005569FB" w:rsidP="00E80022">
            <w:pPr>
              <w:bidi w:val="0"/>
            </w:pPr>
          </w:p>
        </w:tc>
        <w:tc>
          <w:tcPr>
            <w:tcW w:w="2862" w:type="dxa"/>
            <w:tcBorders>
              <w:top w:val="nil"/>
              <w:left w:val="nil"/>
              <w:bottom w:val="nil"/>
              <w:right w:val="nil"/>
            </w:tcBorders>
            <w:vAlign w:val="bottom"/>
          </w:tcPr>
          <w:p w14:paraId="7804A444" w14:textId="77777777" w:rsidR="005569FB" w:rsidRPr="00A271D8" w:rsidRDefault="005569FB" w:rsidP="00E80022">
            <w:pPr>
              <w:bidi w:val="0"/>
            </w:pPr>
          </w:p>
        </w:tc>
      </w:tr>
      <w:tr w:rsidR="005569FB" w:rsidRPr="0041599B" w14:paraId="498634D9" w14:textId="77777777" w:rsidTr="005569FB">
        <w:trPr>
          <w:trHeight w:val="698"/>
        </w:trPr>
        <w:tc>
          <w:tcPr>
            <w:tcW w:w="6813" w:type="dxa"/>
            <w:tcBorders>
              <w:top w:val="nil"/>
              <w:left w:val="nil"/>
              <w:bottom w:val="nil"/>
              <w:right w:val="nil"/>
            </w:tcBorders>
            <w:vAlign w:val="bottom"/>
          </w:tcPr>
          <w:p w14:paraId="655B6DB8" w14:textId="77777777" w:rsidR="005569FB" w:rsidRPr="00A271D8" w:rsidRDefault="005569FB" w:rsidP="00E80022">
            <w:pPr>
              <w:bidi w:val="0"/>
            </w:pPr>
            <w:r w:rsidRPr="00A271D8">
              <w:t xml:space="preserve">Technology Director </w:t>
            </w:r>
          </w:p>
          <w:p w14:paraId="7F8D2513" w14:textId="77777777" w:rsidR="005569FB" w:rsidRPr="00A271D8" w:rsidRDefault="005569FB" w:rsidP="00E80022">
            <w:pPr>
              <w:bidi w:val="0"/>
            </w:pPr>
          </w:p>
          <w:p w14:paraId="64D4460E" w14:textId="77777777" w:rsidR="005569FB" w:rsidRPr="00A271D8" w:rsidRDefault="005569FB" w:rsidP="00E80022">
            <w:pPr>
              <w:bidi w:val="0"/>
              <w:rPr>
                <w:b/>
                <w:bCs/>
              </w:rPr>
            </w:pPr>
            <w:r w:rsidRPr="00A271D8">
              <w:t>Signature:</w:t>
            </w:r>
            <w:r w:rsidRPr="00A271D8">
              <w:rPr>
                <w:color w:val="7F7F7F"/>
              </w:rPr>
              <w:t xml:space="preserve"> </w:t>
            </w:r>
            <w:r w:rsidRPr="00A271D8">
              <w:t xml:space="preserve"> _____________________________</w:t>
            </w:r>
            <w:r w:rsidRPr="00A271D8">
              <w:tab/>
            </w:r>
          </w:p>
        </w:tc>
        <w:tc>
          <w:tcPr>
            <w:tcW w:w="2862" w:type="dxa"/>
            <w:tcBorders>
              <w:top w:val="nil"/>
              <w:left w:val="nil"/>
              <w:bottom w:val="nil"/>
              <w:right w:val="nil"/>
            </w:tcBorders>
            <w:vAlign w:val="bottom"/>
          </w:tcPr>
          <w:p w14:paraId="3E90868A" w14:textId="77777777" w:rsidR="005569FB" w:rsidRPr="00A271D8" w:rsidRDefault="005569FB" w:rsidP="00E80022">
            <w:pPr>
              <w:bidi w:val="0"/>
            </w:pPr>
            <w:r w:rsidRPr="00A271D8">
              <w:t>Date__________</w:t>
            </w:r>
          </w:p>
        </w:tc>
      </w:tr>
    </w:tbl>
    <w:p w14:paraId="3CA64512" w14:textId="77777777" w:rsidR="005569FB" w:rsidRDefault="005569FB" w:rsidP="00E80022">
      <w:pPr>
        <w:bidi w:val="0"/>
        <w:rPr>
          <w:rtl/>
        </w:rPr>
      </w:pPr>
    </w:p>
    <w:p w14:paraId="7D3DC078" w14:textId="77777777" w:rsidR="00EB2567" w:rsidRDefault="00EB2567" w:rsidP="00E80022">
      <w:pPr>
        <w:bidi w:val="0"/>
      </w:pPr>
      <w:r>
        <w:br/>
      </w:r>
    </w:p>
    <w:p w14:paraId="3A3B11C0" w14:textId="77777777" w:rsidR="00EB2567" w:rsidRDefault="00EB2567" w:rsidP="00E80022">
      <w:pPr>
        <w:bidi w:val="0"/>
      </w:pPr>
      <w:r>
        <w:br w:type="page"/>
      </w:r>
    </w:p>
    <w:sectPr w:rsidR="00E365DC" w:rsidSect="00B1374D">
      <w:headerReference w:type="even" r:id="rId19"/>
      <w:headerReference w:type="default" r:id="rId20"/>
      <w:footerReference w:type="default" r:id="rId21"/>
      <w:headerReference w:type="first" r:id="rId22"/>
      <w:pgSz w:w="12240" w:h="15840"/>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DB2E2" w14:textId="77777777" w:rsidR="006F1D48" w:rsidRDefault="006F1D48" w:rsidP="00B9218C">
      <w:r>
        <w:separator/>
      </w:r>
    </w:p>
  </w:endnote>
  <w:endnote w:type="continuationSeparator" w:id="0">
    <w:p w14:paraId="0D10A486" w14:textId="77777777" w:rsidR="006F1D48" w:rsidRDefault="006F1D48" w:rsidP="00B92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84084104"/>
      <w:docPartObj>
        <w:docPartGallery w:val="Page Numbers (Bottom of Page)"/>
        <w:docPartUnique/>
      </w:docPartObj>
    </w:sdtPr>
    <w:sdtContent>
      <w:p w14:paraId="73EE1368" w14:textId="77777777" w:rsidR="00CB4EDF" w:rsidRPr="00CB4EDF" w:rsidRDefault="00CB4EDF" w:rsidP="00B9218C">
        <w:pPr>
          <w:pStyle w:val="Footer"/>
        </w:pPr>
        <w:r w:rsidRPr="00CB4EDF">
          <w:fldChar w:fldCharType="begin"/>
        </w:r>
        <w:r w:rsidRPr="00CB4EDF">
          <w:instrText>PAGE   \* MERGEFORMAT</w:instrText>
        </w:r>
        <w:r w:rsidRPr="00CB4EDF">
          <w:fldChar w:fldCharType="separate"/>
        </w:r>
        <w:r w:rsidRPr="00CB4EDF">
          <w:rPr>
            <w:rtl/>
            <w:lang w:val="ar-SA"/>
          </w:rPr>
          <w:t>2</w:t>
        </w:r>
        <w:r w:rsidRPr="00CB4EDF">
          <w:fldChar w:fldCharType="end"/>
        </w:r>
      </w:p>
    </w:sdtContent>
  </w:sdt>
  <w:p w14:paraId="0F6B6AA1" w14:textId="77777777" w:rsidR="00CB4EDF" w:rsidRDefault="00CB4EDF" w:rsidP="00B921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08008892"/>
      <w:docPartObj>
        <w:docPartGallery w:val="Page Numbers (Bottom of Page)"/>
        <w:docPartUnique/>
      </w:docPartObj>
    </w:sdtPr>
    <w:sdtContent>
      <w:p w14:paraId="158D43CF" w14:textId="77777777" w:rsidR="00CB4EDF" w:rsidRPr="00CB4EDF" w:rsidRDefault="00CB4EDF" w:rsidP="00B9218C">
        <w:pPr>
          <w:pStyle w:val="Footer"/>
        </w:pPr>
        <w:r w:rsidRPr="00CB4EDF">
          <w:fldChar w:fldCharType="begin"/>
        </w:r>
        <w:r w:rsidRPr="00CB4EDF">
          <w:instrText>PAGE   \* MERGEFORMAT</w:instrText>
        </w:r>
        <w:r w:rsidRPr="00CB4EDF">
          <w:fldChar w:fldCharType="separate"/>
        </w:r>
        <w:r w:rsidRPr="00CB4EDF">
          <w:rPr>
            <w:rtl/>
            <w:lang w:val="ar-SA"/>
          </w:rPr>
          <w:t>2</w:t>
        </w:r>
        <w:r w:rsidRPr="00CB4EDF">
          <w:fldChar w:fldCharType="end"/>
        </w:r>
      </w:p>
    </w:sdtContent>
  </w:sdt>
  <w:p w14:paraId="676F197D" w14:textId="77777777" w:rsidR="00CB4EDF" w:rsidRDefault="00CB4EDF" w:rsidP="00B921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91931808"/>
      <w:docPartObj>
        <w:docPartGallery w:val="Page Numbers (Bottom of Page)"/>
        <w:docPartUnique/>
      </w:docPartObj>
    </w:sdtPr>
    <w:sdtContent>
      <w:p w14:paraId="01FDE284" w14:textId="77777777" w:rsidR="00CB4EDF" w:rsidRPr="00CB4EDF" w:rsidRDefault="00CB4EDF" w:rsidP="00B9218C">
        <w:pPr>
          <w:pStyle w:val="Footer"/>
        </w:pPr>
        <w:r w:rsidRPr="00CB4EDF">
          <w:fldChar w:fldCharType="begin"/>
        </w:r>
        <w:r w:rsidRPr="00CB4EDF">
          <w:instrText>PAGE   \* MERGEFORMAT</w:instrText>
        </w:r>
        <w:r w:rsidRPr="00CB4EDF">
          <w:fldChar w:fldCharType="separate"/>
        </w:r>
        <w:r w:rsidRPr="00CB4EDF">
          <w:rPr>
            <w:rtl/>
            <w:lang w:val="ar-SA"/>
          </w:rPr>
          <w:t>2</w:t>
        </w:r>
        <w:r w:rsidRPr="00CB4EDF">
          <w:fldChar w:fldCharType="end"/>
        </w:r>
      </w:p>
    </w:sdtContent>
  </w:sdt>
  <w:p w14:paraId="03E79BE0" w14:textId="77777777" w:rsidR="00CB4EDF" w:rsidRDefault="00CB4EDF" w:rsidP="00B92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53C05" w14:textId="77777777" w:rsidR="006F1D48" w:rsidRDefault="006F1D48" w:rsidP="00B9218C">
      <w:r>
        <w:separator/>
      </w:r>
    </w:p>
  </w:footnote>
  <w:footnote w:type="continuationSeparator" w:id="0">
    <w:p w14:paraId="420A1A53" w14:textId="77777777" w:rsidR="006F1D48" w:rsidRDefault="006F1D48" w:rsidP="00B921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786D7" w14:textId="77777777" w:rsidR="00455C5F" w:rsidRDefault="00455C5F" w:rsidP="00B9218C">
    <w:pPr>
      <w:pStyle w:val="Header"/>
    </w:pPr>
    <w:r>
      <w:rPr>
        <w:noProof/>
      </w:rPr>
      <mc:AlternateContent>
        <mc:Choice Requires="wps">
          <w:drawing>
            <wp:anchor distT="0" distB="0" distL="0" distR="0" simplePos="0" relativeHeight="251658240"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939865562"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36699BF8"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96F62" id="_x0000_t202" coordsize="21600,21600" o:spt="202" path="m,l,21600r21600,l21600,xe">
              <v:stroke joinstyle="miter"/>
              <v:path gradientshapeok="t" o:connecttype="rect"/>
            </v:shapetype>
            <v:shape id="Text Box 2" o:spid="_x0000_s1026" type="#_x0000_t202" alt="Public – عام" style="position:absolute;left:0;text-align:left;margin-left:0;margin-top:0;width:50pt;height:2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" filled="f" stroked="f">
              <v:textbox style="mso-fit-shape-to-text:t" inset="0,15pt,0,0">
                <w:txbxContent>
                  <w:p w14:paraId="36699BF8"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872" w:type="pct"/>
      <w:tblInd w:w="-816" w:type="dxa"/>
      <w:tblLook w:val="04A0" w:firstRow="1" w:lastRow="0" w:firstColumn="1" w:lastColumn="0" w:noHBand="0" w:noVBand="1"/>
    </w:tblPr>
    <w:tblGrid>
      <w:gridCol w:w="3298"/>
      <w:gridCol w:w="1744"/>
      <w:gridCol w:w="1616"/>
      <w:gridCol w:w="2884"/>
      <w:gridCol w:w="1439"/>
    </w:tblGrid>
    <w:tr w:rsidR="00FA456E" w:rsidRPr="00B1374D" w14:paraId="1FE82735" w14:textId="77777777" w:rsidTr="00AC0CAD">
      <w:trPr>
        <w:trHeight w:val="64"/>
      </w:trPr>
      <w:tc>
        <w:tcPr>
          <w:tcW w:w="1502" w:type="pct"/>
          <w:shd w:val="clear" w:color="auto" w:fill="FFFFFF" w:themeFill="background1"/>
          <w:vAlign w:val="center"/>
        </w:tcPr>
        <w:p w14:paraId="5CEE5CA4" w14:textId="77777777" w:rsidR="00FA456E" w:rsidRPr="00B1374D" w:rsidRDefault="00FA456E" w:rsidP="00B1374D">
          <w:pPr>
            <w:rPr>
              <w:sz w:val="22"/>
              <w:szCs w:val="22"/>
              <w:rtl/>
              <w:lang w:val="en-US"/>
            </w:rPr>
          </w:pPr>
          <w:r w:rsidRPr="00B1374D">
            <w:rPr>
              <w:sz w:val="22"/>
              <w:szCs w:val="22"/>
            </w:rPr>
            <w:t>20</w:t>
          </w:r>
          <w:r w:rsidRPr="00B1374D">
            <w:rPr>
              <w:sz w:val="22"/>
              <w:szCs w:val="22"/>
              <w:rtl/>
            </w:rPr>
            <w:t>/</w:t>
          </w:r>
          <w:r w:rsidRPr="00B1374D">
            <w:rPr>
              <w:sz w:val="22"/>
              <w:szCs w:val="22"/>
            </w:rPr>
            <w:t>03</w:t>
          </w:r>
          <w:r w:rsidRPr="00B1374D">
            <w:rPr>
              <w:sz w:val="22"/>
              <w:szCs w:val="22"/>
              <w:rtl/>
            </w:rPr>
            <w:t>/</w:t>
          </w:r>
          <w:r w:rsidRPr="00B1374D">
            <w:rPr>
              <w:sz w:val="22"/>
              <w:szCs w:val="22"/>
            </w:rPr>
            <w:t>8</w:t>
          </w:r>
          <w:r w:rsidRPr="00B1374D">
            <w:rPr>
              <w:sz w:val="22"/>
              <w:szCs w:val="22"/>
              <w:rtl/>
            </w:rPr>
            <w:t>144هـ</w:t>
          </w:r>
        </w:p>
      </w:tc>
      <w:tc>
        <w:tcPr>
          <w:tcW w:w="794" w:type="pct"/>
          <w:vMerge w:val="restart"/>
          <w:shd w:val="clear" w:color="auto" w:fill="00A05A"/>
          <w:vAlign w:val="center"/>
        </w:tcPr>
        <w:p w14:paraId="3F64F25E" w14:textId="77777777" w:rsidR="00FA456E" w:rsidRPr="00B1374D" w:rsidRDefault="00FA456E" w:rsidP="00B1374D">
          <w:pPr>
            <w:jc w:val="left"/>
            <w:rPr>
              <w:sz w:val="22"/>
              <w:szCs w:val="22"/>
              <w:rtl/>
            </w:rPr>
          </w:pPr>
          <w:r w:rsidRPr="00B1374D">
            <w:rPr>
              <w:sz w:val="22"/>
              <w:szCs w:val="22"/>
              <w:rtl/>
            </w:rPr>
            <w:t>تاريخ التطبيق</w:t>
          </w:r>
        </w:p>
        <w:p w14:paraId="1EB2E47B" w14:textId="77777777" w:rsidR="00FA456E" w:rsidRPr="00B1374D" w:rsidRDefault="00FA456E" w:rsidP="00B1374D">
          <w:pPr>
            <w:jc w:val="left"/>
            <w:rPr>
              <w:sz w:val="22"/>
              <w:szCs w:val="22"/>
            </w:rPr>
          </w:pPr>
          <w:r w:rsidRPr="00B1374D">
            <w:rPr>
              <w:sz w:val="22"/>
              <w:szCs w:val="22"/>
            </w:rPr>
            <w:t>Effective</w:t>
          </w:r>
          <w:r w:rsidRPr="00B1374D">
            <w:rPr>
              <w:sz w:val="22"/>
              <w:szCs w:val="22"/>
              <w:rtl/>
            </w:rPr>
            <w:t xml:space="preserve"> </w:t>
          </w:r>
          <w:r w:rsidRPr="00B1374D">
            <w:rPr>
              <w:sz w:val="22"/>
              <w:szCs w:val="22"/>
            </w:rPr>
            <w:t>Date</w:t>
          </w:r>
        </w:p>
      </w:tc>
      <w:tc>
        <w:tcPr>
          <w:tcW w:w="736" w:type="pct"/>
          <w:vMerge w:val="restart"/>
          <w:vAlign w:val="center"/>
        </w:tcPr>
        <w:p w14:paraId="4FF3FE7A" w14:textId="77777777" w:rsidR="00FA456E" w:rsidRPr="00B1374D" w:rsidRDefault="00FA456E" w:rsidP="00B1374D">
          <w:pPr>
            <w:rPr>
              <w:sz w:val="22"/>
              <w:szCs w:val="22"/>
            </w:rPr>
          </w:pPr>
          <w:r w:rsidRPr="00B1374D">
            <w:rPr>
              <w:noProof/>
              <w:sz w:val="22"/>
              <w:szCs w:val="22"/>
              <w:lang w:eastAsia="en-GB"/>
            </w:rPr>
            <w:drawing>
              <wp:anchor distT="0" distB="0" distL="114300" distR="114300" simplePos="0" relativeHeight="251663360" behindDoc="0" locked="0" layoutInCell="1" allowOverlap="1" wp14:anchorId="72B5CCF7" wp14:editId="438512AC">
                <wp:simplePos x="0" y="0"/>
                <wp:positionH relativeFrom="column">
                  <wp:posOffset>-6985</wp:posOffset>
                </wp:positionH>
                <wp:positionV relativeFrom="paragraph">
                  <wp:posOffset>-74930</wp:posOffset>
                </wp:positionV>
                <wp:extent cx="821690" cy="831850"/>
                <wp:effectExtent l="0" t="0" r="0" b="0"/>
                <wp:wrapNone/>
                <wp:docPr id="15308414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1313" w:type="pct"/>
          <w:vMerge w:val="restart"/>
          <w:shd w:val="clear" w:color="auto" w:fill="FFFFFF" w:themeFill="background1"/>
          <w:vAlign w:val="center"/>
        </w:tcPr>
        <w:p w14:paraId="5E766636" w14:textId="77777777" w:rsidR="00FA456E" w:rsidRPr="00B1374D" w:rsidRDefault="00FA456E" w:rsidP="00B1374D">
          <w:pPr>
            <w:bidi w:val="0"/>
            <w:jc w:val="center"/>
            <w:rPr>
              <w:sz w:val="22"/>
              <w:szCs w:val="22"/>
              <w:rtl/>
              <w:lang w:val="en-US"/>
            </w:rPr>
          </w:pPr>
          <w:r w:rsidRPr="00B1374D">
            <w:rPr>
              <w:sz w:val="22"/>
              <w:szCs w:val="22"/>
              <w:lang w:val="en-US"/>
            </w:rPr>
            <w:t>HLD Form</w:t>
          </w:r>
        </w:p>
      </w:tc>
      <w:tc>
        <w:tcPr>
          <w:tcW w:w="655" w:type="pct"/>
          <w:vMerge w:val="restart"/>
          <w:shd w:val="clear" w:color="auto" w:fill="00A05A"/>
          <w:vAlign w:val="center"/>
        </w:tcPr>
        <w:p w14:paraId="7F3C01ED" w14:textId="77777777" w:rsidR="00FA456E" w:rsidRPr="00B1374D" w:rsidRDefault="00FA456E" w:rsidP="00B1374D">
          <w:pPr>
            <w:jc w:val="left"/>
            <w:rPr>
              <w:sz w:val="22"/>
              <w:szCs w:val="22"/>
              <w:rtl/>
            </w:rPr>
          </w:pPr>
          <w:r w:rsidRPr="00B1374D">
            <w:rPr>
              <w:sz w:val="22"/>
              <w:szCs w:val="22"/>
              <w:rtl/>
            </w:rPr>
            <w:t>عنوان النموذج</w:t>
          </w:r>
        </w:p>
        <w:p w14:paraId="3C22D8E9" w14:textId="77777777" w:rsidR="00FA456E" w:rsidRPr="00B1374D" w:rsidRDefault="00FA456E" w:rsidP="00B1374D">
          <w:pPr>
            <w:jc w:val="left"/>
            <w:rPr>
              <w:sz w:val="22"/>
              <w:szCs w:val="22"/>
            </w:rPr>
          </w:pPr>
          <w:r w:rsidRPr="00B1374D">
            <w:rPr>
              <w:sz w:val="22"/>
              <w:szCs w:val="22"/>
            </w:rPr>
            <w:t>Form Title</w:t>
          </w:r>
        </w:p>
      </w:tc>
    </w:tr>
    <w:tr w:rsidR="00FA456E" w:rsidRPr="00B1374D" w14:paraId="2C0C847E" w14:textId="77777777" w:rsidTr="00AC0CAD">
      <w:trPr>
        <w:trHeight w:val="310"/>
      </w:trPr>
      <w:tc>
        <w:tcPr>
          <w:tcW w:w="1502" w:type="pct"/>
          <w:shd w:val="clear" w:color="auto" w:fill="FFFFFF" w:themeFill="background1"/>
          <w:vAlign w:val="center"/>
        </w:tcPr>
        <w:p w14:paraId="2834D773" w14:textId="77777777" w:rsidR="00FA456E" w:rsidRPr="00B1374D" w:rsidRDefault="00FA456E" w:rsidP="00B1374D">
          <w:pPr>
            <w:rPr>
              <w:sz w:val="22"/>
              <w:szCs w:val="22"/>
              <w:rtl/>
              <w:lang w:val="en-US"/>
            </w:rPr>
          </w:pPr>
          <w:r w:rsidRPr="00B1374D">
            <w:rPr>
              <w:sz w:val="22"/>
              <w:szCs w:val="22"/>
            </w:rPr>
            <w:t>02</w:t>
          </w:r>
          <w:r w:rsidRPr="00B1374D">
            <w:rPr>
              <w:sz w:val="22"/>
              <w:szCs w:val="22"/>
              <w:rtl/>
            </w:rPr>
            <w:t>/</w:t>
          </w:r>
          <w:r w:rsidRPr="00B1374D">
            <w:rPr>
              <w:sz w:val="22"/>
              <w:szCs w:val="22"/>
            </w:rPr>
            <w:t>09</w:t>
          </w:r>
          <w:r w:rsidRPr="00B1374D">
            <w:rPr>
              <w:sz w:val="22"/>
              <w:szCs w:val="22"/>
              <w:rtl/>
            </w:rPr>
            <w:t>/202</w:t>
          </w:r>
          <w:r w:rsidRPr="00B1374D">
            <w:rPr>
              <w:rFonts w:hint="cs"/>
              <w:sz w:val="22"/>
              <w:szCs w:val="22"/>
              <w:rtl/>
            </w:rPr>
            <w:t>7</w:t>
          </w:r>
          <w:r w:rsidRPr="00B1374D">
            <w:rPr>
              <w:sz w:val="22"/>
              <w:szCs w:val="22"/>
              <w:rtl/>
            </w:rPr>
            <w:t>م</w:t>
          </w:r>
        </w:p>
      </w:tc>
      <w:tc>
        <w:tcPr>
          <w:tcW w:w="794" w:type="pct"/>
          <w:vMerge/>
          <w:shd w:val="clear" w:color="auto" w:fill="00A05A"/>
          <w:vAlign w:val="center"/>
        </w:tcPr>
        <w:p w14:paraId="0E3A1D4A" w14:textId="77777777" w:rsidR="00FA456E" w:rsidRPr="00B1374D" w:rsidRDefault="00FA456E" w:rsidP="00B1374D">
          <w:pPr>
            <w:jc w:val="left"/>
            <w:rPr>
              <w:sz w:val="22"/>
              <w:szCs w:val="22"/>
              <w:rtl/>
            </w:rPr>
          </w:pPr>
        </w:p>
      </w:tc>
      <w:tc>
        <w:tcPr>
          <w:tcW w:w="736" w:type="pct"/>
          <w:vMerge/>
        </w:tcPr>
        <w:p w14:paraId="6682506F" w14:textId="77777777" w:rsidR="00FA456E" w:rsidRPr="00B1374D" w:rsidRDefault="00FA456E" w:rsidP="00B1374D">
          <w:pPr>
            <w:rPr>
              <w:sz w:val="22"/>
              <w:szCs w:val="22"/>
            </w:rPr>
          </w:pPr>
        </w:p>
      </w:tc>
      <w:tc>
        <w:tcPr>
          <w:tcW w:w="1313" w:type="pct"/>
          <w:vMerge/>
          <w:shd w:val="clear" w:color="auto" w:fill="FFFFFF" w:themeFill="background1"/>
          <w:vAlign w:val="center"/>
        </w:tcPr>
        <w:p w14:paraId="3054A724" w14:textId="77777777" w:rsidR="00FA456E" w:rsidRPr="00B1374D" w:rsidRDefault="00FA456E" w:rsidP="00B1374D">
          <w:pPr>
            <w:rPr>
              <w:sz w:val="22"/>
              <w:szCs w:val="22"/>
              <w:rtl/>
            </w:rPr>
          </w:pPr>
        </w:p>
      </w:tc>
      <w:tc>
        <w:tcPr>
          <w:tcW w:w="655" w:type="pct"/>
          <w:vMerge/>
          <w:shd w:val="clear" w:color="auto" w:fill="00A05A"/>
        </w:tcPr>
        <w:p w14:paraId="3A9CCA5F" w14:textId="77777777" w:rsidR="00FA456E" w:rsidRPr="00B1374D" w:rsidRDefault="00FA456E" w:rsidP="00B1374D">
          <w:pPr>
            <w:jc w:val="left"/>
            <w:rPr>
              <w:sz w:val="22"/>
              <w:szCs w:val="22"/>
              <w:rtl/>
            </w:rPr>
          </w:pPr>
        </w:p>
      </w:tc>
    </w:tr>
    <w:tr w:rsidR="00FA456E" w:rsidRPr="00B1374D" w14:paraId="101BA4A5" w14:textId="77777777" w:rsidTr="00AC0CAD">
      <w:trPr>
        <w:trHeight w:val="177"/>
      </w:trPr>
      <w:tc>
        <w:tcPr>
          <w:tcW w:w="1502" w:type="pct"/>
          <w:shd w:val="clear" w:color="auto" w:fill="FFFFFF" w:themeFill="background1"/>
          <w:vAlign w:val="center"/>
        </w:tcPr>
        <w:p w14:paraId="7743916A" w14:textId="77777777" w:rsidR="00FA456E" w:rsidRPr="00B1374D" w:rsidRDefault="00FA456E" w:rsidP="00B1374D">
          <w:pPr>
            <w:rPr>
              <w:sz w:val="22"/>
              <w:szCs w:val="22"/>
              <w:rtl/>
              <w:lang w:val="en-US"/>
            </w:rPr>
          </w:pPr>
          <w:r w:rsidRPr="00B1374D">
            <w:rPr>
              <w:sz w:val="22"/>
              <w:szCs w:val="22"/>
              <w:lang w:val="en-US"/>
            </w:rPr>
            <w:t>2.0</w:t>
          </w:r>
        </w:p>
      </w:tc>
      <w:tc>
        <w:tcPr>
          <w:tcW w:w="794" w:type="pct"/>
          <w:shd w:val="clear" w:color="auto" w:fill="00A05A"/>
          <w:vAlign w:val="center"/>
        </w:tcPr>
        <w:p w14:paraId="762E7FD3" w14:textId="77777777" w:rsidR="00FA456E" w:rsidRPr="00B1374D" w:rsidRDefault="00FA456E" w:rsidP="00B1374D">
          <w:pPr>
            <w:jc w:val="left"/>
            <w:rPr>
              <w:sz w:val="22"/>
              <w:szCs w:val="22"/>
              <w:rtl/>
            </w:rPr>
          </w:pPr>
          <w:r w:rsidRPr="00B1374D">
            <w:rPr>
              <w:sz w:val="22"/>
              <w:szCs w:val="22"/>
              <w:rtl/>
            </w:rPr>
            <w:t>رقم النسخة</w:t>
          </w:r>
        </w:p>
        <w:p w14:paraId="70EAA647" w14:textId="77777777" w:rsidR="00FA456E" w:rsidRPr="00B1374D" w:rsidRDefault="00FA456E" w:rsidP="00B1374D">
          <w:pPr>
            <w:jc w:val="left"/>
            <w:rPr>
              <w:sz w:val="22"/>
              <w:szCs w:val="22"/>
            </w:rPr>
          </w:pPr>
          <w:r w:rsidRPr="00B1374D">
            <w:rPr>
              <w:sz w:val="22"/>
              <w:szCs w:val="22"/>
            </w:rPr>
            <w:t>Rev. Number</w:t>
          </w:r>
        </w:p>
      </w:tc>
      <w:tc>
        <w:tcPr>
          <w:tcW w:w="736" w:type="pct"/>
          <w:vMerge/>
        </w:tcPr>
        <w:p w14:paraId="74F9EFE5" w14:textId="77777777" w:rsidR="00FA456E" w:rsidRPr="00B1374D" w:rsidRDefault="00FA456E" w:rsidP="00B1374D">
          <w:pPr>
            <w:rPr>
              <w:sz w:val="22"/>
              <w:szCs w:val="22"/>
            </w:rPr>
          </w:pPr>
        </w:p>
      </w:tc>
      <w:tc>
        <w:tcPr>
          <w:tcW w:w="1313" w:type="pct"/>
          <w:shd w:val="clear" w:color="auto" w:fill="FFFFFF" w:themeFill="background1"/>
          <w:vAlign w:val="center"/>
        </w:tcPr>
        <w:p w14:paraId="33751901" w14:textId="77777777" w:rsidR="00FA456E" w:rsidRPr="00B1374D" w:rsidRDefault="00FA456E" w:rsidP="00B1374D">
          <w:pPr>
            <w:rPr>
              <w:sz w:val="22"/>
              <w:szCs w:val="22"/>
            </w:rPr>
          </w:pPr>
        </w:p>
      </w:tc>
      <w:tc>
        <w:tcPr>
          <w:tcW w:w="655" w:type="pct"/>
          <w:shd w:val="clear" w:color="auto" w:fill="00A05A"/>
          <w:vAlign w:val="center"/>
        </w:tcPr>
        <w:p w14:paraId="2E4D1C19" w14:textId="77777777" w:rsidR="00FA456E" w:rsidRPr="00B1374D" w:rsidRDefault="00FA456E" w:rsidP="00B1374D">
          <w:pPr>
            <w:jc w:val="left"/>
            <w:rPr>
              <w:sz w:val="22"/>
              <w:szCs w:val="22"/>
              <w:rtl/>
            </w:rPr>
          </w:pPr>
          <w:r w:rsidRPr="00B1374D">
            <w:rPr>
              <w:sz w:val="22"/>
              <w:szCs w:val="22"/>
              <w:rtl/>
            </w:rPr>
            <w:t>رمز النموذج</w:t>
          </w:r>
        </w:p>
        <w:p w14:paraId="5F3BB1AA" w14:textId="77777777" w:rsidR="00FA456E" w:rsidRPr="00B1374D" w:rsidRDefault="00FA456E" w:rsidP="00B1374D">
          <w:pPr>
            <w:jc w:val="left"/>
            <w:rPr>
              <w:sz w:val="22"/>
              <w:szCs w:val="22"/>
            </w:rPr>
          </w:pPr>
          <w:r w:rsidRPr="00B1374D">
            <w:rPr>
              <w:sz w:val="22"/>
              <w:szCs w:val="22"/>
            </w:rPr>
            <w:t>Form Code</w:t>
          </w:r>
        </w:p>
      </w:tc>
    </w:tr>
    <w:tr w:rsidR="00FA456E" w:rsidRPr="00B1374D" w14:paraId="4A712C1A" w14:textId="77777777" w:rsidTr="00AC0CAD">
      <w:trPr>
        <w:trHeight w:val="375"/>
      </w:trPr>
      <w:tc>
        <w:tcPr>
          <w:tcW w:w="1502" w:type="pct"/>
          <w:shd w:val="clear" w:color="auto" w:fill="FFFFFF" w:themeFill="background1"/>
          <w:vAlign w:val="center"/>
        </w:tcPr>
        <w:p w14:paraId="0F881846" w14:textId="77777777" w:rsidR="00FA456E" w:rsidRPr="00B1374D" w:rsidRDefault="00FA456E" w:rsidP="00B1374D">
          <w:pPr>
            <w:rPr>
              <w:sz w:val="22"/>
              <w:szCs w:val="22"/>
            </w:rPr>
          </w:pPr>
          <w:r w:rsidRPr="00B1374D">
            <w:rPr>
              <w:sz w:val="22"/>
              <w:szCs w:val="22"/>
              <w:rtl/>
            </w:rPr>
            <w:t xml:space="preserve">إدارة التقنية </w:t>
          </w:r>
        </w:p>
      </w:tc>
      <w:tc>
        <w:tcPr>
          <w:tcW w:w="794" w:type="pct"/>
          <w:shd w:val="clear" w:color="auto" w:fill="00A05A"/>
          <w:vAlign w:val="center"/>
        </w:tcPr>
        <w:p w14:paraId="7317F019" w14:textId="77777777" w:rsidR="00FA456E" w:rsidRPr="00B1374D" w:rsidRDefault="00FA456E" w:rsidP="00B1374D">
          <w:pPr>
            <w:jc w:val="left"/>
            <w:rPr>
              <w:sz w:val="22"/>
              <w:szCs w:val="22"/>
              <w:rtl/>
            </w:rPr>
          </w:pPr>
          <w:r w:rsidRPr="00B1374D">
            <w:rPr>
              <w:sz w:val="22"/>
              <w:szCs w:val="22"/>
              <w:rtl/>
            </w:rPr>
            <w:t>مالك النموذج</w:t>
          </w:r>
        </w:p>
        <w:p w14:paraId="7862D189" w14:textId="77777777" w:rsidR="00FA456E" w:rsidRPr="00B1374D" w:rsidRDefault="00FA456E" w:rsidP="00B1374D">
          <w:pPr>
            <w:jc w:val="left"/>
            <w:rPr>
              <w:sz w:val="22"/>
              <w:szCs w:val="22"/>
            </w:rPr>
          </w:pPr>
          <w:r w:rsidRPr="00B1374D">
            <w:rPr>
              <w:sz w:val="22"/>
              <w:szCs w:val="22"/>
            </w:rPr>
            <w:t>Form Owner</w:t>
          </w:r>
        </w:p>
      </w:tc>
      <w:tc>
        <w:tcPr>
          <w:tcW w:w="736" w:type="pct"/>
          <w:vMerge/>
        </w:tcPr>
        <w:p w14:paraId="020D68B0" w14:textId="77777777" w:rsidR="00FA456E" w:rsidRPr="00B1374D" w:rsidRDefault="00FA456E" w:rsidP="00B1374D">
          <w:pPr>
            <w:rPr>
              <w:sz w:val="22"/>
              <w:szCs w:val="22"/>
            </w:rPr>
          </w:pPr>
        </w:p>
      </w:tc>
      <w:tc>
        <w:tcPr>
          <w:tcW w:w="1313" w:type="pct"/>
          <w:shd w:val="clear" w:color="auto" w:fill="FFFFFF" w:themeFill="background1"/>
          <w:vAlign w:val="center"/>
        </w:tcPr>
        <w:p w14:paraId="5775DB6A" w14:textId="77777777" w:rsidR="00FA456E" w:rsidRPr="00B1374D" w:rsidRDefault="00FA456E" w:rsidP="00B1374D">
          <w:pPr>
            <w:jc w:val="center"/>
            <w:rPr>
              <w:sz w:val="22"/>
              <w:szCs w:val="22"/>
              <w:rtl/>
            </w:rPr>
          </w:pPr>
          <w:r w:rsidRPr="00B1374D">
            <w:rPr>
              <w:sz w:val="22"/>
              <w:szCs w:val="22"/>
            </w:rPr>
            <w:t>Apexium</w:t>
          </w:r>
        </w:p>
      </w:tc>
      <w:tc>
        <w:tcPr>
          <w:tcW w:w="655" w:type="pct"/>
          <w:shd w:val="clear" w:color="auto" w:fill="00A05A"/>
          <w:vAlign w:val="center"/>
        </w:tcPr>
        <w:p w14:paraId="5F6F432E" w14:textId="77777777" w:rsidR="00FA456E" w:rsidRPr="00B1374D" w:rsidRDefault="00FA456E" w:rsidP="00B1374D">
          <w:pPr>
            <w:jc w:val="left"/>
            <w:rPr>
              <w:sz w:val="22"/>
              <w:szCs w:val="22"/>
            </w:rPr>
          </w:pPr>
          <w:r w:rsidRPr="00B1374D">
            <w:rPr>
              <w:sz w:val="22"/>
              <w:szCs w:val="22"/>
              <w:rtl/>
            </w:rPr>
            <w:t xml:space="preserve">جهة الإصدار     </w:t>
          </w:r>
          <w:r w:rsidRPr="00B1374D">
            <w:rPr>
              <w:sz w:val="22"/>
              <w:szCs w:val="22"/>
            </w:rPr>
            <w:t>Issuer</w:t>
          </w:r>
        </w:p>
      </w:tc>
    </w:tr>
  </w:tbl>
  <w:p w14:paraId="3E2DAD68" w14:textId="3AEA80DF" w:rsidR="005C18CF" w:rsidRPr="00B1374D" w:rsidRDefault="00455C5F" w:rsidP="00B1374D">
    <w:pPr>
      <w:pStyle w:val="Header"/>
      <w:rPr>
        <w:sz w:val="4"/>
        <w:szCs w:val="4"/>
      </w:rPr>
    </w:pPr>
    <w:r>
      <w:rPr>
        <w:noProof/>
      </w:rPr>
      <mc:AlternateContent>
        <mc:Choice Requires="wps">
          <w:drawing>
            <wp:anchor distT="0" distB="0" distL="0" distR="0" simplePos="0" relativeHeight="251656192" behindDoc="0" locked="0" layoutInCell="1" allowOverlap="1" wp14:anchorId="12DD04F1" wp14:editId="5E5423CD">
              <wp:simplePos x="0" y="0"/>
              <wp:positionH relativeFrom="margin">
                <wp:align>center</wp:align>
              </wp:positionH>
              <wp:positionV relativeFrom="page">
                <wp:posOffset>-150485</wp:posOffset>
              </wp:positionV>
              <wp:extent cx="635000" cy="464024"/>
              <wp:effectExtent l="0" t="0" r="16510" b="12700"/>
              <wp:wrapNone/>
              <wp:docPr id="243792223"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464024"/>
                      </a:xfrm>
                      <a:prstGeom prst="rect">
                        <a:avLst/>
                      </a:prstGeom>
                      <a:noFill/>
                      <a:ln>
                        <a:noFill/>
                      </a:ln>
                    </wps:spPr>
                    <wps:txbx>
                      <w:txbxContent>
                        <w:p w14:paraId="3B41CDDD"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2DD04F1" id="_x0000_t202" coordsize="21600,21600" o:spt="202" path="m,l,21600r21600,l21600,xe">
              <v:stroke joinstyle="miter"/>
              <v:path gradientshapeok="t" o:connecttype="rect"/>
            </v:shapetype>
            <v:shape id="Text Box 3" o:spid="_x0000_s1027" type="#_x0000_t202" alt="Public – عام" style="position:absolute;left:0;text-align:left;margin-left:0;margin-top:-11.85pt;width:50pt;height:36.55pt;z-index:251656192;visibility:visible;mso-wrap-style:none;mso-height-percent:0;mso-wrap-distance-left:0;mso-wrap-distance-top:0;mso-wrap-distance-right:0;mso-wrap-distance-bottom:0;mso-position-horizontal:center;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" filled="f" stroked="f">
              <v:textbox inset="0,15pt,0,0">
                <w:txbxContent>
                  <w:p w14:paraId="3B41CDDD"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margin"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62342" w14:textId="77777777" w:rsidR="00455C5F" w:rsidRDefault="00455C5F" w:rsidP="00B9218C">
    <w:pPr>
      <w:pStyle w:val="Header"/>
    </w:pPr>
    <w:r>
      <w:rPr>
        <w:noProof/>
      </w:rPr>
      <mc:AlternateContent>
        <mc:Choice Requires="wps">
          <w:drawing>
            <wp:anchor distT="0" distB="0" distL="0" distR="0" simplePos="0" relativeHeight="251661312"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989437150"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59E2BDF4"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4B3B5" id="_x0000_t202" coordsize="21600,21600" o:spt="202" path="m,l,21600r21600,l21600,xe">
              <v:stroke joinstyle="miter"/>
              <v:path gradientshapeok="t" o:connecttype="rect"/>
            </v:shapetype>
            <v:shape id="Text Box 1" o:spid="_x0000_s1028" type="#_x0000_t202" alt="Public – عام" style="position:absolute;left:0;text-align:left;margin-left:0;margin-top:0;width:50pt;height:29.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wuGXEOAgAAHAQA&#10;AA4AAAAAAAAAAAAAAAAALgIAAGRycy9lMm9Eb2MueG1sUEsBAi0AFAAGAAgAAAAhAA8lpV/ZAAAA&#10;BAEAAA8AAAAAAAAAAAAAAAAAaAQAAGRycy9kb3ducmV2LnhtbFBLBQYAAAAABAAEAPMAAABuBQAA&#10;AAA=&#10;" filled="f" stroked="f">
              <v:textbox style="mso-fit-shape-to-text:t" inset="0,15pt,0,0">
                <w:txbxContent>
                  <w:p w14:paraId="59E2BDF4"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93F82" w14:textId="77777777" w:rsidR="006B7143" w:rsidRDefault="00000000" w:rsidP="00B9218C">
    <w:pPr>
      <w:bidi w:val="0"/>
    </w:pPr>
    <w:proofErr w:type="spellStart"/>
    <w:r>
      <w:t>عام</w:t>
    </w:r>
    <w:proofErr w:type="spellEnd"/>
    <w:r>
      <w:t xml:space="preserve"> - Public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06B7" w14:textId="77777777" w:rsidR="006B7143" w:rsidRDefault="00000000" w:rsidP="00B9218C">
    <w:pPr>
      <w:bidi w:val="0"/>
    </w:pPr>
    <w:proofErr w:type="spellStart"/>
    <w:r>
      <w:t>عام</w:t>
    </w:r>
    <w:proofErr w:type="spellEnd"/>
    <w:r>
      <w:t xml:space="preserve"> - Public</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C463" w14:textId="77777777" w:rsidR="006B7143" w:rsidRDefault="00000000" w:rsidP="00B9218C">
    <w:pPr>
      <w:bidi w:val="0"/>
    </w:pPr>
    <w:proofErr w:type="spellStart"/>
    <w:r>
      <w:t>عام</w:t>
    </w:r>
    <w:proofErr w:type="spellEnd"/>
    <w:r>
      <w:t xml:space="preserve"> - Public</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CEB47" w14:textId="77777777" w:rsidR="00455C5F" w:rsidRDefault="00455C5F" w:rsidP="00B9218C">
    <w:pPr>
      <w:pStyle w:val="Header"/>
    </w:pPr>
    <w:r>
      <w:rPr>
        <w:noProof/>
      </w:rPr>
      <mc:AlternateContent>
        <mc:Choice Requires="wps">
          <w:drawing>
            <wp:anchor distT="0" distB="0" distL="0" distR="0" simplePos="0" relativeHeight="251659264"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1940192474"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4F2FD267"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96F62" id="_x0000_t202" coordsize="21600,21600" o:spt="202" path="m,l,21600r21600,l21600,xe">
              <v:stroke joinstyle="miter"/>
              <v:path gradientshapeok="t" o:connecttype="rect"/>
            </v:shapetype>
            <v:shape id="_x0000_s1029" type="#_x0000_t202" alt="Public – عام" style="position:absolute;left:0;text-align:left;margin-left:0;margin-top:0;width:50pt;height:2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" filled="f" stroked="f">
              <v:textbox style="mso-fit-shape-to-text:t" inset="0,15pt,0,0">
                <w:txbxContent>
                  <w:p w14:paraId="4F2FD267"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745F" w14:textId="6C3F1362" w:rsidR="005C18CF" w:rsidRPr="0071237A" w:rsidRDefault="00B1374D" w:rsidP="00B9218C">
    <w:pPr>
      <w:pStyle w:val="Header"/>
    </w:pPr>
    <w:r>
      <w:rPr>
        <w:noProof/>
      </w:rPr>
      <mc:AlternateContent>
        <mc:Choice Requires="wps">
          <w:drawing>
            <wp:anchor distT="0" distB="0" distL="0" distR="0" simplePos="0" relativeHeight="251657216" behindDoc="0" locked="0" layoutInCell="1" allowOverlap="1" wp14:anchorId="12DD04F1" wp14:editId="4D952D97">
              <wp:simplePos x="0" y="0"/>
              <wp:positionH relativeFrom="page">
                <wp:posOffset>3548380</wp:posOffset>
              </wp:positionH>
              <wp:positionV relativeFrom="page">
                <wp:posOffset>-95070</wp:posOffset>
              </wp:positionV>
              <wp:extent cx="635000" cy="415849"/>
              <wp:effectExtent l="0" t="0" r="16510" b="3810"/>
              <wp:wrapNone/>
              <wp:docPr id="511584678"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415849"/>
                      </a:xfrm>
                      <a:prstGeom prst="rect">
                        <a:avLst/>
                      </a:prstGeom>
                      <a:noFill/>
                      <a:ln>
                        <a:noFill/>
                      </a:ln>
                    </wps:spPr>
                    <wps:txbx>
                      <w:txbxContent>
                        <w:p w14:paraId="532775DA"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2DD04F1" id="_x0000_t202" coordsize="21600,21600" o:spt="202" path="m,l,21600r21600,l21600,xe">
              <v:stroke joinstyle="miter"/>
              <v:path gradientshapeok="t" o:connecttype="rect"/>
            </v:shapetype>
            <v:shape id="_x0000_s1030" type="#_x0000_t202" alt="Public – عام" style="position:absolute;left:0;text-align:left;margin-left:279.4pt;margin-top:-7.5pt;width:50pt;height:32.75pt;z-index:251657216;visibility:visible;mso-wrap-style:non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" filled="f" stroked="f">
              <v:textbox inset="0,15pt,0,0">
                <w:txbxContent>
                  <w:p w14:paraId="532775DA"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page" anchory="page"/>
            </v:shape>
          </w:pict>
        </mc:Fallback>
      </mc:AlternateContent>
    </w:r>
  </w:p>
  <w:p w14:paraId="10685687" w14:textId="004B8522" w:rsidR="0031013D" w:rsidRDefault="0031013D" w:rsidP="00B9218C">
    <w:pPr>
      <w:pStyle w:val="Header"/>
      <w:rPr>
        <w:rtl/>
        <w:lang w:val="en-GB"/>
      </w:rPr>
    </w:pPr>
  </w:p>
  <w:tbl>
    <w:tblPr>
      <w:tblStyle w:val="TableGrid"/>
      <w:tblW w:w="5872" w:type="pct"/>
      <w:tblInd w:w="-815" w:type="dxa"/>
      <w:tblLook w:val="04A0" w:firstRow="1" w:lastRow="0" w:firstColumn="1" w:lastColumn="0" w:noHBand="0" w:noVBand="1"/>
    </w:tblPr>
    <w:tblGrid>
      <w:gridCol w:w="3299"/>
      <w:gridCol w:w="1895"/>
      <w:gridCol w:w="1465"/>
      <w:gridCol w:w="2143"/>
      <w:gridCol w:w="2179"/>
    </w:tblGrid>
    <w:tr w:rsidR="00353A28" w:rsidRPr="0071237A" w14:paraId="7A424F3E" w14:textId="77777777" w:rsidTr="00C41FB5">
      <w:trPr>
        <w:trHeight w:val="64"/>
      </w:trPr>
      <w:tc>
        <w:tcPr>
          <w:tcW w:w="1502" w:type="pct"/>
          <w:shd w:val="clear" w:color="auto" w:fill="FFFFFF" w:themeFill="background1"/>
          <w:vAlign w:val="center"/>
        </w:tcPr>
        <w:p w14:paraId="0DCC2FD2" w14:textId="77777777" w:rsidR="00353A28" w:rsidRPr="00950F12" w:rsidRDefault="00353A28" w:rsidP="00B9218C">
          <w:pPr>
            <w:rPr>
              <w:rtl/>
              <w:lang w:val="en-US"/>
            </w:rPr>
          </w:pPr>
          <w:r w:rsidRPr="00950F12">
            <w:rPr>
              <w:rtl/>
            </w:rPr>
            <w:t>0</w:t>
          </w:r>
          <w:r w:rsidR="00E76676">
            <w:rPr>
              <w:rFonts w:hint="cs"/>
              <w:rtl/>
            </w:rPr>
            <w:t>2</w:t>
          </w:r>
          <w:r w:rsidRPr="00950F12">
            <w:rPr>
              <w:rtl/>
            </w:rPr>
            <w:t>/</w:t>
          </w:r>
          <w:r w:rsidR="00B05F0B">
            <w:t>2</w:t>
          </w:r>
          <w:r w:rsidRPr="00950F12">
            <w:rPr>
              <w:rtl/>
            </w:rPr>
            <w:t>0/</w:t>
          </w:r>
          <w:r w:rsidR="00B05F0B">
            <w:t>8</w:t>
          </w:r>
          <w:r w:rsidRPr="00950F12">
            <w:rPr>
              <w:rtl/>
            </w:rPr>
            <w:t>144هـ</w:t>
          </w:r>
        </w:p>
      </w:tc>
      <w:tc>
        <w:tcPr>
          <w:tcW w:w="863" w:type="pct"/>
          <w:vMerge w:val="restart"/>
          <w:shd w:val="clear" w:color="auto" w:fill="00A05A"/>
          <w:vAlign w:val="center"/>
        </w:tcPr>
        <w:p w14:paraId="6D53364C" w14:textId="77777777" w:rsidR="00353A28" w:rsidRPr="00950F12" w:rsidRDefault="00353A28" w:rsidP="00B9218C">
          <w:pPr>
            <w:rPr>
              <w:rtl/>
            </w:rPr>
          </w:pPr>
          <w:r w:rsidRPr="00950F12">
            <w:rPr>
              <w:rtl/>
            </w:rPr>
            <w:t>تاريخ التطبيق</w:t>
          </w:r>
        </w:p>
        <w:p w14:paraId="2C56E57E" w14:textId="77777777" w:rsidR="00353A28" w:rsidRPr="00950F12" w:rsidRDefault="00353A28" w:rsidP="00B9218C">
          <w:r w:rsidRPr="00950F12">
            <w:t>Effective</w:t>
          </w:r>
          <w:r w:rsidRPr="00950F12">
            <w:rPr>
              <w:rtl/>
            </w:rPr>
            <w:t xml:space="preserve"> </w:t>
          </w:r>
          <w:r w:rsidRPr="00950F12">
            <w:t>Date</w:t>
          </w:r>
        </w:p>
      </w:tc>
      <w:tc>
        <w:tcPr>
          <w:tcW w:w="667" w:type="pct"/>
          <w:vMerge w:val="restart"/>
          <w:vAlign w:val="center"/>
        </w:tcPr>
        <w:p w14:paraId="1CAECB32" w14:textId="77777777" w:rsidR="00353A28" w:rsidRPr="00950F12" w:rsidRDefault="00353A28" w:rsidP="00B9218C">
          <w:r w:rsidRPr="00950F12">
            <w:rPr>
              <w:noProof/>
              <w:lang w:eastAsia="en-GB"/>
            </w:rPr>
            <w:drawing>
              <wp:anchor distT="0" distB="0" distL="114300" distR="114300" simplePos="0" relativeHeight="251654144" behindDoc="0" locked="0" layoutInCell="1" allowOverlap="1" wp14:anchorId="6A338D87" wp14:editId="56C96961">
                <wp:simplePos x="0" y="0"/>
                <wp:positionH relativeFrom="column">
                  <wp:posOffset>-6985</wp:posOffset>
                </wp:positionH>
                <wp:positionV relativeFrom="paragraph">
                  <wp:posOffset>-74930</wp:posOffset>
                </wp:positionV>
                <wp:extent cx="821690" cy="831850"/>
                <wp:effectExtent l="0" t="0" r="0" b="0"/>
                <wp:wrapNone/>
                <wp:docPr id="313393753"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976" w:type="pct"/>
          <w:vMerge w:val="restart"/>
          <w:shd w:val="clear" w:color="auto" w:fill="FFFFFF" w:themeFill="background1"/>
          <w:vAlign w:val="center"/>
        </w:tcPr>
        <w:p w14:paraId="78B60E62" w14:textId="77777777" w:rsidR="00C41FB5" w:rsidRPr="00950F12" w:rsidRDefault="00C26D8D" w:rsidP="00B9218C">
          <w:pPr>
            <w:bidi w:val="0"/>
            <w:rPr>
              <w:rtl/>
              <w:lang w:val="en-US"/>
            </w:rPr>
          </w:pPr>
          <w:r>
            <w:rPr>
              <w:lang w:val="en-US"/>
            </w:rPr>
            <w:t>HLD Form</w:t>
          </w:r>
        </w:p>
      </w:tc>
      <w:tc>
        <w:tcPr>
          <w:tcW w:w="992" w:type="pct"/>
          <w:vMerge w:val="restart"/>
          <w:shd w:val="clear" w:color="auto" w:fill="00A05A"/>
          <w:vAlign w:val="center"/>
        </w:tcPr>
        <w:p w14:paraId="7B52C1E8" w14:textId="77777777" w:rsidR="00353A28" w:rsidRPr="005C4245" w:rsidRDefault="00353A28" w:rsidP="00B9218C">
          <w:pPr>
            <w:rPr>
              <w:rtl/>
            </w:rPr>
          </w:pPr>
          <w:r w:rsidRPr="005C4245">
            <w:rPr>
              <w:rtl/>
            </w:rPr>
            <w:t>عنوان النموذج</w:t>
          </w:r>
        </w:p>
        <w:p w14:paraId="30E5C84F" w14:textId="77777777" w:rsidR="00353A28" w:rsidRPr="005C4245" w:rsidRDefault="00353A28" w:rsidP="00B9218C">
          <w:r w:rsidRPr="005C4245">
            <w:t>Form Title</w:t>
          </w:r>
        </w:p>
      </w:tc>
    </w:tr>
    <w:tr w:rsidR="00353A28" w:rsidRPr="0071237A" w14:paraId="6B24694E" w14:textId="77777777" w:rsidTr="00C41FB5">
      <w:trPr>
        <w:trHeight w:val="310"/>
      </w:trPr>
      <w:tc>
        <w:tcPr>
          <w:tcW w:w="1502" w:type="pct"/>
          <w:shd w:val="clear" w:color="auto" w:fill="FFFFFF" w:themeFill="background1"/>
          <w:vAlign w:val="center"/>
        </w:tcPr>
        <w:p w14:paraId="5CE707D7" w14:textId="77777777" w:rsidR="00353A28" w:rsidRPr="00950F12" w:rsidRDefault="00E76676" w:rsidP="00B9218C">
          <w:pPr>
            <w:rPr>
              <w:rtl/>
              <w:lang w:val="en-US"/>
            </w:rPr>
          </w:pPr>
          <w:r>
            <w:rPr>
              <w:rFonts w:hint="cs"/>
              <w:rtl/>
            </w:rPr>
            <w:t>21</w:t>
          </w:r>
          <w:r w:rsidR="00353A28" w:rsidRPr="00950F12">
            <w:rPr>
              <w:rtl/>
            </w:rPr>
            <w:t>/0</w:t>
          </w:r>
          <w:r>
            <w:rPr>
              <w:rFonts w:hint="cs"/>
              <w:rtl/>
            </w:rPr>
            <w:t>7</w:t>
          </w:r>
          <w:r w:rsidR="00353A28" w:rsidRPr="00950F12">
            <w:rPr>
              <w:rtl/>
            </w:rPr>
            <w:t>/202</w:t>
          </w:r>
          <w:r>
            <w:rPr>
              <w:rFonts w:hint="cs"/>
              <w:rtl/>
            </w:rPr>
            <w:t>7</w:t>
          </w:r>
          <w:r w:rsidR="00353A28" w:rsidRPr="00950F12">
            <w:rPr>
              <w:rtl/>
            </w:rPr>
            <w:t>م</w:t>
          </w:r>
        </w:p>
      </w:tc>
      <w:tc>
        <w:tcPr>
          <w:tcW w:w="863" w:type="pct"/>
          <w:vMerge/>
          <w:shd w:val="clear" w:color="auto" w:fill="00A05A"/>
          <w:vAlign w:val="center"/>
        </w:tcPr>
        <w:p w14:paraId="2624A8EF" w14:textId="77777777" w:rsidR="00353A28" w:rsidRPr="00950F12" w:rsidRDefault="00353A28" w:rsidP="00B9218C">
          <w:pPr>
            <w:rPr>
              <w:rtl/>
            </w:rPr>
          </w:pPr>
        </w:p>
      </w:tc>
      <w:tc>
        <w:tcPr>
          <w:tcW w:w="667" w:type="pct"/>
          <w:vMerge/>
        </w:tcPr>
        <w:p w14:paraId="6771ACE4" w14:textId="77777777" w:rsidR="00353A28" w:rsidRPr="00950F12" w:rsidRDefault="00353A28" w:rsidP="00B9218C"/>
      </w:tc>
      <w:tc>
        <w:tcPr>
          <w:tcW w:w="976" w:type="pct"/>
          <w:vMerge/>
          <w:shd w:val="clear" w:color="auto" w:fill="FFFFFF" w:themeFill="background1"/>
          <w:vAlign w:val="center"/>
        </w:tcPr>
        <w:p w14:paraId="0F029F64" w14:textId="77777777" w:rsidR="00353A28" w:rsidRPr="00950F12" w:rsidRDefault="00353A28" w:rsidP="00B9218C">
          <w:pPr>
            <w:rPr>
              <w:rtl/>
            </w:rPr>
          </w:pPr>
        </w:p>
      </w:tc>
      <w:tc>
        <w:tcPr>
          <w:tcW w:w="992" w:type="pct"/>
          <w:vMerge/>
          <w:shd w:val="clear" w:color="auto" w:fill="00A05A"/>
        </w:tcPr>
        <w:p w14:paraId="72A97CC4" w14:textId="77777777" w:rsidR="00353A28" w:rsidRPr="005C4245" w:rsidRDefault="00353A28" w:rsidP="00B9218C">
          <w:pPr>
            <w:rPr>
              <w:rtl/>
            </w:rPr>
          </w:pPr>
        </w:p>
      </w:tc>
    </w:tr>
    <w:tr w:rsidR="00353A28" w:rsidRPr="0071237A" w14:paraId="64BC75D8" w14:textId="77777777" w:rsidTr="00C41FB5">
      <w:trPr>
        <w:trHeight w:val="526"/>
      </w:trPr>
      <w:tc>
        <w:tcPr>
          <w:tcW w:w="1502" w:type="pct"/>
          <w:shd w:val="clear" w:color="auto" w:fill="FFFFFF" w:themeFill="background1"/>
          <w:vAlign w:val="center"/>
        </w:tcPr>
        <w:p w14:paraId="6EE8CA26" w14:textId="77777777" w:rsidR="00353A28" w:rsidRPr="00950F12" w:rsidRDefault="00353A28" w:rsidP="00B9218C">
          <w:pPr>
            <w:rPr>
              <w:rtl/>
              <w:lang w:val="en-US"/>
            </w:rPr>
          </w:pPr>
          <w:r w:rsidRPr="00950F12">
            <w:rPr>
              <w:rtl/>
              <w:lang w:val="en-US"/>
            </w:rPr>
            <w:t>1</w:t>
          </w:r>
        </w:p>
      </w:tc>
      <w:tc>
        <w:tcPr>
          <w:tcW w:w="863" w:type="pct"/>
          <w:shd w:val="clear" w:color="auto" w:fill="00A05A"/>
          <w:vAlign w:val="center"/>
        </w:tcPr>
        <w:p w14:paraId="739FF489" w14:textId="77777777" w:rsidR="00353A28" w:rsidRPr="00950F12" w:rsidRDefault="00353A28" w:rsidP="00B9218C">
          <w:pPr>
            <w:rPr>
              <w:rtl/>
            </w:rPr>
          </w:pPr>
          <w:r w:rsidRPr="00950F12">
            <w:rPr>
              <w:rtl/>
            </w:rPr>
            <w:t>رقم النسخة</w:t>
          </w:r>
        </w:p>
        <w:p w14:paraId="5A7518CA" w14:textId="77777777" w:rsidR="00353A28" w:rsidRPr="00950F12" w:rsidRDefault="00353A28" w:rsidP="00B9218C">
          <w:r w:rsidRPr="00950F12">
            <w:t>Rev. Number</w:t>
          </w:r>
        </w:p>
      </w:tc>
      <w:tc>
        <w:tcPr>
          <w:tcW w:w="667" w:type="pct"/>
          <w:vMerge/>
        </w:tcPr>
        <w:p w14:paraId="5944E24F" w14:textId="77777777" w:rsidR="00353A28" w:rsidRPr="00950F12" w:rsidRDefault="00353A28" w:rsidP="00B9218C"/>
      </w:tc>
      <w:tc>
        <w:tcPr>
          <w:tcW w:w="976" w:type="pct"/>
          <w:shd w:val="clear" w:color="auto" w:fill="FFFFFF" w:themeFill="background1"/>
          <w:vAlign w:val="center"/>
        </w:tcPr>
        <w:p w14:paraId="42AAE43D" w14:textId="77777777" w:rsidR="00353A28" w:rsidRPr="00950F12" w:rsidRDefault="00353A28" w:rsidP="00B9218C"/>
      </w:tc>
      <w:tc>
        <w:tcPr>
          <w:tcW w:w="992" w:type="pct"/>
          <w:shd w:val="clear" w:color="auto" w:fill="00A05A"/>
          <w:vAlign w:val="center"/>
        </w:tcPr>
        <w:p w14:paraId="3102D572" w14:textId="77777777" w:rsidR="00353A28" w:rsidRPr="005C4245" w:rsidRDefault="00353A28" w:rsidP="00B9218C">
          <w:pPr>
            <w:rPr>
              <w:rtl/>
            </w:rPr>
          </w:pPr>
          <w:r w:rsidRPr="005C4245">
            <w:rPr>
              <w:rtl/>
            </w:rPr>
            <w:t>رمز النموذج</w:t>
          </w:r>
        </w:p>
        <w:p w14:paraId="54C355B9" w14:textId="77777777" w:rsidR="00353A28" w:rsidRPr="005C4245" w:rsidRDefault="00353A28" w:rsidP="00B9218C">
          <w:r w:rsidRPr="005C4245">
            <w:t>Form Code</w:t>
          </w:r>
        </w:p>
      </w:tc>
    </w:tr>
    <w:tr w:rsidR="00353A28" w:rsidRPr="0071237A" w14:paraId="40B35C49" w14:textId="77777777" w:rsidTr="00C41FB5">
      <w:trPr>
        <w:trHeight w:val="1084"/>
      </w:trPr>
      <w:tc>
        <w:tcPr>
          <w:tcW w:w="1502" w:type="pct"/>
          <w:shd w:val="clear" w:color="auto" w:fill="FFFFFF" w:themeFill="background1"/>
          <w:vAlign w:val="center"/>
        </w:tcPr>
        <w:p w14:paraId="2D01BEEE" w14:textId="77777777" w:rsidR="00353A28" w:rsidRPr="00950F12" w:rsidRDefault="00353A28" w:rsidP="00B9218C">
          <w:r w:rsidRPr="00950F12">
            <w:rPr>
              <w:rtl/>
            </w:rPr>
            <w:t xml:space="preserve">إدارة التقنية </w:t>
          </w:r>
        </w:p>
      </w:tc>
      <w:tc>
        <w:tcPr>
          <w:tcW w:w="863" w:type="pct"/>
          <w:shd w:val="clear" w:color="auto" w:fill="00A05A"/>
          <w:vAlign w:val="center"/>
        </w:tcPr>
        <w:p w14:paraId="370673AC" w14:textId="77777777" w:rsidR="00353A28" w:rsidRPr="00950F12" w:rsidRDefault="00353A28" w:rsidP="00B9218C">
          <w:pPr>
            <w:rPr>
              <w:rtl/>
            </w:rPr>
          </w:pPr>
          <w:r w:rsidRPr="00950F12">
            <w:rPr>
              <w:rtl/>
            </w:rPr>
            <w:t>مالك النموذج</w:t>
          </w:r>
        </w:p>
        <w:p w14:paraId="0D9064B4" w14:textId="77777777" w:rsidR="00353A28" w:rsidRPr="00950F12" w:rsidRDefault="00353A28" w:rsidP="00B9218C">
          <w:r w:rsidRPr="00950F12">
            <w:t>Form Owner</w:t>
          </w:r>
        </w:p>
      </w:tc>
      <w:tc>
        <w:tcPr>
          <w:tcW w:w="667" w:type="pct"/>
          <w:vMerge/>
        </w:tcPr>
        <w:p w14:paraId="77741159" w14:textId="77777777" w:rsidR="00353A28" w:rsidRPr="00950F12" w:rsidRDefault="00353A28" w:rsidP="00B9218C"/>
      </w:tc>
      <w:tc>
        <w:tcPr>
          <w:tcW w:w="976" w:type="pct"/>
          <w:shd w:val="clear" w:color="auto" w:fill="FFFFFF" w:themeFill="background1"/>
          <w:vAlign w:val="center"/>
        </w:tcPr>
        <w:p w14:paraId="3ACA79DF" w14:textId="77777777" w:rsidR="00353A28" w:rsidRPr="00950F12" w:rsidRDefault="00B05F0B" w:rsidP="00B9218C">
          <w:pPr>
            <w:rPr>
              <w:rtl/>
            </w:rPr>
          </w:pPr>
          <w:r>
            <w:t>Apexium</w:t>
          </w:r>
        </w:p>
      </w:tc>
      <w:tc>
        <w:tcPr>
          <w:tcW w:w="992" w:type="pct"/>
          <w:shd w:val="clear" w:color="auto" w:fill="00A05A"/>
          <w:vAlign w:val="center"/>
        </w:tcPr>
        <w:p w14:paraId="04B22147" w14:textId="77777777" w:rsidR="00353A28" w:rsidRPr="005C4245" w:rsidRDefault="00353A28" w:rsidP="00B9218C">
          <w:r w:rsidRPr="005C4245">
            <w:rPr>
              <w:rtl/>
            </w:rPr>
            <w:t xml:space="preserve">جهة الإصدار     </w:t>
          </w:r>
          <w:r w:rsidRPr="005C4245">
            <w:t>Issuer</w:t>
          </w:r>
        </w:p>
      </w:tc>
    </w:tr>
  </w:tbl>
  <w:p w14:paraId="3BE83EE7" w14:textId="77777777" w:rsidR="00353A28" w:rsidRDefault="00353A28" w:rsidP="00B9218C">
    <w:pPr>
      <w:pStyle w:val="Header"/>
      <w:rPr>
        <w:lang w:val="en-GB"/>
      </w:rPr>
    </w:pPr>
  </w:p>
  <w:p w14:paraId="57C1EA59" w14:textId="77777777" w:rsidR="00353A28" w:rsidRPr="0071237A" w:rsidRDefault="00353A28" w:rsidP="00B9218C">
    <w:pPr>
      <w:pStyle w:val="Header"/>
      <w:rPr>
        <w:lang w:val="en-GB"/>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4BFD6" w14:textId="77777777" w:rsidR="00455C5F" w:rsidRDefault="00455C5F" w:rsidP="00B9218C">
    <w:pPr>
      <w:pStyle w:val="Header"/>
    </w:pPr>
    <w:r>
      <w:rPr>
        <w:noProof/>
      </w:rPr>
      <mc:AlternateContent>
        <mc:Choice Requires="wps">
          <w:drawing>
            <wp:anchor distT="0" distB="0" distL="0" distR="0" simplePos="0" relativeHeight="251660288"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18992273"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71586875" w14:textId="77777777" w:rsidR="00455C5F" w:rsidRPr="00455C5F" w:rsidRDefault="00455C5F" w:rsidP="00B9218C">
                          <w:pPr>
                            <w:rPr>
                              <w:noProof/>
                            </w:rPr>
                          </w:pPr>
                          <w:r w:rsidRPr="00455C5F">
                            <w:rPr>
                              <w:noProof/>
                            </w:rPr>
                            <w:t>Public</w:t>
                          </w:r>
                          <w:r w:rsidRPr="00455C5F">
                            <w:rPr>
                              <w:noProof/>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4B3B5" id="_x0000_t202" coordsize="21600,21600" o:spt="202" path="m,l,21600r21600,l21600,xe">
              <v:stroke joinstyle="miter"/>
              <v:path gradientshapeok="t" o:connecttype="rect"/>
            </v:shapetype>
            <v:shape id="_x0000_s1031" type="#_x0000_t202" alt="Public – عام" style="position:absolute;left:0;text-align:left;margin-left:0;margin-top:0;width:50pt;height:2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8SBMEOAgAAHAQA&#10;AA4AAAAAAAAAAAAAAAAALgIAAGRycy9lMm9Eb2MueG1sUEsBAi0AFAAGAAgAAAAhAA8lpV/ZAAAA&#10;BAEAAA8AAAAAAAAAAAAAAAAAaAQAAGRycy9kb3ducmV2LnhtbFBLBQYAAAAABAAEAPMAAABuBQAA&#10;AAA=&#10;" filled="f" stroked="f">
              <v:textbox style="mso-fit-shape-to-text:t" inset="0,15pt,0,0">
                <w:txbxContent>
                  <w:p w14:paraId="71586875" w14:textId="77777777" w:rsidR="00455C5F" w:rsidRPr="00455C5F" w:rsidRDefault="00455C5F" w:rsidP="00B9218C">
                    <w:pPr>
                      <w:rPr>
                        <w:noProof/>
                      </w:rPr>
                    </w:pPr>
                    <w:r w:rsidRPr="00455C5F">
                      <w:rPr>
                        <w:noProof/>
                      </w:rPr>
                      <w:t>Public</w:t>
                    </w:r>
                    <w:r w:rsidRPr="00455C5F">
                      <w:rPr>
                        <w:noProof/>
                        <w:rtl/>
                      </w:rPr>
                      <w:t xml:space="preserve"> – عام</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9F3"/>
    <w:multiLevelType w:val="multilevel"/>
    <w:tmpl w:val="C11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DB1"/>
    <w:multiLevelType w:val="multilevel"/>
    <w:tmpl w:val="C26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1F6D"/>
    <w:multiLevelType w:val="hybridMultilevel"/>
    <w:tmpl w:val="87E86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F3614"/>
    <w:multiLevelType w:val="multilevel"/>
    <w:tmpl w:val="CE0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1502"/>
    <w:multiLevelType w:val="hybridMultilevel"/>
    <w:tmpl w:val="2C9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C24B7"/>
    <w:multiLevelType w:val="multilevel"/>
    <w:tmpl w:val="506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D88"/>
    <w:multiLevelType w:val="multilevel"/>
    <w:tmpl w:val="767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0E75"/>
    <w:multiLevelType w:val="multilevel"/>
    <w:tmpl w:val="9176DE8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51369"/>
    <w:multiLevelType w:val="multilevel"/>
    <w:tmpl w:val="B17C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F5B48"/>
    <w:multiLevelType w:val="multilevel"/>
    <w:tmpl w:val="46E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83BB8"/>
    <w:multiLevelType w:val="multilevel"/>
    <w:tmpl w:val="67D4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710C2"/>
    <w:multiLevelType w:val="hybridMultilevel"/>
    <w:tmpl w:val="0C1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668D6"/>
    <w:multiLevelType w:val="multilevel"/>
    <w:tmpl w:val="4AE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66618"/>
    <w:multiLevelType w:val="hybridMultilevel"/>
    <w:tmpl w:val="05F6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01524"/>
    <w:multiLevelType w:val="multilevel"/>
    <w:tmpl w:val="8FB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9733A"/>
    <w:multiLevelType w:val="hybridMultilevel"/>
    <w:tmpl w:val="8E02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D2ABE"/>
    <w:multiLevelType w:val="multilevel"/>
    <w:tmpl w:val="FEE8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3026C"/>
    <w:multiLevelType w:val="hybridMultilevel"/>
    <w:tmpl w:val="10A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BE6"/>
    <w:multiLevelType w:val="multilevel"/>
    <w:tmpl w:val="BE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97A34"/>
    <w:multiLevelType w:val="multilevel"/>
    <w:tmpl w:val="C56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424D0"/>
    <w:multiLevelType w:val="multilevel"/>
    <w:tmpl w:val="CE9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F40F0"/>
    <w:multiLevelType w:val="multilevel"/>
    <w:tmpl w:val="CE3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3395E"/>
    <w:multiLevelType w:val="multilevel"/>
    <w:tmpl w:val="1E5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618D1"/>
    <w:multiLevelType w:val="hybridMultilevel"/>
    <w:tmpl w:val="D500D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06129C9"/>
    <w:multiLevelType w:val="multilevel"/>
    <w:tmpl w:val="707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E20CA"/>
    <w:multiLevelType w:val="multilevel"/>
    <w:tmpl w:val="4A0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B71F1"/>
    <w:multiLevelType w:val="multilevel"/>
    <w:tmpl w:val="E33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B4AF4"/>
    <w:multiLevelType w:val="multilevel"/>
    <w:tmpl w:val="89E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A2545"/>
    <w:multiLevelType w:val="multilevel"/>
    <w:tmpl w:val="E9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34BAF"/>
    <w:multiLevelType w:val="multilevel"/>
    <w:tmpl w:val="900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B5A53"/>
    <w:multiLevelType w:val="multilevel"/>
    <w:tmpl w:val="D5DA89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2C159E"/>
    <w:multiLevelType w:val="multilevel"/>
    <w:tmpl w:val="05B8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AA03D5"/>
    <w:multiLevelType w:val="hybridMultilevel"/>
    <w:tmpl w:val="637E2DA4"/>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3" w15:restartNumberingAfterBreak="0">
    <w:nsid w:val="749B37FA"/>
    <w:multiLevelType w:val="hybridMultilevel"/>
    <w:tmpl w:val="53D6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A6553E"/>
    <w:multiLevelType w:val="multilevel"/>
    <w:tmpl w:val="097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42B37"/>
    <w:multiLevelType w:val="hybridMultilevel"/>
    <w:tmpl w:val="17E6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32B18"/>
    <w:multiLevelType w:val="hybridMultilevel"/>
    <w:tmpl w:val="CEE8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FC75D7"/>
    <w:multiLevelType w:val="multilevel"/>
    <w:tmpl w:val="1F3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A3098"/>
    <w:multiLevelType w:val="multilevel"/>
    <w:tmpl w:val="DBF63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95428">
    <w:abstractNumId w:val="30"/>
  </w:num>
  <w:num w:numId="2" w16cid:durableId="14776332">
    <w:abstractNumId w:val="28"/>
  </w:num>
  <w:num w:numId="3" w16cid:durableId="341514229">
    <w:abstractNumId w:val="9"/>
  </w:num>
  <w:num w:numId="4" w16cid:durableId="1080103626">
    <w:abstractNumId w:val="38"/>
  </w:num>
  <w:num w:numId="5" w16cid:durableId="765923461">
    <w:abstractNumId w:val="26"/>
  </w:num>
  <w:num w:numId="6" w16cid:durableId="1826774974">
    <w:abstractNumId w:val="4"/>
  </w:num>
  <w:num w:numId="7" w16cid:durableId="794521637">
    <w:abstractNumId w:val="7"/>
  </w:num>
  <w:num w:numId="8" w16cid:durableId="971252877">
    <w:abstractNumId w:val="23"/>
  </w:num>
  <w:num w:numId="9" w16cid:durableId="866992518">
    <w:abstractNumId w:val="35"/>
  </w:num>
  <w:num w:numId="10" w16cid:durableId="1823430220">
    <w:abstractNumId w:val="32"/>
  </w:num>
  <w:num w:numId="11" w16cid:durableId="1662001074">
    <w:abstractNumId w:val="17"/>
  </w:num>
  <w:num w:numId="12" w16cid:durableId="1710715768">
    <w:abstractNumId w:val="36"/>
  </w:num>
  <w:num w:numId="13" w16cid:durableId="1580020730">
    <w:abstractNumId w:val="2"/>
  </w:num>
  <w:num w:numId="14" w16cid:durableId="515115780">
    <w:abstractNumId w:val="13"/>
  </w:num>
  <w:num w:numId="15" w16cid:durableId="233586588">
    <w:abstractNumId w:val="22"/>
  </w:num>
  <w:num w:numId="16" w16cid:durableId="1768496730">
    <w:abstractNumId w:val="18"/>
  </w:num>
  <w:num w:numId="17" w16cid:durableId="582225243">
    <w:abstractNumId w:val="14"/>
  </w:num>
  <w:num w:numId="18" w16cid:durableId="1763143223">
    <w:abstractNumId w:val="1"/>
  </w:num>
  <w:num w:numId="19" w16cid:durableId="1779638265">
    <w:abstractNumId w:val="11"/>
  </w:num>
  <w:num w:numId="20" w16cid:durableId="526412037">
    <w:abstractNumId w:val="15"/>
  </w:num>
  <w:num w:numId="21" w16cid:durableId="1220747171">
    <w:abstractNumId w:val="21"/>
  </w:num>
  <w:num w:numId="22" w16cid:durableId="711883869">
    <w:abstractNumId w:val="25"/>
  </w:num>
  <w:num w:numId="23" w16cid:durableId="2086371040">
    <w:abstractNumId w:val="29"/>
  </w:num>
  <w:num w:numId="24" w16cid:durableId="1851065791">
    <w:abstractNumId w:val="10"/>
  </w:num>
  <w:num w:numId="25" w16cid:durableId="1657034739">
    <w:abstractNumId w:val="16"/>
  </w:num>
  <w:num w:numId="26" w16cid:durableId="786584113">
    <w:abstractNumId w:val="3"/>
  </w:num>
  <w:num w:numId="27" w16cid:durableId="618536043">
    <w:abstractNumId w:val="6"/>
  </w:num>
  <w:num w:numId="28" w16cid:durableId="1911505235">
    <w:abstractNumId w:val="12"/>
  </w:num>
  <w:num w:numId="29" w16cid:durableId="1805736105">
    <w:abstractNumId w:val="34"/>
  </w:num>
  <w:num w:numId="30" w16cid:durableId="672955548">
    <w:abstractNumId w:val="0"/>
  </w:num>
  <w:num w:numId="31" w16cid:durableId="440804104">
    <w:abstractNumId w:val="37"/>
  </w:num>
  <w:num w:numId="32" w16cid:durableId="1187256149">
    <w:abstractNumId w:val="8"/>
  </w:num>
  <w:num w:numId="33" w16cid:durableId="1370036440">
    <w:abstractNumId w:val="19"/>
  </w:num>
  <w:num w:numId="34" w16cid:durableId="406195246">
    <w:abstractNumId w:val="5"/>
  </w:num>
  <w:num w:numId="35" w16cid:durableId="1655910213">
    <w:abstractNumId w:val="24"/>
  </w:num>
  <w:num w:numId="36" w16cid:durableId="943532789">
    <w:abstractNumId w:val="27"/>
  </w:num>
  <w:num w:numId="37" w16cid:durableId="1458067908">
    <w:abstractNumId w:val="20"/>
  </w:num>
  <w:num w:numId="38" w16cid:durableId="654651030">
    <w:abstractNumId w:val="31"/>
  </w:num>
  <w:num w:numId="39" w16cid:durableId="358317661">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CF"/>
    <w:rsid w:val="00011535"/>
    <w:rsid w:val="0001247C"/>
    <w:rsid w:val="00016BD1"/>
    <w:rsid w:val="00022594"/>
    <w:rsid w:val="000228DD"/>
    <w:rsid w:val="00023D2E"/>
    <w:rsid w:val="000267FD"/>
    <w:rsid w:val="00031F0D"/>
    <w:rsid w:val="00033A4C"/>
    <w:rsid w:val="0003584F"/>
    <w:rsid w:val="0004067C"/>
    <w:rsid w:val="000419A9"/>
    <w:rsid w:val="000430D9"/>
    <w:rsid w:val="00061D7F"/>
    <w:rsid w:val="00064110"/>
    <w:rsid w:val="000663D3"/>
    <w:rsid w:val="00070745"/>
    <w:rsid w:val="00072026"/>
    <w:rsid w:val="000775A5"/>
    <w:rsid w:val="00085211"/>
    <w:rsid w:val="00086D22"/>
    <w:rsid w:val="000948FB"/>
    <w:rsid w:val="000A5AD2"/>
    <w:rsid w:val="000A5E0D"/>
    <w:rsid w:val="000B03A2"/>
    <w:rsid w:val="000B3994"/>
    <w:rsid w:val="000B3B17"/>
    <w:rsid w:val="000C0DD5"/>
    <w:rsid w:val="000C424A"/>
    <w:rsid w:val="000C67A1"/>
    <w:rsid w:val="000D59C5"/>
    <w:rsid w:val="000D5D61"/>
    <w:rsid w:val="000D687E"/>
    <w:rsid w:val="000D6C94"/>
    <w:rsid w:val="000E15E8"/>
    <w:rsid w:val="000E3644"/>
    <w:rsid w:val="000E451D"/>
    <w:rsid w:val="000F63D9"/>
    <w:rsid w:val="00103473"/>
    <w:rsid w:val="001034C0"/>
    <w:rsid w:val="001045ED"/>
    <w:rsid w:val="00107771"/>
    <w:rsid w:val="0010786F"/>
    <w:rsid w:val="00115AF8"/>
    <w:rsid w:val="00146F64"/>
    <w:rsid w:val="00154F2B"/>
    <w:rsid w:val="0016316D"/>
    <w:rsid w:val="0016788C"/>
    <w:rsid w:val="00185175"/>
    <w:rsid w:val="00190C01"/>
    <w:rsid w:val="0019670D"/>
    <w:rsid w:val="001A1856"/>
    <w:rsid w:val="001A52C6"/>
    <w:rsid w:val="001B4BC9"/>
    <w:rsid w:val="001B57D5"/>
    <w:rsid w:val="001B5A0E"/>
    <w:rsid w:val="001B5F07"/>
    <w:rsid w:val="001B789D"/>
    <w:rsid w:val="001C579B"/>
    <w:rsid w:val="001D0FFF"/>
    <w:rsid w:val="001E0BC0"/>
    <w:rsid w:val="001E4C4A"/>
    <w:rsid w:val="001E4CF2"/>
    <w:rsid w:val="001F035A"/>
    <w:rsid w:val="001F23BF"/>
    <w:rsid w:val="001F2D64"/>
    <w:rsid w:val="001F3A0A"/>
    <w:rsid w:val="001F621E"/>
    <w:rsid w:val="001F7C2A"/>
    <w:rsid w:val="002017DE"/>
    <w:rsid w:val="00207B64"/>
    <w:rsid w:val="00210984"/>
    <w:rsid w:val="00213B3E"/>
    <w:rsid w:val="00213C50"/>
    <w:rsid w:val="00214A70"/>
    <w:rsid w:val="00215449"/>
    <w:rsid w:val="00215EE7"/>
    <w:rsid w:val="002214FF"/>
    <w:rsid w:val="00223F77"/>
    <w:rsid w:val="00225EDE"/>
    <w:rsid w:val="0023056B"/>
    <w:rsid w:val="002323AE"/>
    <w:rsid w:val="00235237"/>
    <w:rsid w:val="00235D3B"/>
    <w:rsid w:val="00236921"/>
    <w:rsid w:val="002405C5"/>
    <w:rsid w:val="00242F3C"/>
    <w:rsid w:val="0024621F"/>
    <w:rsid w:val="0024681C"/>
    <w:rsid w:val="002477A4"/>
    <w:rsid w:val="0025115B"/>
    <w:rsid w:val="00253785"/>
    <w:rsid w:val="002539D9"/>
    <w:rsid w:val="00257551"/>
    <w:rsid w:val="00265055"/>
    <w:rsid w:val="00265616"/>
    <w:rsid w:val="002708B3"/>
    <w:rsid w:val="002736DC"/>
    <w:rsid w:val="00273E2D"/>
    <w:rsid w:val="0028022A"/>
    <w:rsid w:val="0029159D"/>
    <w:rsid w:val="00293BD0"/>
    <w:rsid w:val="00297A47"/>
    <w:rsid w:val="002A3517"/>
    <w:rsid w:val="002A41A5"/>
    <w:rsid w:val="002B0189"/>
    <w:rsid w:val="002B32BE"/>
    <w:rsid w:val="002C3824"/>
    <w:rsid w:val="002D001F"/>
    <w:rsid w:val="002D2ED1"/>
    <w:rsid w:val="002D6A9C"/>
    <w:rsid w:val="002E0AC8"/>
    <w:rsid w:val="002E63FB"/>
    <w:rsid w:val="002F02DD"/>
    <w:rsid w:val="00301DED"/>
    <w:rsid w:val="0030539E"/>
    <w:rsid w:val="003076F1"/>
    <w:rsid w:val="0031013D"/>
    <w:rsid w:val="003230B1"/>
    <w:rsid w:val="00323B23"/>
    <w:rsid w:val="00324D79"/>
    <w:rsid w:val="00325376"/>
    <w:rsid w:val="00333EB3"/>
    <w:rsid w:val="00337D9B"/>
    <w:rsid w:val="00341FDC"/>
    <w:rsid w:val="003422C8"/>
    <w:rsid w:val="00347B5B"/>
    <w:rsid w:val="003504A7"/>
    <w:rsid w:val="00351426"/>
    <w:rsid w:val="003520EA"/>
    <w:rsid w:val="00353A28"/>
    <w:rsid w:val="00354B7B"/>
    <w:rsid w:val="00364190"/>
    <w:rsid w:val="0036437A"/>
    <w:rsid w:val="00364828"/>
    <w:rsid w:val="00367904"/>
    <w:rsid w:val="00367B99"/>
    <w:rsid w:val="0038073F"/>
    <w:rsid w:val="0038282D"/>
    <w:rsid w:val="00385DC5"/>
    <w:rsid w:val="00392B0F"/>
    <w:rsid w:val="00395E54"/>
    <w:rsid w:val="003A0128"/>
    <w:rsid w:val="003A15F6"/>
    <w:rsid w:val="003A3DC8"/>
    <w:rsid w:val="003B2675"/>
    <w:rsid w:val="003B40E3"/>
    <w:rsid w:val="003B550F"/>
    <w:rsid w:val="003B600B"/>
    <w:rsid w:val="003B6BAA"/>
    <w:rsid w:val="003C001F"/>
    <w:rsid w:val="003C6A6A"/>
    <w:rsid w:val="003D3C30"/>
    <w:rsid w:val="003D6655"/>
    <w:rsid w:val="003E000C"/>
    <w:rsid w:val="003E17D8"/>
    <w:rsid w:val="003E32E0"/>
    <w:rsid w:val="003F31DC"/>
    <w:rsid w:val="003F3644"/>
    <w:rsid w:val="003F5AF7"/>
    <w:rsid w:val="00403E3E"/>
    <w:rsid w:val="004220E9"/>
    <w:rsid w:val="00425BDA"/>
    <w:rsid w:val="00425EFB"/>
    <w:rsid w:val="00427FCB"/>
    <w:rsid w:val="00431C44"/>
    <w:rsid w:val="004343C5"/>
    <w:rsid w:val="00437333"/>
    <w:rsid w:val="00443418"/>
    <w:rsid w:val="00444983"/>
    <w:rsid w:val="00450052"/>
    <w:rsid w:val="00455C5F"/>
    <w:rsid w:val="00457C2E"/>
    <w:rsid w:val="00457D14"/>
    <w:rsid w:val="0046413F"/>
    <w:rsid w:val="00464CE3"/>
    <w:rsid w:val="004673F6"/>
    <w:rsid w:val="00472B55"/>
    <w:rsid w:val="0047767A"/>
    <w:rsid w:val="004818A4"/>
    <w:rsid w:val="00493EB1"/>
    <w:rsid w:val="00497292"/>
    <w:rsid w:val="004A6C3B"/>
    <w:rsid w:val="004C0767"/>
    <w:rsid w:val="004C0A05"/>
    <w:rsid w:val="004C3BAC"/>
    <w:rsid w:val="004C6388"/>
    <w:rsid w:val="004D364C"/>
    <w:rsid w:val="004D4BB4"/>
    <w:rsid w:val="004D6140"/>
    <w:rsid w:val="004F0070"/>
    <w:rsid w:val="004F4425"/>
    <w:rsid w:val="004F6C9E"/>
    <w:rsid w:val="00500F97"/>
    <w:rsid w:val="005049C2"/>
    <w:rsid w:val="0050521B"/>
    <w:rsid w:val="00507861"/>
    <w:rsid w:val="00515F98"/>
    <w:rsid w:val="00521CAB"/>
    <w:rsid w:val="00522531"/>
    <w:rsid w:val="00522588"/>
    <w:rsid w:val="00522D98"/>
    <w:rsid w:val="00524E22"/>
    <w:rsid w:val="00525FD2"/>
    <w:rsid w:val="0052639C"/>
    <w:rsid w:val="00544AF2"/>
    <w:rsid w:val="00550C7F"/>
    <w:rsid w:val="00551983"/>
    <w:rsid w:val="005569FB"/>
    <w:rsid w:val="00556E08"/>
    <w:rsid w:val="00570BE7"/>
    <w:rsid w:val="00572A4E"/>
    <w:rsid w:val="00573FA3"/>
    <w:rsid w:val="00581846"/>
    <w:rsid w:val="0058318B"/>
    <w:rsid w:val="0058494F"/>
    <w:rsid w:val="005855D1"/>
    <w:rsid w:val="005858E7"/>
    <w:rsid w:val="00586E97"/>
    <w:rsid w:val="005875DA"/>
    <w:rsid w:val="0059694B"/>
    <w:rsid w:val="00597994"/>
    <w:rsid w:val="005A7B5F"/>
    <w:rsid w:val="005C18CF"/>
    <w:rsid w:val="005C2C3A"/>
    <w:rsid w:val="005C2FE8"/>
    <w:rsid w:val="005C4245"/>
    <w:rsid w:val="005C4683"/>
    <w:rsid w:val="005D3612"/>
    <w:rsid w:val="005D4C67"/>
    <w:rsid w:val="005E161D"/>
    <w:rsid w:val="005E4255"/>
    <w:rsid w:val="005F6F95"/>
    <w:rsid w:val="005F76C8"/>
    <w:rsid w:val="005F7E73"/>
    <w:rsid w:val="0060437C"/>
    <w:rsid w:val="006073BE"/>
    <w:rsid w:val="00611804"/>
    <w:rsid w:val="00612DA5"/>
    <w:rsid w:val="00612EC3"/>
    <w:rsid w:val="00613F86"/>
    <w:rsid w:val="00620E84"/>
    <w:rsid w:val="00623200"/>
    <w:rsid w:val="00626CA4"/>
    <w:rsid w:val="00634C19"/>
    <w:rsid w:val="00641547"/>
    <w:rsid w:val="00641876"/>
    <w:rsid w:val="00642D30"/>
    <w:rsid w:val="006466D2"/>
    <w:rsid w:val="00646924"/>
    <w:rsid w:val="00654E4C"/>
    <w:rsid w:val="00663DB9"/>
    <w:rsid w:val="00664E7B"/>
    <w:rsid w:val="00671254"/>
    <w:rsid w:val="00673D7E"/>
    <w:rsid w:val="00674D9E"/>
    <w:rsid w:val="00680E8B"/>
    <w:rsid w:val="00682D45"/>
    <w:rsid w:val="006836BE"/>
    <w:rsid w:val="00684D1E"/>
    <w:rsid w:val="006902C8"/>
    <w:rsid w:val="006922FF"/>
    <w:rsid w:val="006B0C78"/>
    <w:rsid w:val="006B38AD"/>
    <w:rsid w:val="006B4F71"/>
    <w:rsid w:val="006B6400"/>
    <w:rsid w:val="006B7143"/>
    <w:rsid w:val="006B7B09"/>
    <w:rsid w:val="006C1CD1"/>
    <w:rsid w:val="006C4516"/>
    <w:rsid w:val="006D2CDD"/>
    <w:rsid w:val="006D44B7"/>
    <w:rsid w:val="006D4C01"/>
    <w:rsid w:val="006D64D2"/>
    <w:rsid w:val="006E18D5"/>
    <w:rsid w:val="006E7488"/>
    <w:rsid w:val="006F17A6"/>
    <w:rsid w:val="006F1D48"/>
    <w:rsid w:val="006F56A3"/>
    <w:rsid w:val="00705568"/>
    <w:rsid w:val="00710534"/>
    <w:rsid w:val="00710558"/>
    <w:rsid w:val="00712132"/>
    <w:rsid w:val="0071237A"/>
    <w:rsid w:val="00714283"/>
    <w:rsid w:val="007176DC"/>
    <w:rsid w:val="007315E3"/>
    <w:rsid w:val="0073360F"/>
    <w:rsid w:val="00733AE4"/>
    <w:rsid w:val="00737338"/>
    <w:rsid w:val="00744204"/>
    <w:rsid w:val="00744955"/>
    <w:rsid w:val="007502CA"/>
    <w:rsid w:val="007524D6"/>
    <w:rsid w:val="00754B54"/>
    <w:rsid w:val="0075656D"/>
    <w:rsid w:val="007603EA"/>
    <w:rsid w:val="00760405"/>
    <w:rsid w:val="00781576"/>
    <w:rsid w:val="00782F9E"/>
    <w:rsid w:val="00784C3E"/>
    <w:rsid w:val="00785A7A"/>
    <w:rsid w:val="00792334"/>
    <w:rsid w:val="00793B21"/>
    <w:rsid w:val="007977AF"/>
    <w:rsid w:val="007A37ED"/>
    <w:rsid w:val="007A7D99"/>
    <w:rsid w:val="007B5AF5"/>
    <w:rsid w:val="007B6353"/>
    <w:rsid w:val="007B651F"/>
    <w:rsid w:val="007B69CF"/>
    <w:rsid w:val="007C15FE"/>
    <w:rsid w:val="007C77D5"/>
    <w:rsid w:val="007D431E"/>
    <w:rsid w:val="007E0AAD"/>
    <w:rsid w:val="007E1603"/>
    <w:rsid w:val="007E6B51"/>
    <w:rsid w:val="007F5E4C"/>
    <w:rsid w:val="00802B9B"/>
    <w:rsid w:val="00805616"/>
    <w:rsid w:val="00811EF0"/>
    <w:rsid w:val="00812887"/>
    <w:rsid w:val="0082029A"/>
    <w:rsid w:val="008230B7"/>
    <w:rsid w:val="008325F7"/>
    <w:rsid w:val="0084033E"/>
    <w:rsid w:val="00846EC5"/>
    <w:rsid w:val="00855F64"/>
    <w:rsid w:val="0085638D"/>
    <w:rsid w:val="00861194"/>
    <w:rsid w:val="00864F4C"/>
    <w:rsid w:val="008678A6"/>
    <w:rsid w:val="008719BF"/>
    <w:rsid w:val="00881EE7"/>
    <w:rsid w:val="008841F1"/>
    <w:rsid w:val="00886C16"/>
    <w:rsid w:val="00890F1D"/>
    <w:rsid w:val="008A4DC5"/>
    <w:rsid w:val="008A5C89"/>
    <w:rsid w:val="008A5E39"/>
    <w:rsid w:val="008B1941"/>
    <w:rsid w:val="008B2B83"/>
    <w:rsid w:val="008B53E1"/>
    <w:rsid w:val="008B7D5A"/>
    <w:rsid w:val="008C69BC"/>
    <w:rsid w:val="008C6FE5"/>
    <w:rsid w:val="008D0815"/>
    <w:rsid w:val="008E0ABC"/>
    <w:rsid w:val="008E68AC"/>
    <w:rsid w:val="008E6D82"/>
    <w:rsid w:val="008F58DB"/>
    <w:rsid w:val="008F7D3D"/>
    <w:rsid w:val="00904D6C"/>
    <w:rsid w:val="00910729"/>
    <w:rsid w:val="009112B7"/>
    <w:rsid w:val="009159DC"/>
    <w:rsid w:val="00916056"/>
    <w:rsid w:val="009269CF"/>
    <w:rsid w:val="00933531"/>
    <w:rsid w:val="009336EC"/>
    <w:rsid w:val="00935C51"/>
    <w:rsid w:val="009427E1"/>
    <w:rsid w:val="00943D0C"/>
    <w:rsid w:val="0094607C"/>
    <w:rsid w:val="00950F12"/>
    <w:rsid w:val="0095573C"/>
    <w:rsid w:val="0095653E"/>
    <w:rsid w:val="00966D6A"/>
    <w:rsid w:val="009700AF"/>
    <w:rsid w:val="00974B06"/>
    <w:rsid w:val="00977D97"/>
    <w:rsid w:val="00983CEA"/>
    <w:rsid w:val="00992B8F"/>
    <w:rsid w:val="009A0C5E"/>
    <w:rsid w:val="009A221B"/>
    <w:rsid w:val="009A4479"/>
    <w:rsid w:val="009B5C03"/>
    <w:rsid w:val="009B5FB5"/>
    <w:rsid w:val="009B7240"/>
    <w:rsid w:val="009C0917"/>
    <w:rsid w:val="009C3D84"/>
    <w:rsid w:val="009D3BD6"/>
    <w:rsid w:val="009D6D72"/>
    <w:rsid w:val="009E1C4E"/>
    <w:rsid w:val="009E6B99"/>
    <w:rsid w:val="009E6F10"/>
    <w:rsid w:val="009E78F7"/>
    <w:rsid w:val="009F3699"/>
    <w:rsid w:val="009F4953"/>
    <w:rsid w:val="00A10B95"/>
    <w:rsid w:val="00A1161D"/>
    <w:rsid w:val="00A119DB"/>
    <w:rsid w:val="00A11C84"/>
    <w:rsid w:val="00A128CB"/>
    <w:rsid w:val="00A12C72"/>
    <w:rsid w:val="00A13287"/>
    <w:rsid w:val="00A13C3D"/>
    <w:rsid w:val="00A23EB6"/>
    <w:rsid w:val="00A24628"/>
    <w:rsid w:val="00A25981"/>
    <w:rsid w:val="00A271D8"/>
    <w:rsid w:val="00A421BC"/>
    <w:rsid w:val="00A4535A"/>
    <w:rsid w:val="00A50328"/>
    <w:rsid w:val="00A51054"/>
    <w:rsid w:val="00A54CB6"/>
    <w:rsid w:val="00A63FC4"/>
    <w:rsid w:val="00A72843"/>
    <w:rsid w:val="00A748C5"/>
    <w:rsid w:val="00A836E7"/>
    <w:rsid w:val="00A865A1"/>
    <w:rsid w:val="00A877C3"/>
    <w:rsid w:val="00A910FE"/>
    <w:rsid w:val="00A9262F"/>
    <w:rsid w:val="00A92F57"/>
    <w:rsid w:val="00A936B5"/>
    <w:rsid w:val="00A93AE6"/>
    <w:rsid w:val="00A93D03"/>
    <w:rsid w:val="00A93EEA"/>
    <w:rsid w:val="00A944E9"/>
    <w:rsid w:val="00AA1381"/>
    <w:rsid w:val="00AB044F"/>
    <w:rsid w:val="00AB0459"/>
    <w:rsid w:val="00AB29B3"/>
    <w:rsid w:val="00AC0CAD"/>
    <w:rsid w:val="00AC1449"/>
    <w:rsid w:val="00AC3550"/>
    <w:rsid w:val="00AC3BCE"/>
    <w:rsid w:val="00AC4CA2"/>
    <w:rsid w:val="00AC7BCD"/>
    <w:rsid w:val="00AE153F"/>
    <w:rsid w:val="00AE49DD"/>
    <w:rsid w:val="00AF0B05"/>
    <w:rsid w:val="00B00435"/>
    <w:rsid w:val="00B039C0"/>
    <w:rsid w:val="00B05F0B"/>
    <w:rsid w:val="00B06DC8"/>
    <w:rsid w:val="00B103F0"/>
    <w:rsid w:val="00B10554"/>
    <w:rsid w:val="00B11B34"/>
    <w:rsid w:val="00B13120"/>
    <w:rsid w:val="00B1374D"/>
    <w:rsid w:val="00B23F52"/>
    <w:rsid w:val="00B26A27"/>
    <w:rsid w:val="00B33868"/>
    <w:rsid w:val="00B36260"/>
    <w:rsid w:val="00B36F5F"/>
    <w:rsid w:val="00B3790D"/>
    <w:rsid w:val="00B42495"/>
    <w:rsid w:val="00B42A37"/>
    <w:rsid w:val="00B42D4D"/>
    <w:rsid w:val="00B5149F"/>
    <w:rsid w:val="00B51CB1"/>
    <w:rsid w:val="00B531A3"/>
    <w:rsid w:val="00B53F95"/>
    <w:rsid w:val="00B64715"/>
    <w:rsid w:val="00B66327"/>
    <w:rsid w:val="00B73DE1"/>
    <w:rsid w:val="00B76C2C"/>
    <w:rsid w:val="00B76C2F"/>
    <w:rsid w:val="00B85F89"/>
    <w:rsid w:val="00B9218C"/>
    <w:rsid w:val="00B958D3"/>
    <w:rsid w:val="00BB2233"/>
    <w:rsid w:val="00BB6DFD"/>
    <w:rsid w:val="00BB74B3"/>
    <w:rsid w:val="00BC14EC"/>
    <w:rsid w:val="00BC3528"/>
    <w:rsid w:val="00BC67ED"/>
    <w:rsid w:val="00BD2436"/>
    <w:rsid w:val="00BE08CD"/>
    <w:rsid w:val="00BE3A54"/>
    <w:rsid w:val="00BE49B7"/>
    <w:rsid w:val="00BF4936"/>
    <w:rsid w:val="00BF628F"/>
    <w:rsid w:val="00BF68EB"/>
    <w:rsid w:val="00C016FA"/>
    <w:rsid w:val="00C01FA0"/>
    <w:rsid w:val="00C03A82"/>
    <w:rsid w:val="00C042FA"/>
    <w:rsid w:val="00C06907"/>
    <w:rsid w:val="00C11B5E"/>
    <w:rsid w:val="00C1239E"/>
    <w:rsid w:val="00C1632A"/>
    <w:rsid w:val="00C169E8"/>
    <w:rsid w:val="00C26D8D"/>
    <w:rsid w:val="00C310AF"/>
    <w:rsid w:val="00C31389"/>
    <w:rsid w:val="00C315D4"/>
    <w:rsid w:val="00C32267"/>
    <w:rsid w:val="00C35899"/>
    <w:rsid w:val="00C35E6C"/>
    <w:rsid w:val="00C36BE1"/>
    <w:rsid w:val="00C41FB5"/>
    <w:rsid w:val="00C42E28"/>
    <w:rsid w:val="00C43D4B"/>
    <w:rsid w:val="00C528D8"/>
    <w:rsid w:val="00C638FF"/>
    <w:rsid w:val="00C66FFF"/>
    <w:rsid w:val="00C714EA"/>
    <w:rsid w:val="00C73E0C"/>
    <w:rsid w:val="00C74731"/>
    <w:rsid w:val="00C75B97"/>
    <w:rsid w:val="00C76795"/>
    <w:rsid w:val="00CA18C9"/>
    <w:rsid w:val="00CA638A"/>
    <w:rsid w:val="00CB2F28"/>
    <w:rsid w:val="00CB4EDF"/>
    <w:rsid w:val="00CC534E"/>
    <w:rsid w:val="00CC5ACF"/>
    <w:rsid w:val="00CD00DA"/>
    <w:rsid w:val="00CD28C4"/>
    <w:rsid w:val="00CD7427"/>
    <w:rsid w:val="00CF11EF"/>
    <w:rsid w:val="00CF28FF"/>
    <w:rsid w:val="00D0774B"/>
    <w:rsid w:val="00D07F37"/>
    <w:rsid w:val="00D12A02"/>
    <w:rsid w:val="00D147CB"/>
    <w:rsid w:val="00D2541A"/>
    <w:rsid w:val="00D263FB"/>
    <w:rsid w:val="00D264F9"/>
    <w:rsid w:val="00D32C9C"/>
    <w:rsid w:val="00D33402"/>
    <w:rsid w:val="00D35041"/>
    <w:rsid w:val="00D402A3"/>
    <w:rsid w:val="00D448F8"/>
    <w:rsid w:val="00D45F71"/>
    <w:rsid w:val="00D54080"/>
    <w:rsid w:val="00D60493"/>
    <w:rsid w:val="00D62835"/>
    <w:rsid w:val="00D62CF6"/>
    <w:rsid w:val="00D67F94"/>
    <w:rsid w:val="00D7108E"/>
    <w:rsid w:val="00D748B0"/>
    <w:rsid w:val="00D74D10"/>
    <w:rsid w:val="00D75999"/>
    <w:rsid w:val="00D77E82"/>
    <w:rsid w:val="00D8035A"/>
    <w:rsid w:val="00D831C3"/>
    <w:rsid w:val="00D86818"/>
    <w:rsid w:val="00D8721F"/>
    <w:rsid w:val="00D87EE4"/>
    <w:rsid w:val="00D9753A"/>
    <w:rsid w:val="00DB0035"/>
    <w:rsid w:val="00DB3504"/>
    <w:rsid w:val="00DB4ADE"/>
    <w:rsid w:val="00DB7346"/>
    <w:rsid w:val="00DB738A"/>
    <w:rsid w:val="00DB7F88"/>
    <w:rsid w:val="00DC0638"/>
    <w:rsid w:val="00DC0A31"/>
    <w:rsid w:val="00DC0FA6"/>
    <w:rsid w:val="00DD0D41"/>
    <w:rsid w:val="00DD3610"/>
    <w:rsid w:val="00DD4E84"/>
    <w:rsid w:val="00DE1549"/>
    <w:rsid w:val="00DE2936"/>
    <w:rsid w:val="00DE2D33"/>
    <w:rsid w:val="00DE7BDE"/>
    <w:rsid w:val="00DF6E22"/>
    <w:rsid w:val="00E01504"/>
    <w:rsid w:val="00E04131"/>
    <w:rsid w:val="00E06863"/>
    <w:rsid w:val="00E078E4"/>
    <w:rsid w:val="00E117F4"/>
    <w:rsid w:val="00E1326C"/>
    <w:rsid w:val="00E13ACB"/>
    <w:rsid w:val="00E23738"/>
    <w:rsid w:val="00E242CC"/>
    <w:rsid w:val="00E365DC"/>
    <w:rsid w:val="00E420CE"/>
    <w:rsid w:val="00E45224"/>
    <w:rsid w:val="00E45225"/>
    <w:rsid w:val="00E453E8"/>
    <w:rsid w:val="00E469D3"/>
    <w:rsid w:val="00E61606"/>
    <w:rsid w:val="00E6578F"/>
    <w:rsid w:val="00E6644B"/>
    <w:rsid w:val="00E679F7"/>
    <w:rsid w:val="00E70721"/>
    <w:rsid w:val="00E71853"/>
    <w:rsid w:val="00E71F86"/>
    <w:rsid w:val="00E76676"/>
    <w:rsid w:val="00E80022"/>
    <w:rsid w:val="00E86054"/>
    <w:rsid w:val="00E91BC2"/>
    <w:rsid w:val="00E94952"/>
    <w:rsid w:val="00E94C08"/>
    <w:rsid w:val="00E95BCE"/>
    <w:rsid w:val="00EA0E6D"/>
    <w:rsid w:val="00EA1C89"/>
    <w:rsid w:val="00EA76FE"/>
    <w:rsid w:val="00EB04B8"/>
    <w:rsid w:val="00EB0764"/>
    <w:rsid w:val="00EB2567"/>
    <w:rsid w:val="00EB2733"/>
    <w:rsid w:val="00EB6457"/>
    <w:rsid w:val="00EC3668"/>
    <w:rsid w:val="00ED20B0"/>
    <w:rsid w:val="00ED23C2"/>
    <w:rsid w:val="00ED4F76"/>
    <w:rsid w:val="00ED64C0"/>
    <w:rsid w:val="00EE0F99"/>
    <w:rsid w:val="00EF6FDC"/>
    <w:rsid w:val="00F01418"/>
    <w:rsid w:val="00F03FED"/>
    <w:rsid w:val="00F06537"/>
    <w:rsid w:val="00F06EE1"/>
    <w:rsid w:val="00F15483"/>
    <w:rsid w:val="00F1578D"/>
    <w:rsid w:val="00F16A32"/>
    <w:rsid w:val="00F314EA"/>
    <w:rsid w:val="00F3264D"/>
    <w:rsid w:val="00F328FD"/>
    <w:rsid w:val="00F36CC0"/>
    <w:rsid w:val="00F41BAE"/>
    <w:rsid w:val="00F47A72"/>
    <w:rsid w:val="00F506D7"/>
    <w:rsid w:val="00F56FC1"/>
    <w:rsid w:val="00F57D43"/>
    <w:rsid w:val="00F57F2D"/>
    <w:rsid w:val="00F6073D"/>
    <w:rsid w:val="00F610F5"/>
    <w:rsid w:val="00F65A4F"/>
    <w:rsid w:val="00F7271A"/>
    <w:rsid w:val="00F74E32"/>
    <w:rsid w:val="00F76DFF"/>
    <w:rsid w:val="00F771D3"/>
    <w:rsid w:val="00F875A5"/>
    <w:rsid w:val="00F93065"/>
    <w:rsid w:val="00F930EF"/>
    <w:rsid w:val="00FA02A8"/>
    <w:rsid w:val="00FA07E8"/>
    <w:rsid w:val="00FA2E9C"/>
    <w:rsid w:val="00FA332B"/>
    <w:rsid w:val="00FA456E"/>
    <w:rsid w:val="00FA4586"/>
    <w:rsid w:val="00FB1F3C"/>
    <w:rsid w:val="00FB6753"/>
    <w:rsid w:val="00FB7C7A"/>
    <w:rsid w:val="00FC05E5"/>
    <w:rsid w:val="00FC09CC"/>
    <w:rsid w:val="00FC1A55"/>
    <w:rsid w:val="00FD044B"/>
    <w:rsid w:val="00FD15DB"/>
    <w:rsid w:val="00FD5354"/>
    <w:rsid w:val="00FD5FAC"/>
    <w:rsid w:val="00FD6E0F"/>
    <w:rsid w:val="00FD7FFC"/>
    <w:rsid w:val="00FF2150"/>
    <w:rsid w:val="00FF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23475"/>
  <w15:chartTrackingRefBased/>
  <w15:docId w15:val="{724DB44C-808A-4572-884E-BDDA9C37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18C"/>
    <w:pPr>
      <w:bidi/>
      <w:jc w:val="both"/>
    </w:pPr>
    <w:rPr>
      <w:rFonts w:ascii="Sakkal Majalla" w:hAnsi="Sakkal Majalla" w:cs="Sakkal Majalla"/>
      <w:sz w:val="28"/>
      <w:szCs w:val="28"/>
    </w:rPr>
  </w:style>
  <w:style w:type="paragraph" w:styleId="Heading1">
    <w:name w:val="heading 1"/>
    <w:basedOn w:val="Normal"/>
    <w:next w:val="Normal"/>
    <w:link w:val="Heading1Char"/>
    <w:qFormat/>
    <w:rsid w:val="00C12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12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728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8CF"/>
  </w:style>
  <w:style w:type="paragraph" w:styleId="Footer">
    <w:name w:val="footer"/>
    <w:basedOn w:val="Normal"/>
    <w:link w:val="FooterChar"/>
    <w:uiPriority w:val="99"/>
    <w:unhideWhenUsed/>
    <w:rsid w:val="005C1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8CF"/>
  </w:style>
  <w:style w:type="table" w:styleId="TableGrid">
    <w:name w:val="Table Grid"/>
    <w:basedOn w:val="TableNormal"/>
    <w:uiPriority w:val="39"/>
    <w:rsid w:val="005C18C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15EE7"/>
    <w:rPr>
      <w:color w:val="808080"/>
    </w:rPr>
  </w:style>
  <w:style w:type="paragraph" w:styleId="ListParagraph">
    <w:name w:val="List Paragraph"/>
    <w:basedOn w:val="Normal"/>
    <w:link w:val="ListParagraphChar"/>
    <w:uiPriority w:val="34"/>
    <w:qFormat/>
    <w:rsid w:val="005875DA"/>
    <w:pPr>
      <w:ind w:left="720"/>
      <w:contextualSpacing/>
    </w:pPr>
  </w:style>
  <w:style w:type="character" w:customStyle="1" w:styleId="Heading1Char">
    <w:name w:val="Heading 1 Char"/>
    <w:basedOn w:val="DefaultParagraphFont"/>
    <w:link w:val="Heading1"/>
    <w:rsid w:val="00C1239E"/>
    <w:rPr>
      <w:rFonts w:asciiTheme="majorHAnsi" w:eastAsiaTheme="majorEastAsia" w:hAnsiTheme="majorHAnsi" w:cstheme="majorBidi"/>
      <w:color w:val="2F5496" w:themeColor="accent1" w:themeShade="BF"/>
      <w:sz w:val="32"/>
      <w:szCs w:val="32"/>
    </w:rPr>
  </w:style>
  <w:style w:type="table" w:customStyle="1" w:styleId="GridTable4-Accent31">
    <w:name w:val="Grid Table 4 - Accent 31"/>
    <w:basedOn w:val="TableNormal"/>
    <w:uiPriority w:val="49"/>
    <w:rsid w:val="00C123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C1239E"/>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locked/>
    <w:rsid w:val="00C1239E"/>
    <w:rPr>
      <w:rFonts w:ascii="Sakkal Majalla" w:hAnsi="Sakkal Majalla" w:cs="Sakkal Majalla"/>
      <w:sz w:val="28"/>
      <w:szCs w:val="28"/>
    </w:rPr>
  </w:style>
  <w:style w:type="table" w:customStyle="1" w:styleId="ListTable4-Accent61">
    <w:name w:val="List Table 4 - Accent 61"/>
    <w:basedOn w:val="TableNormal"/>
    <w:uiPriority w:val="49"/>
    <w:rsid w:val="001851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A944E9"/>
    <w:rPr>
      <w:sz w:val="16"/>
      <w:szCs w:val="16"/>
    </w:rPr>
  </w:style>
  <w:style w:type="paragraph" w:styleId="CommentText">
    <w:name w:val="annotation text"/>
    <w:basedOn w:val="Normal"/>
    <w:link w:val="CommentTextChar"/>
    <w:uiPriority w:val="99"/>
    <w:semiHidden/>
    <w:unhideWhenUsed/>
    <w:rsid w:val="00A944E9"/>
    <w:pPr>
      <w:spacing w:line="240" w:lineRule="auto"/>
    </w:pPr>
    <w:rPr>
      <w:sz w:val="20"/>
      <w:szCs w:val="20"/>
    </w:rPr>
  </w:style>
  <w:style w:type="character" w:customStyle="1" w:styleId="CommentTextChar">
    <w:name w:val="Comment Text Char"/>
    <w:basedOn w:val="DefaultParagraphFont"/>
    <w:link w:val="CommentText"/>
    <w:uiPriority w:val="99"/>
    <w:semiHidden/>
    <w:rsid w:val="00A944E9"/>
    <w:rPr>
      <w:rFonts w:ascii="Sakkal Majalla" w:hAnsi="Sakkal Majalla" w:cs="Sakkal Majalla"/>
      <w:sz w:val="20"/>
      <w:szCs w:val="20"/>
    </w:rPr>
  </w:style>
  <w:style w:type="paragraph" w:styleId="CommentSubject">
    <w:name w:val="annotation subject"/>
    <w:basedOn w:val="CommentText"/>
    <w:next w:val="CommentText"/>
    <w:link w:val="CommentSubjectChar"/>
    <w:uiPriority w:val="99"/>
    <w:semiHidden/>
    <w:unhideWhenUsed/>
    <w:rsid w:val="00A944E9"/>
    <w:rPr>
      <w:b/>
      <w:bCs/>
    </w:rPr>
  </w:style>
  <w:style w:type="character" w:customStyle="1" w:styleId="CommentSubjectChar">
    <w:name w:val="Comment Subject Char"/>
    <w:basedOn w:val="CommentTextChar"/>
    <w:link w:val="CommentSubject"/>
    <w:uiPriority w:val="99"/>
    <w:semiHidden/>
    <w:rsid w:val="00A944E9"/>
    <w:rPr>
      <w:rFonts w:ascii="Sakkal Majalla" w:hAnsi="Sakkal Majalla" w:cs="Sakkal Majalla"/>
      <w:b/>
      <w:bCs/>
      <w:sz w:val="20"/>
      <w:szCs w:val="20"/>
    </w:rPr>
  </w:style>
  <w:style w:type="paragraph" w:styleId="BalloonText">
    <w:name w:val="Balloon Text"/>
    <w:basedOn w:val="Normal"/>
    <w:link w:val="BalloonTextChar"/>
    <w:uiPriority w:val="99"/>
    <w:semiHidden/>
    <w:unhideWhenUsed/>
    <w:rsid w:val="00A944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4E9"/>
    <w:rPr>
      <w:rFonts w:ascii="Segoe UI" w:hAnsi="Segoe UI" w:cs="Segoe UI"/>
      <w:sz w:val="18"/>
      <w:szCs w:val="18"/>
    </w:rPr>
  </w:style>
  <w:style w:type="table" w:styleId="GridTable5Dark-Accent1">
    <w:name w:val="Grid Table 5 Dark Accent 1"/>
    <w:basedOn w:val="TableNormal"/>
    <w:uiPriority w:val="50"/>
    <w:rsid w:val="00881E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shd w:val="clear" w:color="auto" w:fill="385623" w:themeFill="accent6" w:themeFillShade="80"/>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shd w:val="clear" w:color="auto" w:fill="385623" w:themeFill="accent6" w:themeFillShade="80"/>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table" w:styleId="GridTable1Light">
    <w:name w:val="Grid Table 1 Light"/>
    <w:basedOn w:val="TableNormal"/>
    <w:uiPriority w:val="46"/>
    <w:rsid w:val="00881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81EE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385623" w:themeFill="accent6" w:themeFillShade="80"/>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paragraph" w:styleId="NoSpacing">
    <w:name w:val="No Spacing"/>
    <w:uiPriority w:val="1"/>
    <w:qFormat/>
    <w:rsid w:val="00F03FED"/>
    <w:pPr>
      <w:spacing w:after="0" w:line="240" w:lineRule="auto"/>
    </w:pPr>
    <w:rPr>
      <w:rFonts w:ascii="Times New Roman" w:eastAsia="Times New Roman" w:hAnsi="Times New Roman" w:cs="Times New Roman"/>
      <w:sz w:val="24"/>
      <w:szCs w:val="24"/>
    </w:rPr>
  </w:style>
  <w:style w:type="paragraph" w:customStyle="1" w:styleId="Default">
    <w:name w:val="Default"/>
    <w:rsid w:val="00F03FED"/>
    <w:pPr>
      <w:autoSpaceDE w:val="0"/>
      <w:autoSpaceDN w:val="0"/>
      <w:adjustRightInd w:val="0"/>
      <w:spacing w:after="0" w:line="240" w:lineRule="auto"/>
    </w:pPr>
    <w:rPr>
      <w:rFonts w:ascii="Georgia" w:hAnsi="Georgia" w:cs="Georgia"/>
      <w:color w:val="000000"/>
      <w:sz w:val="24"/>
      <w:szCs w:val="24"/>
    </w:rPr>
  </w:style>
  <w:style w:type="paragraph" w:customStyle="1" w:styleId="dshmm">
    <w:name w:val="dshmm"/>
    <w:basedOn w:val="Normal"/>
    <w:rsid w:val="0025115B"/>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tfg0">
    <w:name w:val="mtfg0"/>
    <w:basedOn w:val="DefaultParagraphFont"/>
    <w:rsid w:val="0025115B"/>
  </w:style>
  <w:style w:type="paragraph" w:customStyle="1" w:styleId="PTableBody">
    <w:name w:val="P_Table_Body"/>
    <w:basedOn w:val="Normal"/>
    <w:rsid w:val="00444983"/>
    <w:pPr>
      <w:bidi w:val="0"/>
      <w:spacing w:before="60" w:after="60" w:line="240" w:lineRule="auto"/>
      <w:jc w:val="left"/>
    </w:pPr>
    <w:rPr>
      <w:rFonts w:ascii="Verdana" w:eastAsia="Times New Roman" w:hAnsi="Verdana" w:cs="Times New Roman"/>
      <w:sz w:val="20"/>
      <w:szCs w:val="20"/>
    </w:rPr>
  </w:style>
  <w:style w:type="character" w:customStyle="1" w:styleId="Heading3Char">
    <w:name w:val="Heading 3 Char"/>
    <w:basedOn w:val="DefaultParagraphFont"/>
    <w:link w:val="Heading3"/>
    <w:uiPriority w:val="9"/>
    <w:semiHidden/>
    <w:rsid w:val="00A7284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72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523">
      <w:bodyDiv w:val="1"/>
      <w:marLeft w:val="0"/>
      <w:marRight w:val="0"/>
      <w:marTop w:val="0"/>
      <w:marBottom w:val="0"/>
      <w:divBdr>
        <w:top w:val="none" w:sz="0" w:space="0" w:color="auto"/>
        <w:left w:val="none" w:sz="0" w:space="0" w:color="auto"/>
        <w:bottom w:val="none" w:sz="0" w:space="0" w:color="auto"/>
        <w:right w:val="none" w:sz="0" w:space="0" w:color="auto"/>
      </w:divBdr>
    </w:div>
    <w:div w:id="34699242">
      <w:bodyDiv w:val="1"/>
      <w:marLeft w:val="0"/>
      <w:marRight w:val="0"/>
      <w:marTop w:val="0"/>
      <w:marBottom w:val="0"/>
      <w:divBdr>
        <w:top w:val="none" w:sz="0" w:space="0" w:color="auto"/>
        <w:left w:val="none" w:sz="0" w:space="0" w:color="auto"/>
        <w:bottom w:val="none" w:sz="0" w:space="0" w:color="auto"/>
        <w:right w:val="none" w:sz="0" w:space="0" w:color="auto"/>
      </w:divBdr>
      <w:divsChild>
        <w:div w:id="1151210294">
          <w:marLeft w:val="0"/>
          <w:marRight w:val="0"/>
          <w:marTop w:val="450"/>
          <w:marBottom w:val="240"/>
          <w:divBdr>
            <w:top w:val="none" w:sz="0" w:space="0" w:color="auto"/>
            <w:left w:val="none" w:sz="0" w:space="0" w:color="auto"/>
            <w:bottom w:val="none" w:sz="0" w:space="0" w:color="auto"/>
            <w:right w:val="none" w:sz="0" w:space="0" w:color="auto"/>
          </w:divBdr>
        </w:div>
        <w:div w:id="612249849">
          <w:marLeft w:val="0"/>
          <w:marRight w:val="0"/>
          <w:marTop w:val="450"/>
          <w:marBottom w:val="240"/>
          <w:divBdr>
            <w:top w:val="none" w:sz="0" w:space="0" w:color="auto"/>
            <w:left w:val="none" w:sz="0" w:space="0" w:color="auto"/>
            <w:bottom w:val="none" w:sz="0" w:space="0" w:color="auto"/>
            <w:right w:val="none" w:sz="0" w:space="0" w:color="auto"/>
          </w:divBdr>
        </w:div>
        <w:div w:id="968826005">
          <w:marLeft w:val="0"/>
          <w:marRight w:val="0"/>
          <w:marTop w:val="450"/>
          <w:marBottom w:val="240"/>
          <w:divBdr>
            <w:top w:val="none" w:sz="0" w:space="0" w:color="auto"/>
            <w:left w:val="none" w:sz="0" w:space="0" w:color="auto"/>
            <w:bottom w:val="none" w:sz="0" w:space="0" w:color="auto"/>
            <w:right w:val="none" w:sz="0" w:space="0" w:color="auto"/>
          </w:divBdr>
        </w:div>
        <w:div w:id="1194030541">
          <w:marLeft w:val="0"/>
          <w:marRight w:val="0"/>
          <w:marTop w:val="450"/>
          <w:marBottom w:val="240"/>
          <w:divBdr>
            <w:top w:val="none" w:sz="0" w:space="0" w:color="auto"/>
            <w:left w:val="none" w:sz="0" w:space="0" w:color="auto"/>
            <w:bottom w:val="none" w:sz="0" w:space="0" w:color="auto"/>
            <w:right w:val="none" w:sz="0" w:space="0" w:color="auto"/>
          </w:divBdr>
        </w:div>
        <w:div w:id="198514198">
          <w:marLeft w:val="0"/>
          <w:marRight w:val="0"/>
          <w:marTop w:val="450"/>
          <w:marBottom w:val="240"/>
          <w:divBdr>
            <w:top w:val="none" w:sz="0" w:space="0" w:color="auto"/>
            <w:left w:val="none" w:sz="0" w:space="0" w:color="auto"/>
            <w:bottom w:val="none" w:sz="0" w:space="0" w:color="auto"/>
            <w:right w:val="none" w:sz="0" w:space="0" w:color="auto"/>
          </w:divBdr>
        </w:div>
        <w:div w:id="178811901">
          <w:marLeft w:val="0"/>
          <w:marRight w:val="0"/>
          <w:marTop w:val="450"/>
          <w:marBottom w:val="240"/>
          <w:divBdr>
            <w:top w:val="none" w:sz="0" w:space="0" w:color="auto"/>
            <w:left w:val="none" w:sz="0" w:space="0" w:color="auto"/>
            <w:bottom w:val="none" w:sz="0" w:space="0" w:color="auto"/>
            <w:right w:val="none" w:sz="0" w:space="0" w:color="auto"/>
          </w:divBdr>
        </w:div>
      </w:divsChild>
    </w:div>
    <w:div w:id="39062355">
      <w:bodyDiv w:val="1"/>
      <w:marLeft w:val="0"/>
      <w:marRight w:val="0"/>
      <w:marTop w:val="0"/>
      <w:marBottom w:val="0"/>
      <w:divBdr>
        <w:top w:val="none" w:sz="0" w:space="0" w:color="auto"/>
        <w:left w:val="none" w:sz="0" w:space="0" w:color="auto"/>
        <w:bottom w:val="none" w:sz="0" w:space="0" w:color="auto"/>
        <w:right w:val="none" w:sz="0" w:space="0" w:color="auto"/>
      </w:divBdr>
    </w:div>
    <w:div w:id="94399525">
      <w:bodyDiv w:val="1"/>
      <w:marLeft w:val="0"/>
      <w:marRight w:val="0"/>
      <w:marTop w:val="0"/>
      <w:marBottom w:val="0"/>
      <w:divBdr>
        <w:top w:val="none" w:sz="0" w:space="0" w:color="auto"/>
        <w:left w:val="none" w:sz="0" w:space="0" w:color="auto"/>
        <w:bottom w:val="none" w:sz="0" w:space="0" w:color="auto"/>
        <w:right w:val="none" w:sz="0" w:space="0" w:color="auto"/>
      </w:divBdr>
    </w:div>
    <w:div w:id="97408950">
      <w:bodyDiv w:val="1"/>
      <w:marLeft w:val="0"/>
      <w:marRight w:val="0"/>
      <w:marTop w:val="0"/>
      <w:marBottom w:val="0"/>
      <w:divBdr>
        <w:top w:val="none" w:sz="0" w:space="0" w:color="auto"/>
        <w:left w:val="none" w:sz="0" w:space="0" w:color="auto"/>
        <w:bottom w:val="none" w:sz="0" w:space="0" w:color="auto"/>
        <w:right w:val="none" w:sz="0" w:space="0" w:color="auto"/>
      </w:divBdr>
    </w:div>
    <w:div w:id="241721868">
      <w:bodyDiv w:val="1"/>
      <w:marLeft w:val="0"/>
      <w:marRight w:val="0"/>
      <w:marTop w:val="0"/>
      <w:marBottom w:val="0"/>
      <w:divBdr>
        <w:top w:val="none" w:sz="0" w:space="0" w:color="auto"/>
        <w:left w:val="none" w:sz="0" w:space="0" w:color="auto"/>
        <w:bottom w:val="none" w:sz="0" w:space="0" w:color="auto"/>
        <w:right w:val="none" w:sz="0" w:space="0" w:color="auto"/>
      </w:divBdr>
    </w:div>
    <w:div w:id="243074320">
      <w:bodyDiv w:val="1"/>
      <w:marLeft w:val="0"/>
      <w:marRight w:val="0"/>
      <w:marTop w:val="0"/>
      <w:marBottom w:val="0"/>
      <w:divBdr>
        <w:top w:val="none" w:sz="0" w:space="0" w:color="auto"/>
        <w:left w:val="none" w:sz="0" w:space="0" w:color="auto"/>
        <w:bottom w:val="none" w:sz="0" w:space="0" w:color="auto"/>
        <w:right w:val="none" w:sz="0" w:space="0" w:color="auto"/>
      </w:divBdr>
    </w:div>
    <w:div w:id="363793469">
      <w:bodyDiv w:val="1"/>
      <w:marLeft w:val="0"/>
      <w:marRight w:val="0"/>
      <w:marTop w:val="0"/>
      <w:marBottom w:val="0"/>
      <w:divBdr>
        <w:top w:val="none" w:sz="0" w:space="0" w:color="auto"/>
        <w:left w:val="none" w:sz="0" w:space="0" w:color="auto"/>
        <w:bottom w:val="none" w:sz="0" w:space="0" w:color="auto"/>
        <w:right w:val="none" w:sz="0" w:space="0" w:color="auto"/>
      </w:divBdr>
    </w:div>
    <w:div w:id="377246733">
      <w:bodyDiv w:val="1"/>
      <w:marLeft w:val="0"/>
      <w:marRight w:val="0"/>
      <w:marTop w:val="0"/>
      <w:marBottom w:val="0"/>
      <w:divBdr>
        <w:top w:val="none" w:sz="0" w:space="0" w:color="auto"/>
        <w:left w:val="none" w:sz="0" w:space="0" w:color="auto"/>
        <w:bottom w:val="none" w:sz="0" w:space="0" w:color="auto"/>
        <w:right w:val="none" w:sz="0" w:space="0" w:color="auto"/>
      </w:divBdr>
    </w:div>
    <w:div w:id="382868334">
      <w:bodyDiv w:val="1"/>
      <w:marLeft w:val="0"/>
      <w:marRight w:val="0"/>
      <w:marTop w:val="0"/>
      <w:marBottom w:val="0"/>
      <w:divBdr>
        <w:top w:val="none" w:sz="0" w:space="0" w:color="auto"/>
        <w:left w:val="none" w:sz="0" w:space="0" w:color="auto"/>
        <w:bottom w:val="none" w:sz="0" w:space="0" w:color="auto"/>
        <w:right w:val="none" w:sz="0" w:space="0" w:color="auto"/>
      </w:divBdr>
    </w:div>
    <w:div w:id="408308175">
      <w:bodyDiv w:val="1"/>
      <w:marLeft w:val="0"/>
      <w:marRight w:val="0"/>
      <w:marTop w:val="0"/>
      <w:marBottom w:val="0"/>
      <w:divBdr>
        <w:top w:val="none" w:sz="0" w:space="0" w:color="auto"/>
        <w:left w:val="none" w:sz="0" w:space="0" w:color="auto"/>
        <w:bottom w:val="none" w:sz="0" w:space="0" w:color="auto"/>
        <w:right w:val="none" w:sz="0" w:space="0" w:color="auto"/>
      </w:divBdr>
    </w:div>
    <w:div w:id="469859961">
      <w:bodyDiv w:val="1"/>
      <w:marLeft w:val="0"/>
      <w:marRight w:val="0"/>
      <w:marTop w:val="0"/>
      <w:marBottom w:val="0"/>
      <w:divBdr>
        <w:top w:val="none" w:sz="0" w:space="0" w:color="auto"/>
        <w:left w:val="none" w:sz="0" w:space="0" w:color="auto"/>
        <w:bottom w:val="none" w:sz="0" w:space="0" w:color="auto"/>
        <w:right w:val="none" w:sz="0" w:space="0" w:color="auto"/>
      </w:divBdr>
    </w:div>
    <w:div w:id="591209859">
      <w:bodyDiv w:val="1"/>
      <w:marLeft w:val="0"/>
      <w:marRight w:val="0"/>
      <w:marTop w:val="0"/>
      <w:marBottom w:val="0"/>
      <w:divBdr>
        <w:top w:val="none" w:sz="0" w:space="0" w:color="auto"/>
        <w:left w:val="none" w:sz="0" w:space="0" w:color="auto"/>
        <w:bottom w:val="none" w:sz="0" w:space="0" w:color="auto"/>
        <w:right w:val="none" w:sz="0" w:space="0" w:color="auto"/>
      </w:divBdr>
    </w:div>
    <w:div w:id="652300489">
      <w:bodyDiv w:val="1"/>
      <w:marLeft w:val="0"/>
      <w:marRight w:val="0"/>
      <w:marTop w:val="0"/>
      <w:marBottom w:val="0"/>
      <w:divBdr>
        <w:top w:val="none" w:sz="0" w:space="0" w:color="auto"/>
        <w:left w:val="none" w:sz="0" w:space="0" w:color="auto"/>
        <w:bottom w:val="none" w:sz="0" w:space="0" w:color="auto"/>
        <w:right w:val="none" w:sz="0" w:space="0" w:color="auto"/>
      </w:divBdr>
    </w:div>
    <w:div w:id="711927129">
      <w:bodyDiv w:val="1"/>
      <w:marLeft w:val="0"/>
      <w:marRight w:val="0"/>
      <w:marTop w:val="0"/>
      <w:marBottom w:val="0"/>
      <w:divBdr>
        <w:top w:val="none" w:sz="0" w:space="0" w:color="auto"/>
        <w:left w:val="none" w:sz="0" w:space="0" w:color="auto"/>
        <w:bottom w:val="none" w:sz="0" w:space="0" w:color="auto"/>
        <w:right w:val="none" w:sz="0" w:space="0" w:color="auto"/>
      </w:divBdr>
    </w:div>
    <w:div w:id="729425181">
      <w:bodyDiv w:val="1"/>
      <w:marLeft w:val="0"/>
      <w:marRight w:val="0"/>
      <w:marTop w:val="0"/>
      <w:marBottom w:val="0"/>
      <w:divBdr>
        <w:top w:val="none" w:sz="0" w:space="0" w:color="auto"/>
        <w:left w:val="none" w:sz="0" w:space="0" w:color="auto"/>
        <w:bottom w:val="none" w:sz="0" w:space="0" w:color="auto"/>
        <w:right w:val="none" w:sz="0" w:space="0" w:color="auto"/>
      </w:divBdr>
    </w:div>
    <w:div w:id="739909426">
      <w:bodyDiv w:val="1"/>
      <w:marLeft w:val="0"/>
      <w:marRight w:val="0"/>
      <w:marTop w:val="0"/>
      <w:marBottom w:val="0"/>
      <w:divBdr>
        <w:top w:val="none" w:sz="0" w:space="0" w:color="auto"/>
        <w:left w:val="none" w:sz="0" w:space="0" w:color="auto"/>
        <w:bottom w:val="none" w:sz="0" w:space="0" w:color="auto"/>
        <w:right w:val="none" w:sz="0" w:space="0" w:color="auto"/>
      </w:divBdr>
    </w:div>
    <w:div w:id="746460353">
      <w:bodyDiv w:val="1"/>
      <w:marLeft w:val="0"/>
      <w:marRight w:val="0"/>
      <w:marTop w:val="0"/>
      <w:marBottom w:val="0"/>
      <w:divBdr>
        <w:top w:val="none" w:sz="0" w:space="0" w:color="auto"/>
        <w:left w:val="none" w:sz="0" w:space="0" w:color="auto"/>
        <w:bottom w:val="none" w:sz="0" w:space="0" w:color="auto"/>
        <w:right w:val="none" w:sz="0" w:space="0" w:color="auto"/>
      </w:divBdr>
    </w:div>
    <w:div w:id="756710851">
      <w:bodyDiv w:val="1"/>
      <w:marLeft w:val="0"/>
      <w:marRight w:val="0"/>
      <w:marTop w:val="0"/>
      <w:marBottom w:val="0"/>
      <w:divBdr>
        <w:top w:val="none" w:sz="0" w:space="0" w:color="auto"/>
        <w:left w:val="none" w:sz="0" w:space="0" w:color="auto"/>
        <w:bottom w:val="none" w:sz="0" w:space="0" w:color="auto"/>
        <w:right w:val="none" w:sz="0" w:space="0" w:color="auto"/>
      </w:divBdr>
    </w:div>
    <w:div w:id="927615934">
      <w:bodyDiv w:val="1"/>
      <w:marLeft w:val="0"/>
      <w:marRight w:val="0"/>
      <w:marTop w:val="0"/>
      <w:marBottom w:val="0"/>
      <w:divBdr>
        <w:top w:val="none" w:sz="0" w:space="0" w:color="auto"/>
        <w:left w:val="none" w:sz="0" w:space="0" w:color="auto"/>
        <w:bottom w:val="none" w:sz="0" w:space="0" w:color="auto"/>
        <w:right w:val="none" w:sz="0" w:space="0" w:color="auto"/>
      </w:divBdr>
    </w:div>
    <w:div w:id="957679898">
      <w:bodyDiv w:val="1"/>
      <w:marLeft w:val="0"/>
      <w:marRight w:val="0"/>
      <w:marTop w:val="0"/>
      <w:marBottom w:val="0"/>
      <w:divBdr>
        <w:top w:val="none" w:sz="0" w:space="0" w:color="auto"/>
        <w:left w:val="none" w:sz="0" w:space="0" w:color="auto"/>
        <w:bottom w:val="none" w:sz="0" w:space="0" w:color="auto"/>
        <w:right w:val="none" w:sz="0" w:space="0" w:color="auto"/>
      </w:divBdr>
    </w:div>
    <w:div w:id="964850339">
      <w:bodyDiv w:val="1"/>
      <w:marLeft w:val="0"/>
      <w:marRight w:val="0"/>
      <w:marTop w:val="0"/>
      <w:marBottom w:val="0"/>
      <w:divBdr>
        <w:top w:val="none" w:sz="0" w:space="0" w:color="auto"/>
        <w:left w:val="none" w:sz="0" w:space="0" w:color="auto"/>
        <w:bottom w:val="none" w:sz="0" w:space="0" w:color="auto"/>
        <w:right w:val="none" w:sz="0" w:space="0" w:color="auto"/>
      </w:divBdr>
    </w:div>
    <w:div w:id="1057245707">
      <w:bodyDiv w:val="1"/>
      <w:marLeft w:val="0"/>
      <w:marRight w:val="0"/>
      <w:marTop w:val="0"/>
      <w:marBottom w:val="0"/>
      <w:divBdr>
        <w:top w:val="none" w:sz="0" w:space="0" w:color="auto"/>
        <w:left w:val="none" w:sz="0" w:space="0" w:color="auto"/>
        <w:bottom w:val="none" w:sz="0" w:space="0" w:color="auto"/>
        <w:right w:val="none" w:sz="0" w:space="0" w:color="auto"/>
      </w:divBdr>
      <w:divsChild>
        <w:div w:id="78721099">
          <w:marLeft w:val="0"/>
          <w:marRight w:val="0"/>
          <w:marTop w:val="450"/>
          <w:marBottom w:val="240"/>
          <w:divBdr>
            <w:top w:val="none" w:sz="0" w:space="0" w:color="auto"/>
            <w:left w:val="none" w:sz="0" w:space="0" w:color="auto"/>
            <w:bottom w:val="none" w:sz="0" w:space="0" w:color="auto"/>
            <w:right w:val="none" w:sz="0" w:space="0" w:color="auto"/>
          </w:divBdr>
        </w:div>
        <w:div w:id="1761102481">
          <w:marLeft w:val="0"/>
          <w:marRight w:val="0"/>
          <w:marTop w:val="450"/>
          <w:marBottom w:val="240"/>
          <w:divBdr>
            <w:top w:val="none" w:sz="0" w:space="0" w:color="auto"/>
            <w:left w:val="none" w:sz="0" w:space="0" w:color="auto"/>
            <w:bottom w:val="none" w:sz="0" w:space="0" w:color="auto"/>
            <w:right w:val="none" w:sz="0" w:space="0" w:color="auto"/>
          </w:divBdr>
        </w:div>
        <w:div w:id="1605260693">
          <w:marLeft w:val="0"/>
          <w:marRight w:val="0"/>
          <w:marTop w:val="450"/>
          <w:marBottom w:val="240"/>
          <w:divBdr>
            <w:top w:val="none" w:sz="0" w:space="0" w:color="auto"/>
            <w:left w:val="none" w:sz="0" w:space="0" w:color="auto"/>
            <w:bottom w:val="none" w:sz="0" w:space="0" w:color="auto"/>
            <w:right w:val="none" w:sz="0" w:space="0" w:color="auto"/>
          </w:divBdr>
        </w:div>
        <w:div w:id="1031418286">
          <w:marLeft w:val="0"/>
          <w:marRight w:val="0"/>
          <w:marTop w:val="450"/>
          <w:marBottom w:val="240"/>
          <w:divBdr>
            <w:top w:val="none" w:sz="0" w:space="0" w:color="auto"/>
            <w:left w:val="none" w:sz="0" w:space="0" w:color="auto"/>
            <w:bottom w:val="none" w:sz="0" w:space="0" w:color="auto"/>
            <w:right w:val="none" w:sz="0" w:space="0" w:color="auto"/>
          </w:divBdr>
        </w:div>
        <w:div w:id="346906101">
          <w:marLeft w:val="0"/>
          <w:marRight w:val="0"/>
          <w:marTop w:val="450"/>
          <w:marBottom w:val="240"/>
          <w:divBdr>
            <w:top w:val="none" w:sz="0" w:space="0" w:color="auto"/>
            <w:left w:val="none" w:sz="0" w:space="0" w:color="auto"/>
            <w:bottom w:val="none" w:sz="0" w:space="0" w:color="auto"/>
            <w:right w:val="none" w:sz="0" w:space="0" w:color="auto"/>
          </w:divBdr>
        </w:div>
        <w:div w:id="1967152406">
          <w:marLeft w:val="0"/>
          <w:marRight w:val="0"/>
          <w:marTop w:val="450"/>
          <w:marBottom w:val="240"/>
          <w:divBdr>
            <w:top w:val="none" w:sz="0" w:space="0" w:color="auto"/>
            <w:left w:val="none" w:sz="0" w:space="0" w:color="auto"/>
            <w:bottom w:val="none" w:sz="0" w:space="0" w:color="auto"/>
            <w:right w:val="none" w:sz="0" w:space="0" w:color="auto"/>
          </w:divBdr>
        </w:div>
      </w:divsChild>
    </w:div>
    <w:div w:id="1062676077">
      <w:bodyDiv w:val="1"/>
      <w:marLeft w:val="0"/>
      <w:marRight w:val="0"/>
      <w:marTop w:val="0"/>
      <w:marBottom w:val="0"/>
      <w:divBdr>
        <w:top w:val="none" w:sz="0" w:space="0" w:color="auto"/>
        <w:left w:val="none" w:sz="0" w:space="0" w:color="auto"/>
        <w:bottom w:val="none" w:sz="0" w:space="0" w:color="auto"/>
        <w:right w:val="none" w:sz="0" w:space="0" w:color="auto"/>
      </w:divBdr>
    </w:div>
    <w:div w:id="1290475313">
      <w:bodyDiv w:val="1"/>
      <w:marLeft w:val="0"/>
      <w:marRight w:val="0"/>
      <w:marTop w:val="0"/>
      <w:marBottom w:val="0"/>
      <w:divBdr>
        <w:top w:val="none" w:sz="0" w:space="0" w:color="auto"/>
        <w:left w:val="none" w:sz="0" w:space="0" w:color="auto"/>
        <w:bottom w:val="none" w:sz="0" w:space="0" w:color="auto"/>
        <w:right w:val="none" w:sz="0" w:space="0" w:color="auto"/>
      </w:divBdr>
    </w:div>
    <w:div w:id="1315837294">
      <w:bodyDiv w:val="1"/>
      <w:marLeft w:val="0"/>
      <w:marRight w:val="0"/>
      <w:marTop w:val="0"/>
      <w:marBottom w:val="0"/>
      <w:divBdr>
        <w:top w:val="none" w:sz="0" w:space="0" w:color="auto"/>
        <w:left w:val="none" w:sz="0" w:space="0" w:color="auto"/>
        <w:bottom w:val="none" w:sz="0" w:space="0" w:color="auto"/>
        <w:right w:val="none" w:sz="0" w:space="0" w:color="auto"/>
      </w:divBdr>
    </w:div>
    <w:div w:id="1329796271">
      <w:bodyDiv w:val="1"/>
      <w:marLeft w:val="0"/>
      <w:marRight w:val="0"/>
      <w:marTop w:val="0"/>
      <w:marBottom w:val="0"/>
      <w:divBdr>
        <w:top w:val="none" w:sz="0" w:space="0" w:color="auto"/>
        <w:left w:val="none" w:sz="0" w:space="0" w:color="auto"/>
        <w:bottom w:val="none" w:sz="0" w:space="0" w:color="auto"/>
        <w:right w:val="none" w:sz="0" w:space="0" w:color="auto"/>
      </w:divBdr>
    </w:div>
    <w:div w:id="1348172169">
      <w:bodyDiv w:val="1"/>
      <w:marLeft w:val="0"/>
      <w:marRight w:val="0"/>
      <w:marTop w:val="0"/>
      <w:marBottom w:val="0"/>
      <w:divBdr>
        <w:top w:val="none" w:sz="0" w:space="0" w:color="auto"/>
        <w:left w:val="none" w:sz="0" w:space="0" w:color="auto"/>
        <w:bottom w:val="none" w:sz="0" w:space="0" w:color="auto"/>
        <w:right w:val="none" w:sz="0" w:space="0" w:color="auto"/>
      </w:divBdr>
    </w:div>
    <w:div w:id="1432310404">
      <w:bodyDiv w:val="1"/>
      <w:marLeft w:val="0"/>
      <w:marRight w:val="0"/>
      <w:marTop w:val="0"/>
      <w:marBottom w:val="0"/>
      <w:divBdr>
        <w:top w:val="none" w:sz="0" w:space="0" w:color="auto"/>
        <w:left w:val="none" w:sz="0" w:space="0" w:color="auto"/>
        <w:bottom w:val="none" w:sz="0" w:space="0" w:color="auto"/>
        <w:right w:val="none" w:sz="0" w:space="0" w:color="auto"/>
      </w:divBdr>
    </w:div>
    <w:div w:id="1488128699">
      <w:bodyDiv w:val="1"/>
      <w:marLeft w:val="0"/>
      <w:marRight w:val="0"/>
      <w:marTop w:val="0"/>
      <w:marBottom w:val="0"/>
      <w:divBdr>
        <w:top w:val="none" w:sz="0" w:space="0" w:color="auto"/>
        <w:left w:val="none" w:sz="0" w:space="0" w:color="auto"/>
        <w:bottom w:val="none" w:sz="0" w:space="0" w:color="auto"/>
        <w:right w:val="none" w:sz="0" w:space="0" w:color="auto"/>
      </w:divBdr>
    </w:div>
    <w:div w:id="1537549319">
      <w:bodyDiv w:val="1"/>
      <w:marLeft w:val="0"/>
      <w:marRight w:val="0"/>
      <w:marTop w:val="0"/>
      <w:marBottom w:val="0"/>
      <w:divBdr>
        <w:top w:val="none" w:sz="0" w:space="0" w:color="auto"/>
        <w:left w:val="none" w:sz="0" w:space="0" w:color="auto"/>
        <w:bottom w:val="none" w:sz="0" w:space="0" w:color="auto"/>
        <w:right w:val="none" w:sz="0" w:space="0" w:color="auto"/>
      </w:divBdr>
      <w:divsChild>
        <w:div w:id="1941642611">
          <w:marLeft w:val="0"/>
          <w:marRight w:val="547"/>
          <w:marTop w:val="0"/>
          <w:marBottom w:val="0"/>
          <w:divBdr>
            <w:top w:val="none" w:sz="0" w:space="0" w:color="auto"/>
            <w:left w:val="none" w:sz="0" w:space="0" w:color="auto"/>
            <w:bottom w:val="none" w:sz="0" w:space="0" w:color="auto"/>
            <w:right w:val="none" w:sz="0" w:space="0" w:color="auto"/>
          </w:divBdr>
        </w:div>
        <w:div w:id="1875651614">
          <w:marLeft w:val="0"/>
          <w:marRight w:val="547"/>
          <w:marTop w:val="0"/>
          <w:marBottom w:val="0"/>
          <w:divBdr>
            <w:top w:val="none" w:sz="0" w:space="0" w:color="auto"/>
            <w:left w:val="none" w:sz="0" w:space="0" w:color="auto"/>
            <w:bottom w:val="none" w:sz="0" w:space="0" w:color="auto"/>
            <w:right w:val="none" w:sz="0" w:space="0" w:color="auto"/>
          </w:divBdr>
        </w:div>
        <w:div w:id="1980065004">
          <w:marLeft w:val="0"/>
          <w:marRight w:val="547"/>
          <w:marTop w:val="0"/>
          <w:marBottom w:val="0"/>
          <w:divBdr>
            <w:top w:val="none" w:sz="0" w:space="0" w:color="auto"/>
            <w:left w:val="none" w:sz="0" w:space="0" w:color="auto"/>
            <w:bottom w:val="none" w:sz="0" w:space="0" w:color="auto"/>
            <w:right w:val="none" w:sz="0" w:space="0" w:color="auto"/>
          </w:divBdr>
        </w:div>
      </w:divsChild>
    </w:div>
    <w:div w:id="1626153040">
      <w:bodyDiv w:val="1"/>
      <w:marLeft w:val="0"/>
      <w:marRight w:val="0"/>
      <w:marTop w:val="0"/>
      <w:marBottom w:val="0"/>
      <w:divBdr>
        <w:top w:val="none" w:sz="0" w:space="0" w:color="auto"/>
        <w:left w:val="none" w:sz="0" w:space="0" w:color="auto"/>
        <w:bottom w:val="none" w:sz="0" w:space="0" w:color="auto"/>
        <w:right w:val="none" w:sz="0" w:space="0" w:color="auto"/>
      </w:divBdr>
    </w:div>
    <w:div w:id="1662000192">
      <w:bodyDiv w:val="1"/>
      <w:marLeft w:val="0"/>
      <w:marRight w:val="0"/>
      <w:marTop w:val="0"/>
      <w:marBottom w:val="0"/>
      <w:divBdr>
        <w:top w:val="none" w:sz="0" w:space="0" w:color="auto"/>
        <w:left w:val="none" w:sz="0" w:space="0" w:color="auto"/>
        <w:bottom w:val="none" w:sz="0" w:space="0" w:color="auto"/>
        <w:right w:val="none" w:sz="0" w:space="0" w:color="auto"/>
      </w:divBdr>
    </w:div>
    <w:div w:id="1662152516">
      <w:bodyDiv w:val="1"/>
      <w:marLeft w:val="0"/>
      <w:marRight w:val="0"/>
      <w:marTop w:val="0"/>
      <w:marBottom w:val="0"/>
      <w:divBdr>
        <w:top w:val="none" w:sz="0" w:space="0" w:color="auto"/>
        <w:left w:val="none" w:sz="0" w:space="0" w:color="auto"/>
        <w:bottom w:val="none" w:sz="0" w:space="0" w:color="auto"/>
        <w:right w:val="none" w:sz="0" w:space="0" w:color="auto"/>
      </w:divBdr>
    </w:div>
    <w:div w:id="1708993124">
      <w:bodyDiv w:val="1"/>
      <w:marLeft w:val="0"/>
      <w:marRight w:val="0"/>
      <w:marTop w:val="0"/>
      <w:marBottom w:val="0"/>
      <w:divBdr>
        <w:top w:val="none" w:sz="0" w:space="0" w:color="auto"/>
        <w:left w:val="none" w:sz="0" w:space="0" w:color="auto"/>
        <w:bottom w:val="none" w:sz="0" w:space="0" w:color="auto"/>
        <w:right w:val="none" w:sz="0" w:space="0" w:color="auto"/>
      </w:divBdr>
    </w:div>
    <w:div w:id="1755054324">
      <w:bodyDiv w:val="1"/>
      <w:marLeft w:val="0"/>
      <w:marRight w:val="0"/>
      <w:marTop w:val="0"/>
      <w:marBottom w:val="0"/>
      <w:divBdr>
        <w:top w:val="none" w:sz="0" w:space="0" w:color="auto"/>
        <w:left w:val="none" w:sz="0" w:space="0" w:color="auto"/>
        <w:bottom w:val="none" w:sz="0" w:space="0" w:color="auto"/>
        <w:right w:val="none" w:sz="0" w:space="0" w:color="auto"/>
      </w:divBdr>
    </w:div>
    <w:div w:id="1825704536">
      <w:bodyDiv w:val="1"/>
      <w:marLeft w:val="0"/>
      <w:marRight w:val="0"/>
      <w:marTop w:val="0"/>
      <w:marBottom w:val="0"/>
      <w:divBdr>
        <w:top w:val="none" w:sz="0" w:space="0" w:color="auto"/>
        <w:left w:val="none" w:sz="0" w:space="0" w:color="auto"/>
        <w:bottom w:val="none" w:sz="0" w:space="0" w:color="auto"/>
        <w:right w:val="none" w:sz="0" w:space="0" w:color="auto"/>
      </w:divBdr>
    </w:div>
    <w:div w:id="1825854599">
      <w:bodyDiv w:val="1"/>
      <w:marLeft w:val="0"/>
      <w:marRight w:val="0"/>
      <w:marTop w:val="0"/>
      <w:marBottom w:val="0"/>
      <w:divBdr>
        <w:top w:val="none" w:sz="0" w:space="0" w:color="auto"/>
        <w:left w:val="none" w:sz="0" w:space="0" w:color="auto"/>
        <w:bottom w:val="none" w:sz="0" w:space="0" w:color="auto"/>
        <w:right w:val="none" w:sz="0" w:space="0" w:color="auto"/>
      </w:divBdr>
    </w:div>
    <w:div w:id="1963219375">
      <w:bodyDiv w:val="1"/>
      <w:marLeft w:val="0"/>
      <w:marRight w:val="0"/>
      <w:marTop w:val="0"/>
      <w:marBottom w:val="0"/>
      <w:divBdr>
        <w:top w:val="none" w:sz="0" w:space="0" w:color="auto"/>
        <w:left w:val="none" w:sz="0" w:space="0" w:color="auto"/>
        <w:bottom w:val="none" w:sz="0" w:space="0" w:color="auto"/>
        <w:right w:val="none" w:sz="0" w:space="0" w:color="auto"/>
      </w:divBdr>
    </w:div>
    <w:div w:id="202906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eader" Target="header9.xml"/><Relationship Id="rId25"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B1042-E0FD-4B23-97D9-D3FFC3638C76}">
  <ds:schemaRefs>
    <ds:schemaRef ds:uri="http://schemas.openxmlformats.org/officeDocument/2006/bibliography"/>
  </ds:schemaRefs>
</ds:datastoreItem>
</file>

<file path=docMetadata/LabelInfo.xml><?xml version="1.0" encoding="utf-8"?>
<clbl:labelList xmlns:clbl="http://schemas.microsoft.com/office/2020/mipLabelMetadata">
  <clbl:label id="{05683c35-8b4d-42c5-8a13-244f82b15c51}" enabled="1" method="Privileged" siteId="{fa479a78-b8fe-4c33-ab42-59200c40eaa8}" removed="0"/>
</clbl:labelList>
</file>

<file path=docProps/app.xml><?xml version="1.0" encoding="utf-8"?>
<Properties xmlns="http://schemas.openxmlformats.org/officeDocument/2006/extended-properties" xmlns:vt="http://schemas.openxmlformats.org/officeDocument/2006/docPropsVTypes">
  <Template>Normal.dotm</Template>
  <TotalTime>351</TotalTime>
  <Pages>56</Pages>
  <Words>13740</Words>
  <Characters>78323</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Mohammed Al khnain</dc:creator>
  <cp:keywords/>
  <dc:description/>
  <cp:lastModifiedBy>Mohaned Zagali</cp:lastModifiedBy>
  <cp:revision>27</cp:revision>
  <dcterms:created xsi:type="dcterms:W3CDTF">2025-10-21T10:36:00Z</dcterms:created>
  <dcterms:modified xsi:type="dcterms:W3CDTF">2026-09-04T09:59:00Z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0x0101003EB3C623DE1BBE41AD2D2A4404412157</vt:lpwstr>
  </property>
  <property fmtid="{D5CDD505-2E9C-101B-9397-08002B2CF9AE}" pid="3" name="ClassificationContentMarkingHeaderShapeIds">
    <vt:lpwstr>3af99cde,380535da,e87f95f</vt:lpwstr>
  </property>
  <property fmtid="{D5CDD505-2E9C-101B-9397-08002B2CF9AE}" pid="4" name="ClassificationContentMarkingHeaderFontProps">
    <vt:lpwstr>#008000,11,Calibri</vt:lpwstr>
  </property>
  <property fmtid="{D5CDD505-2E9C-101B-9397-08002B2CF9AE}" pid="5" name="ClassificationContentMarkingHeaderText">
    <vt:lpwstr>Public – عام</vt:lpwstr>
  </property>
</Properties>
</file>