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DEMANDA PARA TÉCNICOS</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sz w:val="24"/>
          <w:szCs w:val="24"/>
        </w:rPr>
      </w:pPr>
      <w:sdt>
        <w:sdtPr>
          <w:id w:val="1281915485"/>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7.1. MÉTODO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objetivo de buscar indícios de escassez de força de trabalho especializada, Nascimento (2011) utiliza dados do Caged e da Rais para verificar o comportamento mensal do mercado formal de trabalho para ocupações técnico-científicas. O autor se vale dos diferenciais salariais entre admitidos e desligados e da evolução das taxas de rotatividade como indicadores de escassez. Esse método foi replicado, com a mesma finalidade, por Sousa e Nascimento (2012), por Nascimento (2012) e por Lopes (2013)</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sz w:val="24"/>
          <w:szCs w:val="24"/>
        </w:rPr>
      </w:pPr>
      <w:bookmarkStart w:colFirst="0" w:colLast="0" w:name="_heading=h.2mgncgmkn0wx" w:id="0"/>
      <w:bookmarkEnd w:id="0"/>
      <w:r w:rsidDel="00000000" w:rsidR="00000000" w:rsidRPr="00000000">
        <w:rPr>
          <w:rFonts w:ascii="Times New Roman" w:cs="Times New Roman" w:eastAsia="Times New Roman" w:hAnsi="Times New Roman"/>
          <w:sz w:val="24"/>
          <w:szCs w:val="24"/>
          <w:rtl w:val="0"/>
        </w:rPr>
        <w:t xml:space="preserve">Adaptações no método podem, além de aprimorá-lo como ferramenta de identificação de focos de escassez de trabalho especializado, torná-lo útil à tomada de decisões relativas ao Propag. Tendo esse objetivo como bússola, organizamos indicadores, a partir de dados de emprego formal, para </w:t>
      </w:r>
      <w:r w:rsidDel="00000000" w:rsidR="00000000" w:rsidRPr="00000000">
        <w:rPr>
          <w:rFonts w:ascii="Times New Roman" w:cs="Times New Roman" w:eastAsia="Times New Roman" w:hAnsi="Times New Roman"/>
          <w:b w:val="0"/>
          <w:sz w:val="24"/>
          <w:szCs w:val="24"/>
          <w:rtl w:val="0"/>
        </w:rPr>
        <w:t xml:space="preserve">identificar sinais recentes de escassez</w:t>
      </w:r>
      <w:r w:rsidDel="00000000" w:rsidR="00000000" w:rsidRPr="00000000">
        <w:rPr>
          <w:rFonts w:ascii="Times New Roman" w:cs="Times New Roman" w:eastAsia="Times New Roman" w:hAnsi="Times New Roman"/>
          <w:sz w:val="24"/>
          <w:szCs w:val="24"/>
          <w:rtl w:val="0"/>
        </w:rPr>
        <w:t xml:space="preserve"> em ocupações de nível técnico e </w:t>
      </w:r>
      <w:r w:rsidDel="00000000" w:rsidR="00000000" w:rsidRPr="00000000">
        <w:rPr>
          <w:rFonts w:ascii="Times New Roman" w:cs="Times New Roman" w:eastAsia="Times New Roman" w:hAnsi="Times New Roman"/>
          <w:b w:val="0"/>
          <w:sz w:val="24"/>
          <w:szCs w:val="24"/>
          <w:rtl w:val="0"/>
        </w:rPr>
        <w:t xml:space="preserve">priorizar cursos técnicos</w:t>
      </w:r>
      <w:r w:rsidDel="00000000" w:rsidR="00000000" w:rsidRPr="00000000">
        <w:rPr>
          <w:rFonts w:ascii="Times New Roman" w:cs="Times New Roman" w:eastAsia="Times New Roman" w:hAnsi="Times New Roman"/>
          <w:sz w:val="24"/>
          <w:szCs w:val="24"/>
          <w:rtl w:val="0"/>
        </w:rPr>
        <w:t xml:space="preserve"> por Unidade da Federação (UF). O foco é prático: entregar aos gestores uma </w:t>
      </w:r>
      <w:r w:rsidDel="00000000" w:rsidR="00000000" w:rsidRPr="00000000">
        <w:rPr>
          <w:rFonts w:ascii="Times New Roman" w:cs="Times New Roman" w:eastAsia="Times New Roman" w:hAnsi="Times New Roman"/>
          <w:b w:val="0"/>
          <w:sz w:val="24"/>
          <w:szCs w:val="24"/>
          <w:rtl w:val="0"/>
        </w:rPr>
        <w:t xml:space="preserve">lista de cursos/áreas com demanda aquecida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conectada às metas </w:t>
      </w:r>
      <w:r w:rsidDel="00000000" w:rsidR="00000000" w:rsidRPr="00000000">
        <w:rPr>
          <w:rFonts w:ascii="Times New Roman" w:cs="Times New Roman" w:eastAsia="Times New Roman" w:hAnsi="Times New Roman"/>
          <w:b w:val="0"/>
          <w:sz w:val="24"/>
          <w:szCs w:val="24"/>
          <w:rtl w:val="0"/>
        </w:rPr>
        <w:t xml:space="preserve">11a, 11b e 11c</w:t>
      </w:r>
      <w:r w:rsidDel="00000000" w:rsidR="00000000" w:rsidRPr="00000000">
        <w:rPr>
          <w:rFonts w:ascii="Times New Roman" w:cs="Times New Roman" w:eastAsia="Times New Roman" w:hAnsi="Times New Roman"/>
          <w:sz w:val="24"/>
          <w:szCs w:val="24"/>
          <w:rtl w:val="0"/>
        </w:rPr>
        <w:t xml:space="preserve"> do PNE 2026–2035 e utilizável nas pactuações e no planejamento anual.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Para definir as ocupações de nível técnico a serem analisadas, recorremos à Classificação Brasileira de Ocupações (CBO). A CBO é o sistema de classificação que reconhece, nomeia e codifica os títulos e descreve as características das ocupações do mercado de trabalho brasileiro, sendo simultaneamente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uma classificação enumerativa e descritiva. A versão em vigor (de 2002, mas periodicamente atualizada)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contém as ocupações do mercado brasileiro, organizadas e descritas por grandes grupos (um dígito), subgrupos principais (dois dígitos), subgrupos (três dígitos), famílias (quatro dígitos) e as ocupações em si (cinco dígitos). Aquelas tomadas na análise são todas as do grande grupo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corresponde aos técnicos de nível médio. A análise parte das ocupações com 3 ou 4 dígitos da CBO, a depender da densidade ocupacional observada.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granularidade territorial das estimativas também precisa variar conforme a densidade populacional e econômica de cada UF. Nos estados com maior volume de admissões e desligamentos mensais, é possível desagregar a análise por região intermediária ou mesmo por região imediata, de acordo com classificação do IBGE. Já nos estados com menor dinamismo ocupacional, a análise se dará no âmbito estadual. Há, portanto, um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trade-off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entre desagregação territorial e desagregação ocupacional: é necessário haver variação suficiente nos fluxos mensais para que os indicadores gerados tenham validade estatística.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este relatório, nossa decisão foi apresentar resultados agregados para estados e o Distrito Federal, tomando a CBO a três dígitos. Com esse procedimento, pudemos elaborar uma plataforma interativa que fornece informações úteis para todas as UFs. </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dados necessários para o cálculo dos indicadores usados na análise são gratuitos e de fácil acesso a gestores estaduais. Estão disponíveis via o Programa de Disseminação de Estatísticas do Trabalho (PDET), do Ministério do Trabalho e Emprego (MTE). São dois os registros administrativos a que recorremos para o método ora proposto: o Cadastro Geral de Empregados e Desempregados (Caged) e a Relação Anual de Informações Sociais (Rais). </w:t>
      </w:r>
    </w:p>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280" w:before="2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Caged registra, com periodicidade mensal, informações sobre admissão e desligamento nas firmas de todo o país. Permite observar os fluxos de geração e destruição de emprego ao longo do tempo. O Caged foi a principal fonte de dados utilizada, ao permitir calcular, mês a mês, os salários médios de admissão e de desligamento das variadas ocupações em um determinado recorte geográfico, bem como acompanhar a evolução do saldo líquido de horas contratadas.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Já a Rais é um registro anual, no qual as firmas de todo o país prestam ao MTE informações detalhadas sobre cada um de seus colaboradores. Essas informações destinam-se a suprir as necessidades de controle da atividade trabalhista no país, prover dados para análises estatísticas acerca do mercado de trabalho e tornar disponível informações às entidades governamentais da área social. Por permitir observar os estoques de postos de trabalho ao final de cada ano, a Rais é a fonte de dados aqui utilizada para calcular os estoques de postos de trabalho.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Valendo-se dessas duas fontes de dados (Caged e Rais), busca-se identificar os conjuntos de ocupações que apresentam maiores pressões de demanda. Para isso, recorre-se a um indicador da trajetória salarial. Este é o principal indicador utilizado na literatura para identificar desníveis entre oferta e demanda por trabalho especializado, embora informações assimétricas, seleções adversas e falhas de mercado decorrentes da rigidez dos salários, do poder dos sindicatos e de especificidades de cada nicho de mercado de trabalho acarretem limitações ao equilíbrio desses mercados pura e simplesmente pelo mecanismo de preços. </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despeito dessas ressalvas, um indicador capaz de servir de proxy para pressão salarial é o mais útil como indicador de primeira ordem do aquecimento de uma ocupação. Observamos, então, o comportamento, ao longo do tempo, dos diferenciais salariais entre admitidos e desligados em cada ocupação. É de se esperar que o salário médio de desligados seja superior ao de admitidos para postos de trabalho que exijam as mesmas qualificações, pois entre os desligados há uma concentração maior de profissionais com mais tempo de carreira, enquanto que entre os admitidos a tendência é que haja uma concentração maior de profissionais mais jovens e menos experientes. Se esse diferencial apresenta uma tendência de diminuição ao longo do tempo (ou seja, se há um comportamento de </w:t>
      </w:r>
      <w:r w:rsidDel="00000000" w:rsidR="00000000" w:rsidRPr="00000000">
        <w:rPr>
          <w:rFonts w:ascii="Times New Roman" w:cs="Times New Roman" w:eastAsia="Times New Roman" w:hAnsi="Times New Roman"/>
          <w:i w:val="1"/>
          <w:sz w:val="24"/>
          <w:szCs w:val="24"/>
          <w:rtl w:val="0"/>
        </w:rPr>
        <w:t xml:space="preserve">catching up</w:t>
      </w:r>
      <w:r w:rsidDel="00000000" w:rsidR="00000000" w:rsidRPr="00000000">
        <w:rPr>
          <w:rFonts w:ascii="Times New Roman" w:cs="Times New Roman" w:eastAsia="Times New Roman" w:hAnsi="Times New Roman"/>
          <w:sz w:val="24"/>
          <w:szCs w:val="24"/>
          <w:rtl w:val="0"/>
        </w:rPr>
        <w:t xml:space="preserve"> ao longo do tempo do salário médio de admissão em relação ao de desligamento), há uma sinalização de aquecimento do mercado por aquelas ocupações naquele recorte geográfico. </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sinalização de aquecimento pode vir a indicar escassez relativa das ocupações analisadas, se os diferenciais salariais se tornarem favoráveis aos admitidos (contrariando a lógica geral de que tendem a ganhar menos do que quem foi desligado no mesmo período) ou se o comportamento de </w:t>
      </w:r>
      <w:r w:rsidDel="00000000" w:rsidR="00000000" w:rsidRPr="00000000">
        <w:rPr>
          <w:rFonts w:ascii="Times New Roman" w:cs="Times New Roman" w:eastAsia="Times New Roman" w:hAnsi="Times New Roman"/>
          <w:i w:val="1"/>
          <w:sz w:val="24"/>
          <w:szCs w:val="24"/>
          <w:rtl w:val="0"/>
        </w:rPr>
        <w:t xml:space="preserve">catching up</w:t>
      </w:r>
      <w:r w:rsidDel="00000000" w:rsidR="00000000" w:rsidRPr="00000000">
        <w:rPr>
          <w:rFonts w:ascii="Times New Roman" w:cs="Times New Roman" w:eastAsia="Times New Roman" w:hAnsi="Times New Roman"/>
          <w:sz w:val="24"/>
          <w:szCs w:val="24"/>
          <w:rtl w:val="0"/>
        </w:rPr>
        <w:t xml:space="preserve"> vier acompanhado de taxas de rotatividade crescentes. A taxa de rotatividade entra aí como indicador complementar que, quando crescente em paralelo a uma trajetória salarial também crescente, reforça o indício de escassez relativa daquele subgrupo de ocupações na UF analisada. </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sdt>
        <w:sdtPr>
          <w:id w:val="953732014"/>
          <w:tag w:val="goog_rdk_1"/>
        </w:sdtPr>
        <w:sdtContent>
          <w:r w:rsidDel="00000000" w:rsidR="00000000" w:rsidRPr="00000000">
            <w:rPr>
              <w:rFonts w:ascii="Cardo" w:cs="Cardo" w:eastAsia="Cardo" w:hAnsi="Cardo"/>
              <w:sz w:val="24"/>
              <w:szCs w:val="24"/>
              <w:rtl w:val="0"/>
            </w:rPr>
            <w:t xml:space="preserve">Como o objetivo desse exercício é oferecer informação a gestores estaduais sobre os cursos de EPT nos quais investir, utilizamos uma matriz de correspondência CBO→CNCT construída pela equipe (</w:t>
          </w:r>
        </w:sdtContent>
      </w:sdt>
      <w:r w:rsidDel="00000000" w:rsidR="00000000" w:rsidRPr="00000000">
        <w:rPr>
          <w:rFonts w:ascii="Times New Roman" w:cs="Times New Roman" w:eastAsia="Times New Roman" w:hAnsi="Times New Roman"/>
          <w:color w:val="ff0000"/>
          <w:sz w:val="24"/>
          <w:szCs w:val="24"/>
          <w:rtl w:val="0"/>
        </w:rPr>
        <w:t xml:space="preserve">KENCHIAN et al, ????), </w:t>
      </w:r>
      <w:r w:rsidDel="00000000" w:rsidR="00000000" w:rsidRPr="00000000">
        <w:rPr>
          <w:rFonts w:ascii="Times New Roman" w:cs="Times New Roman" w:eastAsia="Times New Roman" w:hAnsi="Times New Roman"/>
          <w:sz w:val="24"/>
          <w:szCs w:val="24"/>
          <w:rtl w:val="0"/>
        </w:rPr>
        <w:t xml:space="preserve">que associa famílias ocupacionais a cursos técnicos do Catálogo Nacional de Cursos Técnicos (CNCT). Com isso, a plataforma desenvolvida já dá a informação da demanda potencial por curso, não por subgrupo ocupacional. </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procedimento descrito abaixo resume o método ora apresentado e como que ele dialoga com outras partes deste relatório.</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O que entra no modelo (fontes e recorte)</w:t>
      </w:r>
    </w:p>
    <w:p w:rsidR="00000000" w:rsidDel="00000000" w:rsidP="00000000" w:rsidRDefault="00000000" w:rsidRPr="00000000" w14:paraId="00000011">
      <w:pPr>
        <w:numPr>
          <w:ilvl w:val="0"/>
          <w:numId w:val="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Fontes</w:t>
      </w:r>
      <w:r w:rsidDel="00000000" w:rsidR="00000000" w:rsidRPr="00000000">
        <w:rPr>
          <w:rFonts w:ascii="Times New Roman" w:cs="Times New Roman" w:eastAsia="Times New Roman" w:hAnsi="Times New Roman"/>
          <w:sz w:val="24"/>
          <w:szCs w:val="24"/>
          <w:rtl w:val="0"/>
        </w:rPr>
        <w:t xml:space="preserve">: CAGED (fluxos mensais de admissões e desligamentos, com salários) e RAIS (estoque anual).</w:t>
      </w:r>
    </w:p>
    <w:p w:rsidR="00000000" w:rsidDel="00000000" w:rsidP="00000000" w:rsidRDefault="00000000" w:rsidRPr="00000000" w14:paraId="00000012">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Unidade de análise</w:t>
      </w:r>
      <w:sdt>
        <w:sdtPr>
          <w:id w:val="-462808722"/>
          <w:tag w:val="goog_rdk_2"/>
        </w:sdtPr>
        <w:sdtContent>
          <w:r w:rsidDel="00000000" w:rsidR="00000000" w:rsidRPr="00000000">
            <w:rPr>
              <w:rFonts w:ascii="Cardo" w:cs="Cardo" w:eastAsia="Cardo" w:hAnsi="Cardo"/>
              <w:sz w:val="24"/>
              <w:szCs w:val="24"/>
              <w:rtl w:val="0"/>
            </w:rPr>
            <w:t xml:space="preserve">: UF × curso técnico (CNCT) × mês, com mapeamento CBO→CNCT já incorporado às bases de trabalho.</w:t>
          </w:r>
        </w:sdtContent>
      </w:sdt>
    </w:p>
    <w:p w:rsidR="00000000" w:rsidDel="00000000" w:rsidP="00000000" w:rsidRDefault="00000000" w:rsidRPr="00000000" w14:paraId="00000013">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Período</w:t>
      </w:r>
      <w:r w:rsidDel="00000000" w:rsidR="00000000" w:rsidRPr="00000000">
        <w:rPr>
          <w:rFonts w:ascii="Times New Roman" w:cs="Times New Roman" w:eastAsia="Times New Roman" w:hAnsi="Times New Roman"/>
          <w:sz w:val="24"/>
          <w:szCs w:val="24"/>
          <w:rtl w:val="0"/>
        </w:rPr>
        <w:t xml:space="preserve">: 2020–2024 (séries mensais).</w:t>
      </w:r>
    </w:p>
    <w:p w:rsidR="00000000" w:rsidDel="00000000" w:rsidP="00000000" w:rsidRDefault="00000000" w:rsidRPr="00000000" w14:paraId="00000014">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Padronização de salários</w:t>
      </w:r>
      <w:r w:rsidDel="00000000" w:rsidR="00000000" w:rsidRPr="00000000">
        <w:rPr>
          <w:rFonts w:ascii="Times New Roman" w:cs="Times New Roman" w:eastAsia="Times New Roman" w:hAnsi="Times New Roman"/>
          <w:sz w:val="24"/>
          <w:szCs w:val="24"/>
          <w:rtl w:val="0"/>
        </w:rPr>
        <w:t xml:space="preserve">: ajuste para 44h semanais e uso de média móvel de 12 meses para suavizar oscilações.</w:t>
      </w:r>
    </w:p>
    <w:p w:rsidR="00000000" w:rsidDel="00000000" w:rsidP="00000000" w:rsidRDefault="00000000" w:rsidRPr="00000000" w14:paraId="00000015">
      <w:pPr>
        <w:numPr>
          <w:ilvl w:val="0"/>
          <w:numId w:val="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Resultado</w:t>
      </w:r>
      <w:r w:rsidDel="00000000" w:rsidR="00000000" w:rsidRPr="00000000">
        <w:rPr>
          <w:rFonts w:ascii="Times New Roman" w:cs="Times New Roman" w:eastAsia="Times New Roman" w:hAnsi="Times New Roman"/>
          <w:sz w:val="24"/>
          <w:szCs w:val="24"/>
          <w:rtl w:val="0"/>
        </w:rPr>
        <w:t xml:space="preserve">: um </w:t>
      </w:r>
      <w:r w:rsidDel="00000000" w:rsidR="00000000" w:rsidRPr="00000000">
        <w:rPr>
          <w:rFonts w:ascii="Times New Roman" w:cs="Times New Roman" w:eastAsia="Times New Roman" w:hAnsi="Times New Roman"/>
          <w:b w:val="1"/>
          <w:sz w:val="24"/>
          <w:szCs w:val="24"/>
          <w:rtl w:val="0"/>
        </w:rPr>
        <w:t xml:space="preserve">painel mensal</w:t>
      </w:r>
      <w:r w:rsidDel="00000000" w:rsidR="00000000" w:rsidRPr="00000000">
        <w:rPr>
          <w:rFonts w:ascii="Times New Roman" w:cs="Times New Roman" w:eastAsia="Times New Roman" w:hAnsi="Times New Roman"/>
          <w:sz w:val="24"/>
          <w:szCs w:val="24"/>
          <w:rtl w:val="0"/>
        </w:rPr>
        <w:t xml:space="preserve"> que permite comparar cursos/áreas dentro da UF e ao longo do tempo, com métricas homogêneas. </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Sinais de escassez utilizados </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painel mostra, para cada UF × curso (CNCT) × mês, os seguintes dados:</w:t>
      </w:r>
    </w:p>
    <w:p w:rsidR="00000000" w:rsidDel="00000000" w:rsidP="00000000" w:rsidRDefault="00000000" w:rsidRPr="00000000" w14:paraId="00000018">
      <w:pPr>
        <w:numPr>
          <w:ilvl w:val="0"/>
          <w:numId w:val="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Valorização salarial relativa</w:t>
      </w:r>
      <w:r w:rsidDel="00000000" w:rsidR="00000000" w:rsidRPr="00000000">
        <w:rPr>
          <w:rFonts w:ascii="Times New Roman" w:cs="Times New Roman" w:eastAsia="Times New Roman" w:hAnsi="Times New Roman"/>
          <w:sz w:val="24"/>
          <w:szCs w:val="24"/>
          <w:rtl w:val="0"/>
        </w:rPr>
        <w:t xml:space="preserve"> (sinal de aquecimento): diferença entre salários médios de admitidos e desligados, trabalhada em média móvel 12 meses.</w:t>
      </w:r>
    </w:p>
    <w:p w:rsidR="00000000" w:rsidDel="00000000" w:rsidP="00000000" w:rsidRDefault="00000000" w:rsidRPr="00000000" w14:paraId="00000019">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Rotatividade</w:t>
      </w:r>
      <w:r w:rsidDel="00000000" w:rsidR="00000000" w:rsidRPr="00000000">
        <w:rPr>
          <w:rFonts w:ascii="Times New Roman" w:cs="Times New Roman" w:eastAsia="Times New Roman" w:hAnsi="Times New Roman"/>
          <w:sz w:val="24"/>
          <w:szCs w:val="24"/>
          <w:rtl w:val="0"/>
        </w:rPr>
        <w:t xml:space="preserve">: soma de admissões e desligamentos em relação ao estoque estimado, também em média móvel 12 meses.</w:t>
      </w:r>
    </w:p>
    <w:p w:rsidR="00000000" w:rsidDel="00000000" w:rsidP="00000000" w:rsidRDefault="00000000" w:rsidRPr="00000000" w14:paraId="0000001A">
      <w:pPr>
        <w:numPr>
          <w:ilvl w:val="0"/>
          <w:numId w:val="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Intensidade do curso na UF</w:t>
      </w:r>
      <w:r w:rsidDel="00000000" w:rsidR="00000000" w:rsidRPr="00000000">
        <w:rPr>
          <w:rFonts w:ascii="Times New Roman" w:cs="Times New Roman" w:eastAsia="Times New Roman" w:hAnsi="Times New Roman"/>
          <w:sz w:val="24"/>
          <w:szCs w:val="24"/>
          <w:rtl w:val="0"/>
        </w:rPr>
        <w:t xml:space="preserve">: participação do curso no estoque estadual (para distinguir áreas relevantes de nichos residuais).</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Filtro mínimo de fluxo</w:t>
      </w:r>
      <w:r w:rsidDel="00000000" w:rsidR="00000000" w:rsidRPr="00000000">
        <w:rPr>
          <w:rFonts w:ascii="Times New Roman" w:cs="Times New Roman" w:eastAsia="Times New Roman" w:hAnsi="Times New Roman"/>
          <w:sz w:val="24"/>
          <w:szCs w:val="24"/>
          <w:rtl w:val="0"/>
        </w:rPr>
        <w:t xml:space="preserve">: para evitar “falsos positivos” em séries muito rarefeitas, só são consideradas observações com mais de 30 admissões no mês. </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Classificação do “grau de escassez”</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Combinam-se os três sinais em uma tipologia simples (rótulos prontos para uso em painéis/relatórios):</w:t>
      </w:r>
    </w:p>
    <w:p w:rsidR="00000000" w:rsidDel="00000000" w:rsidP="00000000" w:rsidRDefault="00000000" w:rsidRPr="00000000" w14:paraId="0000001E">
      <w:pPr>
        <w:numPr>
          <w:ilvl w:val="0"/>
          <w:numId w:val="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 Alerta de escassez</w:t>
      </w:r>
      <w:r w:rsidDel="00000000" w:rsidR="00000000" w:rsidRPr="00000000">
        <w:rPr>
          <w:rFonts w:ascii="Times New Roman" w:cs="Times New Roman" w:eastAsia="Times New Roman" w:hAnsi="Times New Roman"/>
          <w:sz w:val="24"/>
          <w:szCs w:val="24"/>
          <w:rtl w:val="0"/>
        </w:rPr>
        <w:t xml:space="preserve">: valorização alta e rotatividade ao menos mediana e intensidade relevante (acima de cortes pré-definidos), com fluxo &gt; 30;</w:t>
      </w:r>
    </w:p>
    <w:p w:rsidR="00000000" w:rsidDel="00000000" w:rsidP="00000000" w:rsidRDefault="00000000" w:rsidRPr="00000000" w14:paraId="0000001F">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 Tendência de escassez</w:t>
      </w:r>
      <w:r w:rsidDel="00000000" w:rsidR="00000000" w:rsidRPr="00000000">
        <w:rPr>
          <w:rFonts w:ascii="Times New Roman" w:cs="Times New Roman" w:eastAsia="Times New Roman" w:hAnsi="Times New Roman"/>
          <w:sz w:val="24"/>
          <w:szCs w:val="24"/>
          <w:rtl w:val="0"/>
        </w:rPr>
        <w:t xml:space="preserve">: combinações intermediárias dos três sinais, com fluxo &gt; 30;</w:t>
      </w:r>
    </w:p>
    <w:p w:rsidR="00000000" w:rsidDel="00000000" w:rsidP="00000000" w:rsidRDefault="00000000" w:rsidRPr="00000000" w14:paraId="00000020">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 Estável</w:t>
      </w:r>
      <w:r w:rsidDel="00000000" w:rsidR="00000000" w:rsidRPr="00000000">
        <w:rPr>
          <w:rFonts w:ascii="Times New Roman" w:cs="Times New Roman" w:eastAsia="Times New Roman" w:hAnsi="Times New Roman"/>
          <w:sz w:val="24"/>
          <w:szCs w:val="24"/>
          <w:rtl w:val="0"/>
        </w:rPr>
        <w:t xml:space="preserve">: valorização moderada/baixa ou intensidade pequena, com fluxo &gt; 30;</w:t>
      </w:r>
    </w:p>
    <w:p w:rsidR="00000000" w:rsidDel="00000000" w:rsidP="00000000" w:rsidRDefault="00000000" w:rsidRPr="00000000" w14:paraId="00000021">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 – Sem indício</w:t>
      </w:r>
      <w:r w:rsidDel="00000000" w:rsidR="00000000" w:rsidRPr="00000000">
        <w:rPr>
          <w:rFonts w:ascii="Times New Roman" w:cs="Times New Roman" w:eastAsia="Times New Roman" w:hAnsi="Times New Roman"/>
          <w:sz w:val="24"/>
          <w:szCs w:val="24"/>
          <w:rtl w:val="0"/>
        </w:rPr>
        <w:t xml:space="preserve">: valorização baixa;</w:t>
      </w:r>
    </w:p>
    <w:p w:rsidR="00000000" w:rsidDel="00000000" w:rsidP="00000000" w:rsidRDefault="00000000" w:rsidRPr="00000000" w14:paraId="00000022">
      <w:pPr>
        <w:numPr>
          <w:ilvl w:val="0"/>
          <w:numId w:val="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99 – Sem fluxo suficiente</w:t>
      </w:r>
      <w:r w:rsidDel="00000000" w:rsidR="00000000" w:rsidRPr="00000000">
        <w:rPr>
          <w:rFonts w:ascii="Times New Roman" w:cs="Times New Roman" w:eastAsia="Times New Roman" w:hAnsi="Times New Roman"/>
          <w:sz w:val="24"/>
          <w:szCs w:val="24"/>
          <w:rtl w:val="0"/>
        </w:rPr>
        <w:t xml:space="preserve">: não passou no filtro &gt; 30.</w:t>
      </w:r>
    </w:p>
    <w:p w:rsidR="00000000" w:rsidDel="00000000" w:rsidP="00000000" w:rsidRDefault="00000000" w:rsidRPr="00000000" w14:paraId="0000002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rotulagem entrega ao gestor uma leitura rápida do “onde priorizar” dentro de cada UF. </w:t>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 Do “sinal” à priorização de cursos (CNCT)</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leitura gerencial é direta: cursos/áreas classificados como 3 (alerta) ou 2 (tendência) formam a carteira prioritária para expansão e/ou readequação de oferta (por rede e tipo de curso). Essa carteira é o insumo para:</w:t>
      </w:r>
    </w:p>
    <w:p w:rsidR="00000000" w:rsidDel="00000000" w:rsidP="00000000" w:rsidRDefault="00000000" w:rsidRPr="00000000" w14:paraId="00000026">
      <w:pPr>
        <w:numPr>
          <w:ilvl w:val="0"/>
          <w:numId w:val="4"/>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discutir metas anuais de vagas/matrículas por tipo de oferta (integrado, concomitante, subsequente e EJA-EM+EPT),</w:t>
      </w:r>
    </w:p>
    <w:p w:rsidR="00000000" w:rsidDel="00000000" w:rsidP="00000000" w:rsidRDefault="00000000" w:rsidRPr="00000000" w14:paraId="00000027">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dialogar com outras redes atuantes na UF (federal, estadual/distrital, municipal, privada/Sistema S), com vistas a estabelecer parcerias que evitem sobreposição de esforços, e</w:t>
      </w:r>
    </w:p>
    <w:p w:rsidR="00000000" w:rsidDel="00000000" w:rsidP="00000000" w:rsidRDefault="00000000" w:rsidRPr="00000000" w14:paraId="00000028">
      <w:pPr>
        <w:numPr>
          <w:ilvl w:val="0"/>
          <w:numId w:val="4"/>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dimensionar custos em dois cenários (com e sem Propag), conforme discussão em outros capítulos deste relatório. </w:t>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Como isso conversa com as metas 11a, 11b e 11c</w:t>
      </w:r>
    </w:p>
    <w:p w:rsidR="00000000" w:rsidDel="00000000" w:rsidP="00000000" w:rsidRDefault="00000000" w:rsidRPr="00000000" w14:paraId="0000002A">
      <w:pPr>
        <w:numPr>
          <w:ilvl w:val="0"/>
          <w:numId w:val="5"/>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11a (razão EPT/EM = 50%)</w:t>
      </w:r>
      <w:r w:rsidDel="00000000" w:rsidR="00000000" w:rsidRPr="00000000">
        <w:rPr>
          <w:rFonts w:ascii="Times New Roman" w:cs="Times New Roman" w:eastAsia="Times New Roman" w:hAnsi="Times New Roman"/>
          <w:sz w:val="24"/>
          <w:szCs w:val="24"/>
          <w:rtl w:val="0"/>
        </w:rPr>
        <w:t xml:space="preserve">: a carteira priorizada indica onde expandir para elevar o numerador (EPT técnica + EJA-EM com EPT), respeitando as projeções do denominador (EM total projetado, sem dupla contagem).</w:t>
      </w:r>
    </w:p>
    <w:p w:rsidR="00000000" w:rsidDel="00000000" w:rsidP="00000000" w:rsidRDefault="00000000" w:rsidRPr="00000000" w14:paraId="0000002B">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11b (subsequentes +50%)</w:t>
      </w:r>
      <w:r w:rsidDel="00000000" w:rsidR="00000000" w:rsidRPr="00000000">
        <w:rPr>
          <w:rFonts w:ascii="Times New Roman" w:cs="Times New Roman" w:eastAsia="Times New Roman" w:hAnsi="Times New Roman"/>
          <w:sz w:val="24"/>
          <w:szCs w:val="24"/>
          <w:rtl w:val="0"/>
        </w:rPr>
        <w:t xml:space="preserve">: as áreas com sinal “adulto/ocupacional” (muita movimentação e valorização) alimentam a trilha de cursos subsequentes, foco direto da meta.</w:t>
      </w:r>
    </w:p>
    <w:p w:rsidR="00000000" w:rsidDel="00000000" w:rsidP="00000000" w:rsidRDefault="00000000" w:rsidRPr="00000000" w14:paraId="0000002C">
      <w:pPr>
        <w:numPr>
          <w:ilvl w:val="0"/>
          <w:numId w:val="5"/>
        </w:numPr>
        <w:spacing w:after="280" w:before="0" w:line="240" w:lineRule="auto"/>
        <w:ind w:left="720" w:hanging="360"/>
        <w:jc w:val="both"/>
        <w:rPr>
          <w:rFonts w:ascii="Times New Roman" w:cs="Times New Roman" w:eastAsia="Times New Roman" w:hAnsi="Times New Roman"/>
          <w:sz w:val="24"/>
          <w:szCs w:val="24"/>
        </w:rPr>
      </w:pPr>
      <w:sdt>
        <w:sdtPr>
          <w:id w:val="-1792601790"/>
          <w:tag w:val="goog_rdk_3"/>
        </w:sdtPr>
        <w:sdtContent>
          <w:r w:rsidDel="00000000" w:rsidR="00000000" w:rsidRPr="00000000">
            <w:rPr>
              <w:rFonts w:ascii="Gungsuh" w:cs="Gungsuh" w:eastAsia="Gungsuh" w:hAnsi="Gungsuh"/>
              <w:b w:val="1"/>
              <w:sz w:val="24"/>
              <w:szCs w:val="24"/>
              <w:rtl w:val="0"/>
            </w:rPr>
            <w:t xml:space="preserve">11c (≥25% da EJA articulada à EPT)</w:t>
          </w:r>
        </w:sdtContent>
      </w:sdt>
      <w:r w:rsidDel="00000000" w:rsidR="00000000" w:rsidRPr="00000000">
        <w:rPr>
          <w:rFonts w:ascii="Times New Roman" w:cs="Times New Roman" w:eastAsia="Times New Roman" w:hAnsi="Times New Roman"/>
          <w:sz w:val="24"/>
          <w:szCs w:val="24"/>
          <w:rtl w:val="0"/>
        </w:rPr>
        <w:t xml:space="preserve">: priorizam-se cursos com empregabilidade clara para públicos EJA, elevando a proporção articulada à EPT.</w:t>
        <w:br w:type="textWrapping"/>
        <w:t xml:space="preserve">Em todos os casos, as projeções demográficas e a distribuição por rede (ecossistema da UF) são consideradas nos volumes/cronogramas, mas a identificação de prioridades nasce do sinal empírico descrito acima. </w:t>
      </w:r>
    </w:p>
    <w:p w:rsidR="00000000" w:rsidDel="00000000" w:rsidP="00000000" w:rsidRDefault="00000000" w:rsidRPr="00000000" w14:paraId="0000002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como já implementado na plataforma disponibilizada, o painel gerado a partir do método aqui descrito já é de grande valia para o gestor. Ele pode ser ainda customizado para as necessidades de cada UF. Pode ainda vir a ser aperfeiçoado com a inclusão de indicadores alternativos que podem ser úteis para enriquecer o diagnóstico — por exemplo, podemos usar o coeficiente locacional (CL)</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para levantar informações sobre especialização regional e usar o saldo líquido de horas contratadas como indicador complementar de aquecimento e substituto da taxa de rotatividade. Essas abordagens não estão ainda implementadas, portanto não compõem os cálculos da versão atualmente disponibilizada do painel. Podem, contudo, ser incorporadas como módulos opcionais em edições futuras, sem alterar a lógica central aqui descrita. </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resumo, o método aqui descrito vale-se da Rais e do Caged para, a partir da CBO e do CNCT, produzir três sinais simples (valorização, rotatividade e intensidade), um </w:t>
      </w:r>
      <w:r w:rsidDel="00000000" w:rsidR="00000000" w:rsidRPr="00000000">
        <w:rPr>
          <w:rFonts w:ascii="Times New Roman" w:cs="Times New Roman" w:eastAsia="Times New Roman" w:hAnsi="Times New Roman"/>
          <w:b w:val="0"/>
          <w:sz w:val="24"/>
          <w:szCs w:val="24"/>
          <w:rtl w:val="0"/>
        </w:rPr>
        <w:t xml:space="preserve">filtro mínimo de fluxo</w:t>
      </w:r>
      <w:r w:rsidDel="00000000" w:rsidR="00000000" w:rsidRPr="00000000">
        <w:rPr>
          <w:rFonts w:ascii="Times New Roman" w:cs="Times New Roman" w:eastAsia="Times New Roman" w:hAnsi="Times New Roman"/>
          <w:sz w:val="24"/>
          <w:szCs w:val="24"/>
          <w:rtl w:val="0"/>
        </w:rPr>
        <w:t xml:space="preserve"> e uma </w:t>
      </w:r>
      <w:r w:rsidDel="00000000" w:rsidR="00000000" w:rsidRPr="00000000">
        <w:rPr>
          <w:rFonts w:ascii="Times New Roman" w:cs="Times New Roman" w:eastAsia="Times New Roman" w:hAnsi="Times New Roman"/>
          <w:b w:val="0"/>
          <w:sz w:val="24"/>
          <w:szCs w:val="24"/>
          <w:rtl w:val="0"/>
        </w:rPr>
        <w:t xml:space="preserve">classificação gerencial</w:t>
      </w:r>
      <w:r w:rsidDel="00000000" w:rsidR="00000000" w:rsidRPr="00000000">
        <w:rPr>
          <w:rFonts w:ascii="Times New Roman" w:cs="Times New Roman" w:eastAsia="Times New Roman" w:hAnsi="Times New Roman"/>
          <w:sz w:val="24"/>
          <w:szCs w:val="24"/>
          <w:rtl w:val="0"/>
        </w:rPr>
        <w:t xml:space="preserve"> que aponta </w:t>
      </w:r>
      <w:r w:rsidDel="00000000" w:rsidR="00000000" w:rsidRPr="00000000">
        <w:rPr>
          <w:rFonts w:ascii="Times New Roman" w:cs="Times New Roman" w:eastAsia="Times New Roman" w:hAnsi="Times New Roman"/>
          <w:b w:val="0"/>
          <w:i w:val="1"/>
          <w:sz w:val="24"/>
          <w:szCs w:val="24"/>
          <w:rtl w:val="0"/>
        </w:rPr>
        <w:t xml:space="preserve">onde</w:t>
      </w:r>
      <w:r w:rsidDel="00000000" w:rsidR="00000000" w:rsidRPr="00000000">
        <w:rPr>
          <w:rFonts w:ascii="Times New Roman" w:cs="Times New Roman" w:eastAsia="Times New Roman" w:hAnsi="Times New Roman"/>
          <w:sz w:val="24"/>
          <w:szCs w:val="24"/>
          <w:rtl w:val="0"/>
        </w:rPr>
        <w:t xml:space="preserve"> a UF ganha mais ao expandir a EPT — e </w:t>
      </w:r>
      <w:r w:rsidDel="00000000" w:rsidR="00000000" w:rsidRPr="00000000">
        <w:rPr>
          <w:rFonts w:ascii="Times New Roman" w:cs="Times New Roman" w:eastAsia="Times New Roman" w:hAnsi="Times New Roman"/>
          <w:b w:val="0"/>
          <w:i w:val="1"/>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isso ajuda a cumprir as metas 11a, 11b e 11c do novo PNE. Extensões como coeficiente locacional e saldo de horas são </w:t>
      </w:r>
      <w:r w:rsidDel="00000000" w:rsidR="00000000" w:rsidRPr="00000000">
        <w:rPr>
          <w:rFonts w:ascii="Times New Roman" w:cs="Times New Roman" w:eastAsia="Times New Roman" w:hAnsi="Times New Roman"/>
          <w:b w:val="0"/>
          <w:sz w:val="24"/>
          <w:szCs w:val="24"/>
          <w:rtl w:val="0"/>
        </w:rPr>
        <w:t xml:space="preserve">opcionais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versões futuras, não alterando a entrega principal aos gestores.</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despeito dessas vantagens, o método </w:t>
      </w:r>
      <w:r w:rsidDel="00000000" w:rsidR="00000000" w:rsidRPr="00000000">
        <w:rPr>
          <w:rFonts w:ascii="Times New Roman" w:cs="Times New Roman" w:eastAsia="Times New Roman" w:hAnsi="Times New Roman"/>
          <w:i w:val="1"/>
          <w:sz w:val="24"/>
          <w:szCs w:val="24"/>
          <w:rtl w:val="0"/>
        </w:rPr>
        <w:t xml:space="preserve">não pode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sz w:val="24"/>
          <w:szCs w:val="24"/>
          <w:rtl w:val="0"/>
        </w:rPr>
        <w:t xml:space="preserve">não deve</w:t>
      </w:r>
      <w:r w:rsidDel="00000000" w:rsidR="00000000" w:rsidRPr="00000000">
        <w:rPr>
          <w:rFonts w:ascii="Times New Roman" w:cs="Times New Roman" w:eastAsia="Times New Roman" w:hAnsi="Times New Roman"/>
          <w:sz w:val="24"/>
          <w:szCs w:val="24"/>
          <w:rtl w:val="0"/>
        </w:rPr>
        <w:t xml:space="preserve"> ser usado como única fonte de informação no processo de tomada de decisões acerca das vagas a serem abertas. Suas limitações mais evidentes passam por:</w:t>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os indicadores propostos olham para o passado</w:t>
      </w:r>
      <w:r w:rsidDel="00000000" w:rsidR="00000000" w:rsidRPr="00000000">
        <w:rPr>
          <w:rFonts w:ascii="Times New Roman" w:cs="Times New Roman" w:eastAsia="Times New Roman" w:hAnsi="Times New Roman"/>
          <w:sz w:val="24"/>
          <w:szCs w:val="24"/>
          <w:rtl w:val="0"/>
        </w:rPr>
        <w:t xml:space="preserve">. Por mais que o Caged forneça dados de fluxos mensais de emprego e o MTE consiga divulgar atualizações com relativa rapidez, os cursos e as vagas que vierem a ser abertos a partir dos indicadores daí gerados baseiam-se em fotografias tiradas do mercado formal de trabalho no passado – que não necessariamente se perpetuarão no futuro.</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os indicadores propostos não alcançam o trabalho informal</w:t>
      </w:r>
      <w:r w:rsidDel="00000000" w:rsidR="00000000" w:rsidRPr="00000000">
        <w:rPr>
          <w:rFonts w:ascii="Times New Roman" w:cs="Times New Roman" w:eastAsia="Times New Roman" w:hAnsi="Times New Roman"/>
          <w:sz w:val="24"/>
          <w:szCs w:val="24"/>
          <w:rtl w:val="0"/>
        </w:rPr>
        <w:t xml:space="preserve">. Dados do Caged e da Rais referem-se exclusivamente a postos de trabalho ocupados por celetistas e estatutários. Vínculos não formais não são captados por esses registros administrativos, razão pela qual há que </w:t>
      </w:r>
    </w:p>
    <w:p w:rsidR="00000000" w:rsidDel="00000000" w:rsidP="00000000" w:rsidRDefault="00000000" w:rsidRPr="00000000" w14:paraId="0000003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os indicadores propostos perdem qualidade à medida que são desagregados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planejamento de metas de formação profissional técnica requer estimativas robustas sobre a demanda por ocupações técnicas no território. Para isso, este relatório propõe um método de estimação da demanda com base em dados históricos de mercado de trabalho, em uma abordagem retrospectiva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backward-looking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centrada na identificação de sinais persistentes de escassez relativa de profissionais.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abordagem é considerada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backward-looking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porque se ancora na observação de trajetórias passadas de dois indicadores derivados de microdados do Caged (fluxos) e da Rais (estoque): i) o diferencial salarial entre admitidos e desligados; e ii) a taxa de rotatividade. A convergência ou inversão do diferencial salarial, combinada a uma rotatividade elevada e persistente, sugere desequilíbrios entre oferta e demanda por determinada ocupação, os quais podem justificar intervenções formativas para suprimento dessa escassez. É recomendável, sem embargo, que, adicionalmente à plataforma viabilizada com este método, o gestor busque igualmente indicadores que incorporem mudanças prospectivas nos padrões de emprego.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limitações apontadas não invalidam as vantagens já enumeradas do painel disponibilizado. Com efeito, ele permite construir um retrato dinâmico da demanda por profissionais técnicos, ajustável às condições econômicas e institucionais locais. Trata-se de uma entrega concreta e objetiva para gestores estaduais, que compreende:</w:t>
      </w:r>
    </w:p>
    <w:p w:rsidR="00000000" w:rsidDel="00000000" w:rsidP="00000000" w:rsidRDefault="00000000" w:rsidRPr="00000000" w14:paraId="00000036">
      <w:pPr>
        <w:numPr>
          <w:ilvl w:val="0"/>
          <w:numId w:val="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Painel/planilha</w:t>
      </w:r>
      <w:r w:rsidDel="00000000" w:rsidR="00000000" w:rsidRPr="00000000">
        <w:rPr>
          <w:rFonts w:ascii="Times New Roman" w:cs="Times New Roman" w:eastAsia="Times New Roman" w:hAnsi="Times New Roman"/>
          <w:sz w:val="24"/>
          <w:szCs w:val="24"/>
          <w:rtl w:val="0"/>
        </w:rPr>
        <w:t xml:space="preserve"> com a tipologia (0/1/2/3) por UF × curso × mês, já em percentis e com filtro de fluxo aplicado;</w:t>
      </w:r>
    </w:p>
    <w:p w:rsidR="00000000" w:rsidDel="00000000" w:rsidP="00000000" w:rsidRDefault="00000000" w:rsidRPr="00000000" w14:paraId="00000037">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Lista priorizada</w:t>
      </w:r>
      <w:r w:rsidDel="00000000" w:rsidR="00000000" w:rsidRPr="00000000">
        <w:rPr>
          <w:rFonts w:ascii="Times New Roman" w:cs="Times New Roman" w:eastAsia="Times New Roman" w:hAnsi="Times New Roman"/>
          <w:sz w:val="24"/>
          <w:szCs w:val="24"/>
          <w:rtl w:val="0"/>
        </w:rPr>
        <w:t xml:space="preserve"> de cursos/áreas por UF para pactuação (com indicação do tipo de oferta e redes preferenciais);</w:t>
      </w:r>
    </w:p>
    <w:p w:rsidR="00000000" w:rsidDel="00000000" w:rsidP="00000000" w:rsidRDefault="00000000" w:rsidRPr="00000000" w14:paraId="00000038">
      <w:pPr>
        <w:numPr>
          <w:ilvl w:val="0"/>
          <w:numId w:val="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Insumos para metas anuais</w:t>
      </w:r>
      <w:r w:rsidDel="00000000" w:rsidR="00000000" w:rsidRPr="00000000">
        <w:rPr>
          <w:rFonts w:ascii="Times New Roman" w:cs="Times New Roman" w:eastAsia="Times New Roman" w:hAnsi="Times New Roman"/>
          <w:sz w:val="24"/>
          <w:szCs w:val="24"/>
          <w:rtl w:val="0"/>
        </w:rPr>
        <w:t xml:space="preserve"> (vagas/matrículas) e para os dois cenários financeiros (com/sem Propag), a serem detalhados nos capítulos seguintes. </w:t>
      </w:r>
    </w:p>
    <w:p w:rsidR="00000000" w:rsidDel="00000000" w:rsidP="00000000" w:rsidRDefault="00000000" w:rsidRPr="00000000" w14:paraId="0000003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RESULTADOS</w:t>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painel disponibilizado permite enumerar os cursos com maior escassez no Brasil e em cada UF. A tabela abaixo mostra a relação para o Brasil.</w:t>
      </w:r>
    </w:p>
    <w:p w:rsidR="00000000" w:rsidDel="00000000" w:rsidP="00000000" w:rsidRDefault="00000000" w:rsidRPr="00000000" w14:paraId="0000003B">
      <w:pPr>
        <w:pStyle w:val="Heading4"/>
        <w:shd w:fill="ffffff" w:val="clear"/>
        <w:spacing w:after="150" w:before="150" w:lineRule="auto"/>
        <w:rPr>
          <w:rFonts w:ascii="inherit" w:cs="inherit" w:eastAsia="inherit" w:hAnsi="inherit"/>
          <w:color w:val="333333"/>
          <w:sz w:val="27"/>
          <w:szCs w:val="27"/>
        </w:rPr>
      </w:pPr>
      <w:sdt>
        <w:sdtPr>
          <w:id w:val="-1388732992"/>
          <w:tag w:val="goog_rdk_4"/>
        </w:sdtPr>
        <w:sdtContent>
          <w:commentRangeStart w:id="1"/>
        </w:sdtContent>
      </w:sdt>
      <w:r w:rsidDel="00000000" w:rsidR="00000000" w:rsidRPr="00000000">
        <w:rPr>
          <w:rFonts w:ascii="inherit" w:cs="inherit" w:eastAsia="inherit" w:hAnsi="inherit"/>
          <w:b w:val="1"/>
          <w:color w:val="333333"/>
          <w:sz w:val="27"/>
          <w:szCs w:val="27"/>
          <w:rtl w:val="0"/>
        </w:rPr>
        <w:t xml:space="preserve">Relação de Cursos com Maior Escassez</w:t>
      </w:r>
      <w:commentRangeEnd w:id="1"/>
      <w:r w:rsidDel="00000000" w:rsidR="00000000" w:rsidRPr="00000000">
        <w:commentReference w:id="1"/>
      </w:r>
      <w:r w:rsidDel="00000000" w:rsidR="00000000" w:rsidRPr="00000000">
        <w:rPr>
          <w:rFonts w:ascii="inherit" w:cs="inherit" w:eastAsia="inherit" w:hAnsi="inherit"/>
          <w:b w:val="1"/>
          <w:color w:val="333333"/>
          <w:sz w:val="27"/>
          <w:szCs w:val="27"/>
          <w:rtl w:val="0"/>
        </w:rPr>
        <w:t xml:space="preserve"> - Brasil</w:t>
      </w:r>
      <w:r w:rsidDel="00000000" w:rsidR="00000000" w:rsidRPr="00000000">
        <w:rPr>
          <w:rtl w:val="0"/>
        </w:rPr>
      </w:r>
    </w:p>
    <w:tbl>
      <w:tblPr>
        <w:tblStyle w:val="Table1"/>
        <w:tblW w:w="6889.000000000001" w:type="dxa"/>
        <w:jc w:val="left"/>
        <w:tblBorders>
          <w:top w:color="dddddd" w:space="0" w:sz="6" w:val="single"/>
          <w:left w:color="dddddd" w:space="0" w:sz="6" w:val="single"/>
          <w:bottom w:color="dddddd" w:space="0" w:sz="6" w:val="single"/>
          <w:right w:color="dddddd" w:space="0" w:sz="6" w:val="single"/>
        </w:tblBorders>
        <w:tblLayout w:type="fixed"/>
        <w:tblLook w:val="0400"/>
      </w:tblPr>
      <w:tblGrid>
        <w:gridCol w:w="2533"/>
        <w:gridCol w:w="1391"/>
        <w:gridCol w:w="1468"/>
        <w:gridCol w:w="1497"/>
        <w:tblGridChange w:id="0">
          <w:tblGrid>
            <w:gridCol w:w="2533"/>
            <w:gridCol w:w="1391"/>
            <w:gridCol w:w="1468"/>
            <w:gridCol w:w="1497"/>
          </w:tblGrid>
        </w:tblGridChange>
      </w:tblGrid>
      <w:tr>
        <w:trPr>
          <w:cantSplit w:val="0"/>
          <w:tblHeader w:val="1"/>
        </w:trPr>
        <w:tc>
          <w:tcPr>
            <w:tcBorders>
              <w:top w:color="000000" w:space="0" w:sz="0" w:val="nil"/>
              <w:left w:color="dddddd" w:space="0" w:sz="6" w:val="single"/>
              <w:bottom w:color="dddddd" w:space="0" w:sz="12" w:val="single"/>
              <w:right w:color="dddddd" w:space="0" w:sz="6" w:val="single"/>
            </w:tcBorders>
            <w:shd w:fill="auto" w:val="clear"/>
            <w:tcMar>
              <w:top w:w="45.0" w:type="dxa"/>
              <w:left w:w="180.0" w:type="dxa"/>
              <w:bottom w:w="45.0" w:type="dxa"/>
              <w:right w:w="180.0" w:type="dxa"/>
            </w:tcMar>
            <w:vAlign w:val="bottom"/>
          </w:tcPr>
          <w:p w:rsidR="00000000" w:rsidDel="00000000" w:rsidP="00000000" w:rsidRDefault="00000000" w:rsidRPr="00000000" w14:paraId="0000003C">
            <w:pPr>
              <w:spacing w:after="300" w:lineRule="auto"/>
              <w:rPr>
                <w:rFonts w:ascii="Times New Roman" w:cs="Times New Roman" w:eastAsia="Times New Roman" w:hAnsi="Times New Roman"/>
                <w:b w:val="1"/>
                <w:sz w:val="24"/>
                <w:szCs w:val="24"/>
              </w:rPr>
            </w:pPr>
            <w:r w:rsidDel="00000000" w:rsidR="00000000" w:rsidRPr="00000000">
              <w:rPr>
                <w:b w:val="1"/>
                <w:rtl w:val="0"/>
              </w:rPr>
              <w:t xml:space="preserve">Eixo - Curso</w:t>
            </w:r>
            <w:r w:rsidDel="00000000" w:rsidR="00000000" w:rsidRPr="00000000">
              <w:rPr>
                <w:rtl w:val="0"/>
              </w:rPr>
            </w:r>
          </w:p>
        </w:tc>
        <w:tc>
          <w:tcPr>
            <w:tcBorders>
              <w:top w:color="000000" w:space="0" w:sz="0" w:val="nil"/>
              <w:left w:color="dddddd" w:space="0" w:sz="6" w:val="single"/>
              <w:bottom w:color="dddddd" w:space="0" w:sz="12" w:val="single"/>
              <w:right w:color="dddddd" w:space="0" w:sz="6" w:val="single"/>
            </w:tcBorders>
            <w:shd w:fill="auto" w:val="clear"/>
            <w:tcMar>
              <w:top w:w="45.0" w:type="dxa"/>
              <w:left w:w="180.0" w:type="dxa"/>
              <w:bottom w:w="45.0" w:type="dxa"/>
              <w:right w:w="180.0" w:type="dxa"/>
            </w:tcMar>
            <w:vAlign w:val="bottom"/>
          </w:tcPr>
          <w:p w:rsidR="00000000" w:rsidDel="00000000" w:rsidP="00000000" w:rsidRDefault="00000000" w:rsidRPr="00000000" w14:paraId="0000003D">
            <w:pPr>
              <w:spacing w:after="300" w:lineRule="auto"/>
              <w:rPr>
                <w:b w:val="1"/>
              </w:rPr>
            </w:pPr>
            <w:r w:rsidDel="00000000" w:rsidR="00000000" w:rsidRPr="00000000">
              <w:rPr>
                <w:b w:val="1"/>
                <w:rtl w:val="0"/>
              </w:rPr>
              <w:t xml:space="preserve">Situação da Escassez</w:t>
            </w:r>
          </w:p>
        </w:tc>
        <w:tc>
          <w:tcPr>
            <w:tcBorders>
              <w:top w:color="000000" w:space="0" w:sz="0" w:val="nil"/>
              <w:left w:color="dddddd" w:space="0" w:sz="6" w:val="single"/>
              <w:bottom w:color="dddddd" w:space="0" w:sz="12" w:val="single"/>
              <w:right w:color="dddddd" w:space="0" w:sz="6" w:val="single"/>
            </w:tcBorders>
            <w:shd w:fill="auto" w:val="clear"/>
            <w:tcMar>
              <w:top w:w="45.0" w:type="dxa"/>
              <w:left w:w="180.0" w:type="dxa"/>
              <w:bottom w:w="45.0" w:type="dxa"/>
              <w:right w:w="180.0" w:type="dxa"/>
            </w:tcMar>
            <w:vAlign w:val="bottom"/>
          </w:tcPr>
          <w:p w:rsidR="00000000" w:rsidDel="00000000" w:rsidP="00000000" w:rsidRDefault="00000000" w:rsidRPr="00000000" w14:paraId="0000003E">
            <w:pPr>
              <w:spacing w:after="300" w:lineRule="auto"/>
              <w:jc w:val="right"/>
              <w:rPr>
                <w:b w:val="1"/>
              </w:rPr>
            </w:pPr>
            <w:r w:rsidDel="00000000" w:rsidR="00000000" w:rsidRPr="00000000">
              <w:rPr>
                <w:b w:val="1"/>
                <w:rtl w:val="0"/>
              </w:rPr>
              <w:t xml:space="preserve">Estimativa Demanda Vagas</w:t>
            </w:r>
          </w:p>
        </w:tc>
        <w:tc>
          <w:tcPr>
            <w:tcBorders>
              <w:top w:color="000000" w:space="0" w:sz="0" w:val="nil"/>
              <w:left w:color="dddddd" w:space="0" w:sz="6" w:val="single"/>
              <w:bottom w:color="dddddd" w:space="0" w:sz="12" w:val="single"/>
              <w:right w:color="dddddd" w:space="0" w:sz="6" w:val="single"/>
            </w:tcBorders>
            <w:shd w:fill="auto" w:val="clear"/>
            <w:tcMar>
              <w:top w:w="45.0" w:type="dxa"/>
              <w:left w:w="180.0" w:type="dxa"/>
              <w:bottom w:w="45.0" w:type="dxa"/>
              <w:right w:w="180.0" w:type="dxa"/>
            </w:tcMar>
            <w:vAlign w:val="bottom"/>
          </w:tcPr>
          <w:p w:rsidR="00000000" w:rsidDel="00000000" w:rsidP="00000000" w:rsidRDefault="00000000" w:rsidRPr="00000000" w14:paraId="0000003F">
            <w:pPr>
              <w:spacing w:after="300" w:lineRule="auto"/>
              <w:jc w:val="right"/>
              <w:rPr>
                <w:b w:val="1"/>
              </w:rPr>
            </w:pPr>
            <w:r w:rsidDel="00000000" w:rsidR="00000000" w:rsidRPr="00000000">
              <w:rPr>
                <w:b w:val="1"/>
                <w:rtl w:val="0"/>
              </w:rPr>
              <w:t xml:space="preserve">Indicador de Escassez (escala 0 a 1000))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0">
            <w:pPr>
              <w:spacing w:after="300" w:lineRule="auto"/>
              <w:rPr/>
            </w:pPr>
            <w:r w:rsidDel="00000000" w:rsidR="00000000" w:rsidRPr="00000000">
              <w:rPr>
                <w:rtl w:val="0"/>
              </w:rPr>
              <w:t xml:space="preserve">Controle e Processos Industriais - Manutenção Aeronáutica em Aviônicos</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1">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2">
            <w:pPr>
              <w:spacing w:after="300" w:lineRule="auto"/>
              <w:jc w:val="right"/>
              <w:rPr/>
            </w:pPr>
            <w:r w:rsidDel="00000000" w:rsidR="00000000" w:rsidRPr="00000000">
              <w:rPr>
                <w:rtl w:val="0"/>
              </w:rPr>
              <w:t xml:space="preserve">596,0</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3">
            <w:pPr>
              <w:spacing w:after="300" w:lineRule="auto"/>
              <w:jc w:val="right"/>
              <w:rPr/>
            </w:pPr>
            <w:r w:rsidDel="00000000" w:rsidR="00000000" w:rsidRPr="00000000">
              <w:rPr>
                <w:rtl w:val="0"/>
              </w:rPr>
              <w:t xml:space="preserve">859,0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4">
            <w:pPr>
              <w:spacing w:after="300" w:lineRule="auto"/>
              <w:rPr/>
            </w:pPr>
            <w:r w:rsidDel="00000000" w:rsidR="00000000" w:rsidRPr="00000000">
              <w:rPr>
                <w:rtl w:val="0"/>
              </w:rPr>
              <w:t xml:space="preserve">Controle e Processos Industriais - Manutenção Aeronáutica em Célula</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5">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6">
            <w:pPr>
              <w:spacing w:after="300" w:lineRule="auto"/>
              <w:jc w:val="right"/>
              <w:rPr/>
            </w:pPr>
            <w:r w:rsidDel="00000000" w:rsidR="00000000" w:rsidRPr="00000000">
              <w:rPr>
                <w:rtl w:val="0"/>
              </w:rPr>
              <w:t xml:space="preserve">596,0</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7">
            <w:pPr>
              <w:spacing w:after="300" w:lineRule="auto"/>
              <w:jc w:val="right"/>
              <w:rPr/>
            </w:pPr>
            <w:r w:rsidDel="00000000" w:rsidR="00000000" w:rsidRPr="00000000">
              <w:rPr>
                <w:rtl w:val="0"/>
              </w:rPr>
              <w:t xml:space="preserve">859,0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8">
            <w:pPr>
              <w:spacing w:after="300" w:lineRule="auto"/>
              <w:rPr/>
            </w:pPr>
            <w:r w:rsidDel="00000000" w:rsidR="00000000" w:rsidRPr="00000000">
              <w:rPr>
                <w:rtl w:val="0"/>
              </w:rPr>
              <w:t xml:space="preserve">Controle e Processos Industriais - Manutenção Aeronáutica em Grupo Motopropulsor</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9">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A">
            <w:pPr>
              <w:spacing w:after="300" w:lineRule="auto"/>
              <w:jc w:val="right"/>
              <w:rPr/>
            </w:pPr>
            <w:r w:rsidDel="00000000" w:rsidR="00000000" w:rsidRPr="00000000">
              <w:rPr>
                <w:rtl w:val="0"/>
              </w:rPr>
              <w:t xml:space="preserve">596,0</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4B">
            <w:pPr>
              <w:spacing w:after="300" w:lineRule="auto"/>
              <w:jc w:val="right"/>
              <w:rPr/>
            </w:pPr>
            <w:r w:rsidDel="00000000" w:rsidR="00000000" w:rsidRPr="00000000">
              <w:rPr>
                <w:rtl w:val="0"/>
              </w:rPr>
              <w:t xml:space="preserve">859,0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C">
            <w:pPr>
              <w:spacing w:after="300" w:lineRule="auto"/>
              <w:rPr/>
            </w:pPr>
            <w:r w:rsidDel="00000000" w:rsidR="00000000" w:rsidRPr="00000000">
              <w:rPr>
                <w:rtl w:val="0"/>
              </w:rPr>
              <w:t xml:space="preserve">Desenvolvimento Educacional e Social - Arquivo</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D">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E">
            <w:pPr>
              <w:spacing w:after="300" w:lineRule="auto"/>
              <w:jc w:val="right"/>
              <w:rPr/>
            </w:pPr>
            <w:r w:rsidDel="00000000" w:rsidR="00000000" w:rsidRPr="00000000">
              <w:rPr>
                <w:rtl w:val="0"/>
              </w:rPr>
              <w:t xml:space="preserve">1138,0</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4F">
            <w:pPr>
              <w:spacing w:after="300" w:lineRule="auto"/>
              <w:jc w:val="right"/>
              <w:rPr/>
            </w:pPr>
            <w:r w:rsidDel="00000000" w:rsidR="00000000" w:rsidRPr="00000000">
              <w:rPr>
                <w:rtl w:val="0"/>
              </w:rPr>
              <w:t xml:space="preserve">841,0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0">
            <w:pPr>
              <w:spacing w:after="300" w:lineRule="auto"/>
              <w:rPr/>
            </w:pPr>
            <w:r w:rsidDel="00000000" w:rsidR="00000000" w:rsidRPr="00000000">
              <w:rPr>
                <w:rtl w:val="0"/>
              </w:rPr>
              <w:t xml:space="preserve">Desenvolvimento Educacional e Social - Biblioteconomia</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1">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2">
            <w:pPr>
              <w:spacing w:after="300" w:lineRule="auto"/>
              <w:jc w:val="right"/>
              <w:rPr/>
            </w:pPr>
            <w:r w:rsidDel="00000000" w:rsidR="00000000" w:rsidRPr="00000000">
              <w:rPr>
                <w:rtl w:val="0"/>
              </w:rPr>
              <w:t xml:space="preserve">1138,0</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3">
            <w:pPr>
              <w:spacing w:after="300" w:lineRule="auto"/>
              <w:jc w:val="right"/>
              <w:rPr/>
            </w:pPr>
            <w:r w:rsidDel="00000000" w:rsidR="00000000" w:rsidRPr="00000000">
              <w:rPr>
                <w:rtl w:val="0"/>
              </w:rPr>
              <w:t xml:space="preserve">841,0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4">
            <w:pPr>
              <w:spacing w:after="300" w:lineRule="auto"/>
              <w:rPr/>
            </w:pPr>
            <w:r w:rsidDel="00000000" w:rsidR="00000000" w:rsidRPr="00000000">
              <w:rPr>
                <w:rtl w:val="0"/>
              </w:rPr>
              <w:t xml:space="preserve">Infraestrutura - Aeroportuário</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5">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6">
            <w:pPr>
              <w:spacing w:after="300" w:lineRule="auto"/>
              <w:jc w:val="right"/>
              <w:rPr/>
            </w:pPr>
            <w:r w:rsidDel="00000000" w:rsidR="00000000" w:rsidRPr="00000000">
              <w:rPr>
                <w:rtl w:val="0"/>
              </w:rPr>
              <w:t xml:space="preserve">3361,0</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7">
            <w:pPr>
              <w:spacing w:after="300" w:lineRule="auto"/>
              <w:jc w:val="right"/>
              <w:rPr/>
            </w:pPr>
            <w:r w:rsidDel="00000000" w:rsidR="00000000" w:rsidRPr="00000000">
              <w:rPr>
                <w:rtl w:val="0"/>
              </w:rPr>
              <w:t xml:space="preserve">839,0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8">
            <w:pPr>
              <w:spacing w:after="300" w:lineRule="auto"/>
              <w:rPr/>
            </w:pPr>
            <w:r w:rsidDel="00000000" w:rsidR="00000000" w:rsidRPr="00000000">
              <w:rPr>
                <w:rtl w:val="0"/>
              </w:rPr>
              <w:t xml:space="preserve">Controle e Processos Industriais - Sistemas a Gás</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9">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A">
            <w:pPr>
              <w:spacing w:after="300" w:lineRule="auto"/>
              <w:jc w:val="right"/>
              <w:rPr/>
            </w:pPr>
            <w:r w:rsidDel="00000000" w:rsidR="00000000" w:rsidRPr="00000000">
              <w:rPr>
                <w:rtl w:val="0"/>
              </w:rPr>
              <w:t xml:space="preserve">675,0</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5B">
            <w:pPr>
              <w:spacing w:after="300" w:lineRule="auto"/>
              <w:jc w:val="right"/>
              <w:rPr/>
            </w:pPr>
            <w:r w:rsidDel="00000000" w:rsidR="00000000" w:rsidRPr="00000000">
              <w:rPr>
                <w:rtl w:val="0"/>
              </w:rPr>
              <w:t xml:space="preserve">839,0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C">
            <w:pPr>
              <w:spacing w:after="300" w:lineRule="auto"/>
              <w:rPr/>
            </w:pPr>
            <w:r w:rsidDel="00000000" w:rsidR="00000000" w:rsidRPr="00000000">
              <w:rPr>
                <w:rtl w:val="0"/>
              </w:rPr>
              <w:t xml:space="preserve">Produção Industrial - Açúcar e Álcool</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D">
            <w:pPr>
              <w:spacing w:after="300" w:lineRule="auto"/>
              <w:rPr/>
            </w:pPr>
            <w:r w:rsidDel="00000000" w:rsidR="00000000" w:rsidRPr="00000000">
              <w:rPr>
                <w:rtl w:val="0"/>
              </w:rPr>
              <w:t xml:space="preserve">Alerta de Escassez</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E">
            <w:pPr>
              <w:spacing w:after="300" w:lineRule="auto"/>
              <w:jc w:val="right"/>
              <w:rPr/>
            </w:pPr>
            <w:r w:rsidDel="00000000" w:rsidR="00000000" w:rsidRPr="00000000">
              <w:rPr>
                <w:rtl w:val="0"/>
              </w:rPr>
              <w:t xml:space="preserve">5181,0</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5F">
            <w:pPr>
              <w:spacing w:after="300" w:lineRule="auto"/>
              <w:jc w:val="right"/>
              <w:rPr/>
            </w:pPr>
            <w:r w:rsidDel="00000000" w:rsidR="00000000" w:rsidRPr="00000000">
              <w:rPr>
                <w:rtl w:val="0"/>
              </w:rPr>
              <w:t xml:space="preserve">836,0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60">
            <w:pPr>
              <w:spacing w:after="300" w:lineRule="auto"/>
              <w:rPr/>
            </w:pPr>
            <w:r w:rsidDel="00000000" w:rsidR="00000000" w:rsidRPr="00000000">
              <w:rPr>
                <w:rtl w:val="0"/>
              </w:rPr>
              <w:t xml:space="preserve">Produção Industrial - Biotecnologia</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61">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62">
            <w:pPr>
              <w:spacing w:after="300" w:lineRule="auto"/>
              <w:jc w:val="right"/>
              <w:rPr/>
            </w:pPr>
            <w:r w:rsidDel="00000000" w:rsidR="00000000" w:rsidRPr="00000000">
              <w:rPr>
                <w:rtl w:val="0"/>
              </w:rPr>
              <w:t xml:space="preserve">1330,0</w:t>
            </w:r>
          </w:p>
        </w:tc>
        <w:tc>
          <w:tcPr>
            <w:tcBorders>
              <w:top w:color="dddddd" w:space="0" w:sz="6" w:val="single"/>
              <w:left w:color="dddddd" w:space="0" w:sz="6" w:val="single"/>
              <w:bottom w:color="dddddd" w:space="0" w:sz="6" w:val="single"/>
              <w:right w:color="dddddd" w:space="0" w:sz="6" w:val="single"/>
            </w:tcBorders>
            <w:shd w:fill="f9f9f9" w:val="clear"/>
            <w:tcMar>
              <w:top w:w="45.0" w:type="dxa"/>
              <w:left w:w="180.0" w:type="dxa"/>
              <w:bottom w:w="45.0" w:type="dxa"/>
              <w:right w:w="180.0" w:type="dxa"/>
            </w:tcMar>
          </w:tcPr>
          <w:p w:rsidR="00000000" w:rsidDel="00000000" w:rsidP="00000000" w:rsidRDefault="00000000" w:rsidRPr="00000000" w14:paraId="00000063">
            <w:pPr>
              <w:spacing w:after="300" w:lineRule="auto"/>
              <w:jc w:val="right"/>
              <w:rPr/>
            </w:pPr>
            <w:r w:rsidDel="00000000" w:rsidR="00000000" w:rsidRPr="00000000">
              <w:rPr>
                <w:rtl w:val="0"/>
              </w:rPr>
              <w:t xml:space="preserve">830,0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64">
            <w:pPr>
              <w:spacing w:after="300" w:lineRule="auto"/>
              <w:rPr/>
            </w:pPr>
            <w:r w:rsidDel="00000000" w:rsidR="00000000" w:rsidRPr="00000000">
              <w:rPr>
                <w:rtl w:val="0"/>
              </w:rPr>
              <w:t xml:space="preserve">Produção Alimentícia - Confeitaria</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65">
            <w:pPr>
              <w:spacing w:after="300" w:lineRule="auto"/>
              <w:rPr/>
            </w:pPr>
            <w:r w:rsidDel="00000000" w:rsidR="00000000" w:rsidRPr="00000000">
              <w:rPr>
                <w:rtl w:val="0"/>
              </w:rPr>
              <w:t xml:space="preserve">Tendência de Escassez</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66">
            <w:pPr>
              <w:spacing w:after="300" w:lineRule="auto"/>
              <w:jc w:val="right"/>
              <w:rPr/>
            </w:pPr>
            <w:r w:rsidDel="00000000" w:rsidR="00000000" w:rsidRPr="00000000">
              <w:rPr>
                <w:rtl w:val="0"/>
              </w:rPr>
              <w:t xml:space="preserve">1221,0</w:t>
            </w:r>
          </w:p>
        </w:tc>
        <w:tc>
          <w:tcPr>
            <w:tcBorders>
              <w:top w:color="dddddd" w:space="0" w:sz="6" w:val="single"/>
              <w:left w:color="dddddd" w:space="0" w:sz="6" w:val="single"/>
              <w:bottom w:color="dddddd" w:space="0" w:sz="6" w:val="single"/>
              <w:right w:color="dddddd" w:space="0" w:sz="6" w:val="single"/>
            </w:tcBorders>
            <w:shd w:fill="auto" w:val="clear"/>
            <w:tcMar>
              <w:top w:w="45.0" w:type="dxa"/>
              <w:left w:w="180.0" w:type="dxa"/>
              <w:bottom w:w="45.0" w:type="dxa"/>
              <w:right w:w="180.0" w:type="dxa"/>
            </w:tcMar>
          </w:tcPr>
          <w:p w:rsidR="00000000" w:rsidDel="00000000" w:rsidP="00000000" w:rsidRDefault="00000000" w:rsidRPr="00000000" w14:paraId="00000067">
            <w:pPr>
              <w:spacing w:after="300" w:lineRule="auto"/>
              <w:jc w:val="right"/>
              <w:rPr/>
            </w:pPr>
            <w:r w:rsidDel="00000000" w:rsidR="00000000" w:rsidRPr="00000000">
              <w:rPr>
                <w:rtl w:val="0"/>
              </w:rPr>
              <w:t xml:space="preserve">826,0</w:t>
            </w:r>
          </w:p>
        </w:tc>
      </w:tr>
    </w:tbl>
    <w:p w:rsidR="00000000" w:rsidDel="00000000" w:rsidP="00000000" w:rsidRDefault="00000000" w:rsidRPr="00000000" w14:paraId="00000068">
      <w:pPr>
        <w:spacing w:before="280" w:line="240" w:lineRule="auto"/>
        <w:jc w:val="both"/>
        <w:rPr>
          <w:rFonts w:ascii="Times New Roman" w:cs="Times New Roman" w:eastAsia="Times New Roman" w:hAnsi="Times New Roman"/>
          <w:color w:val="ff0000"/>
          <w:sz w:val="24"/>
          <w:szCs w:val="24"/>
        </w:rPr>
      </w:pPr>
      <w:bookmarkStart w:colFirst="0" w:colLast="0" w:name="_heading=h.46ntjmfwlzst" w:id="1"/>
      <w:bookmarkEnd w:id="1"/>
      <w:r w:rsidDel="00000000" w:rsidR="00000000" w:rsidRPr="00000000">
        <w:rPr>
          <w:rFonts w:ascii="Times New Roman" w:cs="Times New Roman" w:eastAsia="Times New Roman" w:hAnsi="Times New Roman"/>
          <w:color w:val="ff0000"/>
          <w:sz w:val="24"/>
          <w:szCs w:val="24"/>
          <w:rtl w:val="0"/>
        </w:rPr>
        <w:t xml:space="preserve">Suhas, antes de continuar aqui acho importante eu conversar com você sobre a melhor forma de apresentarmos os resultados. Estou disponível nesta quinta pela manhã, por favor, me avise o melhor horário para você.</w:t>
      </w:r>
    </w:p>
    <w:sectPr>
      <w:footerReference r:id="rId10"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na Bomura" w:id="0" w:date="2025-08-28T16:16:36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Sugiro reduzir o texto do método, focando no que o gestor precisa compreender da metodologia para interpretar os dados.</w:t>
      </w:r>
    </w:p>
  </w:comment>
  <w:comment w:author="Marina Bomura" w:id="1" w:date="2025-08-28T16:17:26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Mudaria as categorias da situação de escassez para alta, média e baixa.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D" w15:done="0"/>
  <w15:commentEx w15:paraId="000000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heri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Nascimento (2011) usa o método para identificar focos de escassez de pessoal técnico-científico no Brasil, enquanto que as três obras citadas na sequência o fazem para outros recortes. Sousa e Nascimento (2012) focam nas carreiras técnico-científicas no setor de telecomunicações no Brasil; Nascimento (2012) observam os postos de trabalho altamente demandantes de competências relacionadas à engenharia e ao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nas oito maiores regiões metropolitanas do país. Lopes (2013) estuda as profissões ligadas à engenharia e à arquitetura no estado do Mato Grosso.</w:t>
      </w:r>
    </w:p>
  </w:footnote>
  <w:footnote w:id="1">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Bastante utilizado em estudos regionais e urbanos, o coeficiente locacional “ajuda a entender o grau relativo de concentração de um determinado fenômeno em cada região de um país” (Maciente, Pereira e Nascimento, 2013, p. 430). No caso ora em análise, o fenômeno seriam os postos de trabalho relacionados a um determinado grupo ocupacional.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extodenotaderodap">
    <w:name w:val="footnote text"/>
    <w:basedOn w:val="Normal"/>
    <w:link w:val="TextodenotaderodapChar"/>
    <w:uiPriority w:val="99"/>
    <w:semiHidden w:val="1"/>
    <w:unhideWhenUsed w:val="1"/>
    <w:rsid w:val="00644489"/>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644489"/>
    <w:rPr>
      <w:sz w:val="20"/>
      <w:szCs w:val="20"/>
    </w:rPr>
  </w:style>
  <w:style w:type="character" w:styleId="Refdenotaderodap">
    <w:name w:val="footnote reference"/>
    <w:basedOn w:val="Fontepargpadro"/>
    <w:uiPriority w:val="99"/>
    <w:semiHidden w:val="1"/>
    <w:unhideWhenUsed w:val="1"/>
    <w:rsid w:val="00644489"/>
    <w:rPr>
      <w:vertAlign w:val="superscript"/>
    </w:rPr>
  </w:style>
  <w:style w:type="numbering" w:styleId="WWOutlineListStyle2" w:customStyle="1">
    <w:name w:val="WW_OutlineListStyle_2"/>
    <w:basedOn w:val="Semlista"/>
    <w:rsid w:val="00644489"/>
    <w:pPr>
      <w:numPr>
        <w:numId w:val="1"/>
      </w:numPr>
    </w:pPr>
  </w:style>
  <w:style w:type="paragraph" w:styleId="Heading11" w:customStyle="1">
    <w:name w:val="Heading 11"/>
    <w:basedOn w:val="Normal"/>
    <w:next w:val="Normal"/>
    <w:rsid w:val="00644489"/>
    <w:pPr>
      <w:keepNext w:val="1"/>
      <w:keepLines w:val="1"/>
      <w:widowControl w:val="0"/>
      <w:numPr>
        <w:numId w:val="1"/>
      </w:numPr>
      <w:tabs>
        <w:tab w:val="left" w:pos="709"/>
      </w:tabs>
      <w:suppressAutoHyphens w:val="1"/>
      <w:autoSpaceDN w:val="0"/>
      <w:spacing w:after="0" w:before="480" w:line="240" w:lineRule="auto"/>
      <w:textAlignment w:val="baseline"/>
      <w:outlineLvl w:val="0"/>
    </w:pPr>
    <w:rPr>
      <w:rFonts w:ascii="Arial" w:cs="Lohit Hindi" w:eastAsia="WenQuanYi Micro Hei" w:hAnsi="Arial"/>
      <w:b w:val="1"/>
      <w:bCs w:val="1"/>
      <w:kern w:val="3"/>
      <w:szCs w:val="32"/>
      <w:lang w:bidi="hi-IN" w:eastAsia="zh-CN"/>
    </w:rPr>
  </w:style>
  <w:style w:type="paragraph" w:styleId="Heading21" w:customStyle="1">
    <w:name w:val="Heading 21"/>
    <w:basedOn w:val="Normal"/>
    <w:next w:val="Normal"/>
    <w:rsid w:val="00644489"/>
    <w:pPr>
      <w:keepNext w:val="1"/>
      <w:keepLines w:val="1"/>
      <w:widowControl w:val="0"/>
      <w:numPr>
        <w:ilvl w:val="1"/>
        <w:numId w:val="1"/>
      </w:numPr>
      <w:tabs>
        <w:tab w:val="left" w:pos="709"/>
      </w:tabs>
      <w:suppressAutoHyphens w:val="1"/>
      <w:autoSpaceDN w:val="0"/>
      <w:spacing w:after="0" w:before="200" w:line="240" w:lineRule="auto"/>
      <w:textAlignment w:val="baseline"/>
      <w:outlineLvl w:val="1"/>
    </w:pPr>
    <w:rPr>
      <w:rFonts w:ascii="Arial" w:cs="Lohit Hindi" w:eastAsia="WenQuanYi Micro Hei" w:hAnsi="Arial"/>
      <w:b w:val="1"/>
      <w:bCs w:val="1"/>
      <w:kern w:val="3"/>
      <w:szCs w:val="26"/>
      <w:shd w:color="auto" w:fill="ffffff" w:val="clear"/>
      <w:lang w:bidi="hi-IN" w:eastAsia="zh-CN"/>
    </w:rPr>
  </w:style>
  <w:style w:type="paragraph" w:styleId="Heading31" w:customStyle="1">
    <w:name w:val="Heading 31"/>
    <w:basedOn w:val="Normal"/>
    <w:next w:val="Normal"/>
    <w:rsid w:val="00644489"/>
    <w:pPr>
      <w:keepNext w:val="1"/>
      <w:keepLines w:val="1"/>
      <w:widowControl w:val="0"/>
      <w:numPr>
        <w:ilvl w:val="2"/>
        <w:numId w:val="1"/>
      </w:numPr>
      <w:tabs>
        <w:tab w:val="left" w:pos="709"/>
      </w:tabs>
      <w:suppressAutoHyphens w:val="1"/>
      <w:autoSpaceDN w:val="0"/>
      <w:spacing w:after="0" w:before="200" w:line="240" w:lineRule="auto"/>
      <w:textAlignment w:val="baseline"/>
      <w:outlineLvl w:val="2"/>
    </w:pPr>
    <w:rPr>
      <w:rFonts w:ascii="Calibri" w:cs="Lohit Hindi" w:eastAsia="WenQuanYi Micro Hei" w:hAnsi="Calibri"/>
      <w:b w:val="1"/>
      <w:bCs w:val="1"/>
      <w:color w:val="4f81bd"/>
      <w:kern w:val="3"/>
      <w:sz w:val="24"/>
      <w:szCs w:val="24"/>
      <w:lang w:bidi="hi-IN" w:eastAsia="zh-CN"/>
    </w:rPr>
  </w:style>
  <w:style w:type="paragraph" w:styleId="Heading41" w:customStyle="1">
    <w:name w:val="Heading 41"/>
    <w:basedOn w:val="Normal"/>
    <w:next w:val="Normal"/>
    <w:rsid w:val="00644489"/>
    <w:pPr>
      <w:keepNext w:val="1"/>
      <w:keepLines w:val="1"/>
      <w:widowControl w:val="0"/>
      <w:numPr>
        <w:ilvl w:val="3"/>
        <w:numId w:val="1"/>
      </w:numPr>
      <w:tabs>
        <w:tab w:val="left" w:pos="709"/>
      </w:tabs>
      <w:suppressAutoHyphens w:val="1"/>
      <w:autoSpaceDN w:val="0"/>
      <w:spacing w:after="0" w:before="200" w:line="240" w:lineRule="auto"/>
      <w:textAlignment w:val="baseline"/>
      <w:outlineLvl w:val="3"/>
    </w:pPr>
    <w:rPr>
      <w:rFonts w:ascii="Calibri" w:cs="Lohit Hindi" w:eastAsia="WenQuanYi Micro Hei" w:hAnsi="Calibri"/>
      <w:b w:val="1"/>
      <w:bCs w:val="1"/>
      <w:i w:val="1"/>
      <w:iCs w:val="1"/>
      <w:color w:val="4f81bd"/>
      <w:kern w:val="3"/>
      <w:sz w:val="24"/>
      <w:szCs w:val="24"/>
      <w:lang w:bidi="hi-IN" w:eastAsia="zh-CN"/>
    </w:rPr>
  </w:style>
  <w:style w:type="paragraph" w:styleId="Heading51" w:customStyle="1">
    <w:name w:val="Heading 51"/>
    <w:basedOn w:val="Normal"/>
    <w:next w:val="Normal"/>
    <w:rsid w:val="00644489"/>
    <w:pPr>
      <w:keepNext w:val="1"/>
      <w:keepLines w:val="1"/>
      <w:widowControl w:val="0"/>
      <w:numPr>
        <w:ilvl w:val="4"/>
        <w:numId w:val="1"/>
      </w:numPr>
      <w:tabs>
        <w:tab w:val="left" w:pos="709"/>
      </w:tabs>
      <w:suppressAutoHyphens w:val="1"/>
      <w:autoSpaceDN w:val="0"/>
      <w:spacing w:after="0" w:before="200" w:line="240" w:lineRule="auto"/>
      <w:textAlignment w:val="baseline"/>
      <w:outlineLvl w:val="4"/>
    </w:pPr>
    <w:rPr>
      <w:rFonts w:ascii="Calibri" w:cs="Lohit Hindi" w:eastAsia="WenQuanYi Micro Hei" w:hAnsi="Calibri"/>
      <w:color w:val="243f60"/>
      <w:kern w:val="3"/>
      <w:sz w:val="24"/>
      <w:szCs w:val="24"/>
      <w:lang w:bidi="hi-IN" w:eastAsia="zh-CN"/>
    </w:rPr>
  </w:style>
  <w:style w:type="paragraph" w:styleId="Heading61" w:customStyle="1">
    <w:name w:val="Heading 61"/>
    <w:basedOn w:val="Normal"/>
    <w:next w:val="Normal"/>
    <w:rsid w:val="00644489"/>
    <w:pPr>
      <w:keepNext w:val="1"/>
      <w:keepLines w:val="1"/>
      <w:widowControl w:val="0"/>
      <w:numPr>
        <w:ilvl w:val="5"/>
        <w:numId w:val="1"/>
      </w:numPr>
      <w:tabs>
        <w:tab w:val="left" w:pos="709"/>
      </w:tabs>
      <w:suppressAutoHyphens w:val="1"/>
      <w:autoSpaceDN w:val="0"/>
      <w:spacing w:after="0" w:before="200" w:line="240" w:lineRule="auto"/>
      <w:textAlignment w:val="baseline"/>
      <w:outlineLvl w:val="5"/>
    </w:pPr>
    <w:rPr>
      <w:rFonts w:ascii="Calibri" w:cs="Lohit Hindi" w:eastAsia="WenQuanYi Micro Hei" w:hAnsi="Calibri"/>
      <w:i w:val="1"/>
      <w:iCs w:val="1"/>
      <w:color w:val="243f60"/>
      <w:kern w:val="3"/>
      <w:sz w:val="24"/>
      <w:szCs w:val="24"/>
      <w:lang w:bidi="hi-IN" w:eastAsia="zh-CN"/>
    </w:rPr>
  </w:style>
  <w:style w:type="paragraph" w:styleId="Heading71" w:customStyle="1">
    <w:name w:val="Heading 71"/>
    <w:basedOn w:val="Normal"/>
    <w:next w:val="Normal"/>
    <w:rsid w:val="00644489"/>
    <w:pPr>
      <w:keepNext w:val="1"/>
      <w:keepLines w:val="1"/>
      <w:widowControl w:val="0"/>
      <w:numPr>
        <w:ilvl w:val="6"/>
        <w:numId w:val="1"/>
      </w:numPr>
      <w:tabs>
        <w:tab w:val="left" w:pos="709"/>
      </w:tabs>
      <w:suppressAutoHyphens w:val="1"/>
      <w:autoSpaceDN w:val="0"/>
      <w:spacing w:after="0" w:before="200" w:line="240" w:lineRule="auto"/>
      <w:textAlignment w:val="baseline"/>
      <w:outlineLvl w:val="6"/>
    </w:pPr>
    <w:rPr>
      <w:rFonts w:ascii="Calibri" w:cs="Lohit Hindi" w:eastAsia="WenQuanYi Micro Hei" w:hAnsi="Calibri"/>
      <w:i w:val="1"/>
      <w:iCs w:val="1"/>
      <w:color w:val="404040"/>
      <w:kern w:val="3"/>
      <w:sz w:val="24"/>
      <w:szCs w:val="24"/>
      <w:lang w:bidi="hi-IN" w:eastAsia="zh-CN"/>
    </w:rPr>
  </w:style>
  <w:style w:type="paragraph" w:styleId="Heading81" w:customStyle="1">
    <w:name w:val="Heading 81"/>
    <w:basedOn w:val="Normal"/>
    <w:next w:val="Normal"/>
    <w:rsid w:val="00644489"/>
    <w:pPr>
      <w:keepNext w:val="1"/>
      <w:keepLines w:val="1"/>
      <w:widowControl w:val="0"/>
      <w:numPr>
        <w:ilvl w:val="7"/>
        <w:numId w:val="1"/>
      </w:numPr>
      <w:tabs>
        <w:tab w:val="left" w:pos="709"/>
      </w:tabs>
      <w:suppressAutoHyphens w:val="1"/>
      <w:autoSpaceDN w:val="0"/>
      <w:spacing w:after="0" w:before="200" w:line="240" w:lineRule="auto"/>
      <w:textAlignment w:val="baseline"/>
      <w:outlineLvl w:val="7"/>
    </w:pPr>
    <w:rPr>
      <w:rFonts w:ascii="Calibri" w:cs="Lohit Hindi" w:eastAsia="WenQuanYi Micro Hei" w:hAnsi="Calibri"/>
      <w:color w:val="404040"/>
      <w:kern w:val="3"/>
      <w:sz w:val="20"/>
      <w:szCs w:val="20"/>
      <w:lang w:bidi="hi-IN" w:eastAsia="zh-CN"/>
    </w:rPr>
  </w:style>
  <w:style w:type="paragraph" w:styleId="Heading91" w:customStyle="1">
    <w:name w:val="Heading 91"/>
    <w:basedOn w:val="Normal"/>
    <w:next w:val="Normal"/>
    <w:rsid w:val="00644489"/>
    <w:pPr>
      <w:keepNext w:val="1"/>
      <w:keepLines w:val="1"/>
      <w:widowControl w:val="0"/>
      <w:numPr>
        <w:ilvl w:val="8"/>
        <w:numId w:val="1"/>
      </w:numPr>
      <w:tabs>
        <w:tab w:val="left" w:pos="709"/>
      </w:tabs>
      <w:suppressAutoHyphens w:val="1"/>
      <w:autoSpaceDN w:val="0"/>
      <w:spacing w:after="0" w:before="200" w:line="240" w:lineRule="auto"/>
      <w:textAlignment w:val="baseline"/>
      <w:outlineLvl w:val="8"/>
    </w:pPr>
    <w:rPr>
      <w:rFonts w:ascii="Calibri" w:cs="Lohit Hindi" w:eastAsia="WenQuanYi Micro Hei" w:hAnsi="Calibri"/>
      <w:i w:val="1"/>
      <w:iCs w:val="1"/>
      <w:color w:val="404040"/>
      <w:kern w:val="3"/>
      <w:sz w:val="20"/>
      <w:szCs w:val="20"/>
      <w:lang w:bidi="hi-IN" w:eastAsia="zh-CN"/>
    </w:rPr>
  </w:style>
  <w:style w:type="paragraph" w:styleId="NormalWeb">
    <w:name w:val="Normal (Web)"/>
    <w:basedOn w:val="Normal"/>
    <w:uiPriority w:val="99"/>
    <w:unhideWhenUsed w:val="1"/>
    <w:rsid w:val="00644489"/>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644489"/>
    <w:rPr>
      <w:b w:val="1"/>
      <w:bCs w:val="1"/>
    </w:rPr>
  </w:style>
  <w:style w:type="character" w:styleId="nfase">
    <w:name w:val="Emphasis"/>
    <w:basedOn w:val="Fontepargpadro"/>
    <w:uiPriority w:val="20"/>
    <w:qFormat w:val="1"/>
    <w:rsid w:val="005159B2"/>
    <w:rPr>
      <w:i w:val="1"/>
      <w:iCs w:val="1"/>
    </w:rPr>
  </w:style>
  <w:style w:type="character" w:styleId="Ttulo2Char" w:customStyle="1">
    <w:name w:val="Título 2 Char"/>
    <w:basedOn w:val="Fontepargpadro"/>
    <w:link w:val="Ttulo2"/>
    <w:uiPriority w:val="9"/>
    <w:rsid w:val="00132515"/>
    <w:rPr>
      <w:rFonts w:ascii="Times New Roman" w:cs="Times New Roman" w:eastAsia="Times New Roman" w:hAnsi="Times New Roman"/>
      <w:b w:val="1"/>
      <w:bCs w:val="1"/>
      <w:sz w:val="36"/>
      <w:szCs w:val="36"/>
      <w:lang w:eastAsia="pt-BR"/>
    </w:rPr>
  </w:style>
  <w:style w:type="paragraph" w:styleId="Cabealho">
    <w:name w:val="header"/>
    <w:basedOn w:val="Normal"/>
    <w:link w:val="CabealhoChar"/>
    <w:uiPriority w:val="99"/>
    <w:unhideWhenUsed w:val="1"/>
    <w:rsid w:val="001650B5"/>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650B5"/>
  </w:style>
  <w:style w:type="paragraph" w:styleId="Rodap">
    <w:name w:val="footer"/>
    <w:basedOn w:val="Normal"/>
    <w:link w:val="RodapChar"/>
    <w:uiPriority w:val="99"/>
    <w:unhideWhenUsed w:val="1"/>
    <w:rsid w:val="001650B5"/>
    <w:pPr>
      <w:tabs>
        <w:tab w:val="center" w:pos="4252"/>
        <w:tab w:val="right" w:pos="8504"/>
      </w:tabs>
      <w:spacing w:after="0" w:line="240" w:lineRule="auto"/>
    </w:pPr>
  </w:style>
  <w:style w:type="character" w:styleId="RodapChar" w:customStyle="1">
    <w:name w:val="Rodapé Char"/>
    <w:basedOn w:val="Fontepargpadro"/>
    <w:link w:val="Rodap"/>
    <w:uiPriority w:val="99"/>
    <w:rsid w:val="001650B5"/>
  </w:style>
  <w:style w:type="character" w:styleId="Ttulo4Char" w:customStyle="1">
    <w:name w:val="Título 4 Char"/>
    <w:basedOn w:val="Fontepargpadro"/>
    <w:link w:val="Ttulo4"/>
    <w:uiPriority w:val="9"/>
    <w:semiHidden w:val="1"/>
    <w:rsid w:val="00DA6546"/>
    <w:rPr>
      <w:rFonts w:asciiTheme="majorHAnsi" w:cstheme="majorBidi" w:eastAsiaTheme="majorEastAsia" w:hAnsiTheme="majorHAnsi"/>
      <w:i w:val="1"/>
      <w:iCs w:val="1"/>
      <w:color w:val="2e74b5"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Ge2xmjc+nMJTJHaWv7MK5WNWpQ==">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2025-08-27T19:43:00Z</dcterms:created>
  <dc:creator>Paulo Augusto Meyer Matos Nascimento</dc:creator>
</cp:coreProperties>
</file>