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/>
          <w:b/>
          <w:sz w:val="26"/>
        </w:rPr>
        <w:t>ПРОГРАММА ПУСКОНАЛАДОЧНЫХ РАБОТ</w:t>
      </w:r>
    </w:p>
    <w:p>
      <w:pPr>
        <w:jc w:val="center"/>
      </w:pPr>
      <w:r>
        <w:rPr>
          <w:rFonts w:ascii="Times New Roman" w:hAnsi="Times New Roman"/>
          <w:b w:val="0"/>
          <w:sz w:val="22"/>
        </w:rPr>
        <w:t>Тестовая школа</w:t>
      </w:r>
    </w:p>
    <w:p>
      <w:pPr>
        <w:jc w:val="center"/>
      </w:pPr>
      <w:r>
        <w:rPr>
          <w:rFonts w:ascii="Times New Roman" w:hAnsi="Times New Roman"/>
          <w:b w:val="0"/>
          <w:sz w:val="20"/>
        </w:rPr>
        <w:t>Код: ТЕСТ-2025-001  |  Стадия: Р  |  Ред.: 0  |  Дата: 2026-04-18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2"/>
        <w:gridCol w:w="2162"/>
        <w:gridCol w:w="2162"/>
        <w:gridCol w:w="2162"/>
        <w:gridCol w:w="2162"/>
        <w:gridCol w:w="2162"/>
        <w:gridCol w:w="2162"/>
      </w:tblGrid>
      <w:tr>
        <w:tc>
          <w:tcPr>
            <w:tcW w:type="dxa" w:w="454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№</w:t>
            </w:r>
          </w:p>
        </w:tc>
        <w:tc>
          <w:tcPr>
            <w:tcW w:type="dxa" w:w="538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Наименование работы</w:t>
            </w:r>
          </w:p>
        </w:tc>
        <w:tc>
          <w:tcPr>
            <w:tcW w:type="dxa" w:w="2154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Норматив</w:t>
            </w:r>
          </w:p>
        </w:tc>
        <w:tc>
          <w:tcPr>
            <w:tcW w:type="dxa" w:w="85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Ед.</w:t>
            </w:r>
          </w:p>
        </w:tc>
        <w:tc>
          <w:tcPr>
            <w:tcW w:type="dxa" w:w="85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Кол.</w:t>
            </w:r>
          </w:p>
        </w:tc>
        <w:tc>
          <w:tcPr>
            <w:tcW w:type="dxa" w:w="2268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Исполнитель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Срок, дн.</w:t>
            </w:r>
          </w:p>
        </w:tc>
      </w:tr>
      <w:tr>
        <w:tc>
          <w:tcPr>
            <w:tcW w:type="dxa" w:w="15134"/>
            <w:gridSpan w:val="7"/>
          </w:tcPr>
          <w:p>
            <w:pPr>
              <w:jc w:val="left"/>
            </w:pPr>
            <w:r>
              <w:rPr>
                <w:rFonts w:ascii="Times New Roman" w:hAnsi="Times New Roman"/>
                <w:b/>
                <w:sz w:val="20"/>
              </w:rPr>
              <w:t xml:space="preserve">  1. Подготовительные работы</w:t>
            </w:r>
          </w:p>
        </w:tc>
      </w:tr>
      <w:tr>
        <w:tc>
          <w:tcPr>
            <w:tcW w:type="dxa" w:w="454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1</w:t>
            </w:r>
          </w:p>
        </w:tc>
        <w:tc>
          <w:tcPr>
            <w:tcW w:type="dxa" w:w="5386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Изучение проектной документации и ТУ</w:t>
            </w:r>
          </w:p>
        </w:tc>
        <w:tc>
          <w:tcPr>
            <w:tcW w:type="dxa" w:w="2154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СНиП 3.05.06-85 п.4.1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компл.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1</w:t>
            </w:r>
          </w:p>
        </w:tc>
        <w:tc>
          <w:tcPr>
            <w:tcW w:type="dxa" w:w="2268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ПНР-организация</w:t>
            </w:r>
          </w:p>
        </w:tc>
        <w:tc>
          <w:tcPr>
            <w:tcW w:type="dxa" w:w="1020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1</w:t>
            </w:r>
          </w:p>
        </w:tc>
      </w:tr>
      <w:tr>
        <w:tc>
          <w:tcPr>
            <w:tcW w:type="dxa" w:w="454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2</w:t>
            </w:r>
          </w:p>
        </w:tc>
        <w:tc>
          <w:tcPr>
            <w:tcW w:type="dxa" w:w="5386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Входной контроль поставленного оборудования</w:t>
            </w:r>
          </w:p>
        </w:tc>
        <w:tc>
          <w:tcPr>
            <w:tcW w:type="dxa" w:w="2154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СНиП 3.05.06-85 п.4.2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позиция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7</w:t>
            </w:r>
          </w:p>
        </w:tc>
        <w:tc>
          <w:tcPr>
            <w:tcW w:type="dxa" w:w="2268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Генподрядчик</w:t>
            </w:r>
          </w:p>
        </w:tc>
        <w:tc>
          <w:tcPr>
            <w:tcW w:type="dxa" w:w="1020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1</w:t>
            </w:r>
          </w:p>
        </w:tc>
      </w:tr>
      <w:tr>
        <w:tc>
          <w:tcPr>
            <w:tcW w:type="dxa" w:w="454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3</w:t>
            </w:r>
          </w:p>
        </w:tc>
        <w:tc>
          <w:tcPr>
            <w:tcW w:type="dxa" w:w="5386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Проверка наличия и комплектности технической документации на оборудование</w:t>
            </w:r>
          </w:p>
        </w:tc>
        <w:tc>
          <w:tcPr>
            <w:tcW w:type="dxa" w:w="2154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ПТЭЭП п.1.5.1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компл.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1</w:t>
            </w:r>
          </w:p>
        </w:tc>
        <w:tc>
          <w:tcPr>
            <w:tcW w:type="dxa" w:w="2268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ПНР-организация</w:t>
            </w:r>
          </w:p>
        </w:tc>
        <w:tc>
          <w:tcPr>
            <w:tcW w:type="dxa" w:w="1020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1</w:t>
            </w:r>
          </w:p>
        </w:tc>
      </w:tr>
      <w:tr>
        <w:tc>
          <w:tcPr>
            <w:tcW w:type="dxa" w:w="15134"/>
            <w:gridSpan w:val="7"/>
          </w:tcPr>
          <w:p>
            <w:pPr>
              <w:jc w:val="left"/>
            </w:pPr>
            <w:r>
              <w:rPr>
                <w:rFonts w:ascii="Times New Roman" w:hAnsi="Times New Roman"/>
                <w:b/>
                <w:sz w:val="20"/>
              </w:rPr>
              <w:t xml:space="preserve">  2. Визуальный осмотр и проверка монтажа</w:t>
            </w:r>
          </w:p>
        </w:tc>
      </w:tr>
      <w:tr>
        <w:tc>
          <w:tcPr>
            <w:tcW w:type="dxa" w:w="454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4</w:t>
            </w:r>
          </w:p>
        </w:tc>
        <w:tc>
          <w:tcPr>
            <w:tcW w:type="dxa" w:w="5386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Визуальный осмотр щитов, ВРУ и электрооборудования</w:t>
            </w:r>
          </w:p>
        </w:tc>
        <w:tc>
          <w:tcPr>
            <w:tcW w:type="dxa" w:w="2154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ПУЭ п.1.8.1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компл.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1</w:t>
            </w:r>
          </w:p>
        </w:tc>
        <w:tc>
          <w:tcPr>
            <w:tcW w:type="dxa" w:w="2268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ПНР-организация</w:t>
            </w:r>
          </w:p>
        </w:tc>
        <w:tc>
          <w:tcPr>
            <w:tcW w:type="dxa" w:w="1020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1</w:t>
            </w:r>
          </w:p>
        </w:tc>
      </w:tr>
      <w:tr>
        <w:tc>
          <w:tcPr>
            <w:tcW w:type="dxa" w:w="454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5</w:t>
            </w:r>
          </w:p>
        </w:tc>
        <w:tc>
          <w:tcPr>
            <w:tcW w:type="dxa" w:w="5386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Проверка соответствия монтажа проектной документации</w:t>
            </w:r>
          </w:p>
        </w:tc>
        <w:tc>
          <w:tcPr>
            <w:tcW w:type="dxa" w:w="2154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РД 34.20.501 п.4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компл.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1</w:t>
            </w:r>
          </w:p>
        </w:tc>
        <w:tc>
          <w:tcPr>
            <w:tcW w:type="dxa" w:w="2268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ПНР-организация</w:t>
            </w:r>
          </w:p>
        </w:tc>
        <w:tc>
          <w:tcPr>
            <w:tcW w:type="dxa" w:w="1020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1</w:t>
            </w:r>
          </w:p>
        </w:tc>
      </w:tr>
      <w:tr>
        <w:tc>
          <w:tcPr>
            <w:tcW w:type="dxa" w:w="454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6</w:t>
            </w:r>
          </w:p>
        </w:tc>
        <w:tc>
          <w:tcPr>
            <w:tcW w:type="dxa" w:w="5386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Проверка правильности подключения фаз и маркировки шин</w:t>
            </w:r>
          </w:p>
        </w:tc>
        <w:tc>
          <w:tcPr>
            <w:tcW w:type="dxa" w:w="2154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ПУЭ п.1.8.20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точка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7</w:t>
            </w:r>
          </w:p>
        </w:tc>
        <w:tc>
          <w:tcPr>
            <w:tcW w:type="dxa" w:w="2268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ПНР-организация</w:t>
            </w:r>
          </w:p>
        </w:tc>
        <w:tc>
          <w:tcPr>
            <w:tcW w:type="dxa" w:w="1020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1</w:t>
            </w:r>
          </w:p>
        </w:tc>
      </w:tr>
      <w:tr>
        <w:tc>
          <w:tcPr>
            <w:tcW w:type="dxa" w:w="454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7</w:t>
            </w:r>
          </w:p>
        </w:tc>
        <w:tc>
          <w:tcPr>
            <w:tcW w:type="dxa" w:w="5386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Проверка защитного заземления (PE) всех корпусов</w:t>
            </w:r>
          </w:p>
        </w:tc>
        <w:tc>
          <w:tcPr>
            <w:tcW w:type="dxa" w:w="2154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ПУЭ п.1.7.82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точка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7</w:t>
            </w:r>
          </w:p>
        </w:tc>
        <w:tc>
          <w:tcPr>
            <w:tcW w:type="dxa" w:w="2268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ПНР-организация</w:t>
            </w:r>
          </w:p>
        </w:tc>
        <w:tc>
          <w:tcPr>
            <w:tcW w:type="dxa" w:w="1020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1</w:t>
            </w:r>
          </w:p>
        </w:tc>
      </w:tr>
      <w:tr>
        <w:tc>
          <w:tcPr>
            <w:tcW w:type="dxa" w:w="15134"/>
            <w:gridSpan w:val="7"/>
          </w:tcPr>
          <w:p>
            <w:pPr>
              <w:jc w:val="left"/>
            </w:pPr>
            <w:r>
              <w:rPr>
                <w:rFonts w:ascii="Times New Roman" w:hAnsi="Times New Roman"/>
                <w:b/>
                <w:sz w:val="20"/>
              </w:rPr>
              <w:t xml:space="preserve">  3. Измерения и испытания изоляции</w:t>
            </w:r>
          </w:p>
        </w:tc>
      </w:tr>
      <w:tr>
        <w:tc>
          <w:tcPr>
            <w:tcW w:type="dxa" w:w="454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8</w:t>
            </w:r>
          </w:p>
        </w:tc>
        <w:tc>
          <w:tcPr>
            <w:tcW w:type="dxa" w:w="5386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Измерение сопротивления изоляции кабелей (Uисп=1000 В)</w:t>
            </w:r>
          </w:p>
        </w:tc>
        <w:tc>
          <w:tcPr>
            <w:tcW w:type="dxa" w:w="2154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ПУЭ п.1.8.37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линия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21</w:t>
            </w:r>
          </w:p>
        </w:tc>
        <w:tc>
          <w:tcPr>
            <w:tcW w:type="dxa" w:w="2268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ПНР-организация</w:t>
            </w:r>
          </w:p>
        </w:tc>
        <w:tc>
          <w:tcPr>
            <w:tcW w:type="dxa" w:w="1020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2</w:t>
            </w:r>
          </w:p>
        </w:tc>
      </w:tr>
      <w:tr>
        <w:tc>
          <w:tcPr>
            <w:tcW w:type="dxa" w:w="454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9</w:t>
            </w:r>
          </w:p>
        </w:tc>
        <w:tc>
          <w:tcPr>
            <w:tcW w:type="dxa" w:w="5386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Измерение сопротивления петли фаза-нуль</w:t>
            </w:r>
          </w:p>
        </w:tc>
        <w:tc>
          <w:tcPr>
            <w:tcW w:type="dxa" w:w="2154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ПУЭ п.1.8.36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точка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20</w:t>
            </w:r>
          </w:p>
        </w:tc>
        <w:tc>
          <w:tcPr>
            <w:tcW w:type="dxa" w:w="2268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ПНР-организация</w:t>
            </w:r>
          </w:p>
        </w:tc>
        <w:tc>
          <w:tcPr>
            <w:tcW w:type="dxa" w:w="1020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1</w:t>
            </w:r>
          </w:p>
        </w:tc>
      </w:tr>
      <w:tr>
        <w:tc>
          <w:tcPr>
            <w:tcW w:type="dxa" w:w="454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10</w:t>
            </w:r>
          </w:p>
        </w:tc>
        <w:tc>
          <w:tcPr>
            <w:tcW w:type="dxa" w:w="5386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Измерение сопротивления заземляющего устройства</w:t>
            </w:r>
          </w:p>
        </w:tc>
        <w:tc>
          <w:tcPr>
            <w:tcW w:type="dxa" w:w="2154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ПУЭ п.1.8.39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замер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1</w:t>
            </w:r>
          </w:p>
        </w:tc>
        <w:tc>
          <w:tcPr>
            <w:tcW w:type="dxa" w:w="2268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ПНР-организация</w:t>
            </w:r>
          </w:p>
        </w:tc>
        <w:tc>
          <w:tcPr>
            <w:tcW w:type="dxa" w:w="1020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1</w:t>
            </w:r>
          </w:p>
        </w:tc>
      </w:tr>
      <w:tr>
        <w:tc>
          <w:tcPr>
            <w:tcW w:type="dxa" w:w="454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11</w:t>
            </w:r>
          </w:p>
        </w:tc>
        <w:tc>
          <w:tcPr>
            <w:tcW w:type="dxa" w:w="5386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Проверка огнестойкости кабельных линий кат.1 (FRLS-кабели)</w:t>
            </w:r>
          </w:p>
        </w:tc>
        <w:tc>
          <w:tcPr>
            <w:tcW w:type="dxa" w:w="2154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СП 6.13130.2021 п.4.14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линия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2</w:t>
            </w:r>
          </w:p>
        </w:tc>
        <w:tc>
          <w:tcPr>
            <w:tcW w:type="dxa" w:w="2268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ПНР-организация</w:t>
            </w:r>
          </w:p>
        </w:tc>
        <w:tc>
          <w:tcPr>
            <w:tcW w:type="dxa" w:w="1020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1</w:t>
            </w:r>
          </w:p>
        </w:tc>
      </w:tr>
      <w:tr>
        <w:tc>
          <w:tcPr>
            <w:tcW w:type="dxa" w:w="15134"/>
            <w:gridSpan w:val="7"/>
          </w:tcPr>
          <w:p>
            <w:pPr>
              <w:jc w:val="left"/>
            </w:pPr>
            <w:r>
              <w:rPr>
                <w:rFonts w:ascii="Times New Roman" w:hAnsi="Times New Roman"/>
                <w:b/>
                <w:sz w:val="20"/>
              </w:rPr>
              <w:t xml:space="preserve">  4. Наладка защитной аппаратуры</w:t>
            </w:r>
          </w:p>
        </w:tc>
      </w:tr>
      <w:tr>
        <w:tc>
          <w:tcPr>
            <w:tcW w:type="dxa" w:w="454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12</w:t>
            </w:r>
          </w:p>
        </w:tc>
        <w:tc>
          <w:tcPr>
            <w:tcW w:type="dxa" w:w="5386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Проверка срабатывания автоматических выключателей (расцепление)</w:t>
            </w:r>
          </w:p>
        </w:tc>
        <w:tc>
          <w:tcPr>
            <w:tcW w:type="dxa" w:w="2154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ГОСТ Р 50345-2010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шт.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14</w:t>
            </w:r>
          </w:p>
        </w:tc>
        <w:tc>
          <w:tcPr>
            <w:tcW w:type="dxa" w:w="2268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ПНР-организация</w:t>
            </w:r>
          </w:p>
        </w:tc>
        <w:tc>
          <w:tcPr>
            <w:tcW w:type="dxa" w:w="1020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1</w:t>
            </w:r>
          </w:p>
        </w:tc>
      </w:tr>
      <w:tr>
        <w:tc>
          <w:tcPr>
            <w:tcW w:type="dxa" w:w="454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13</w:t>
            </w:r>
          </w:p>
        </w:tc>
        <w:tc>
          <w:tcPr>
            <w:tcW w:type="dxa" w:w="5386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Проверка уставок расцепителей и соответствия номиналов АВ</w:t>
            </w:r>
          </w:p>
        </w:tc>
        <w:tc>
          <w:tcPr>
            <w:tcW w:type="dxa" w:w="2154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ГОСТ Р 50345-2010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шт.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14</w:t>
            </w:r>
          </w:p>
        </w:tc>
        <w:tc>
          <w:tcPr>
            <w:tcW w:type="dxa" w:w="2268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ПНР-организация</w:t>
            </w:r>
          </w:p>
        </w:tc>
        <w:tc>
          <w:tcPr>
            <w:tcW w:type="dxa" w:w="1020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1</w:t>
            </w:r>
          </w:p>
        </w:tc>
      </w:tr>
      <w:tr>
        <w:tc>
          <w:tcPr>
            <w:tcW w:type="dxa" w:w="454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14</w:t>
            </w:r>
          </w:p>
        </w:tc>
        <w:tc>
          <w:tcPr>
            <w:tcW w:type="dxa" w:w="5386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Наладка и испытание блоков АВР (имитация пропадания напряжения)</w:t>
            </w:r>
          </w:p>
        </w:tc>
        <w:tc>
          <w:tcPr>
            <w:tcW w:type="dxa" w:w="2154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ГОСТ Р МЭК 60947-6-1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шт.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1</w:t>
            </w:r>
          </w:p>
        </w:tc>
        <w:tc>
          <w:tcPr>
            <w:tcW w:type="dxa" w:w="2268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ПНР-организация</w:t>
            </w:r>
          </w:p>
        </w:tc>
        <w:tc>
          <w:tcPr>
            <w:tcW w:type="dxa" w:w="1020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1</w:t>
            </w:r>
          </w:p>
        </w:tc>
      </w:tr>
      <w:tr>
        <w:tc>
          <w:tcPr>
            <w:tcW w:type="dxa" w:w="454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15</w:t>
            </w:r>
          </w:p>
        </w:tc>
        <w:tc>
          <w:tcPr>
            <w:tcW w:type="dxa" w:w="5386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Проверка времени переключения АВР (не более 0.5 с)</w:t>
            </w:r>
          </w:p>
        </w:tc>
        <w:tc>
          <w:tcPr>
            <w:tcW w:type="dxa" w:w="2154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ПУЭ п.1.2.18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шт.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1</w:t>
            </w:r>
          </w:p>
        </w:tc>
        <w:tc>
          <w:tcPr>
            <w:tcW w:type="dxa" w:w="2268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ПНР-организация</w:t>
            </w:r>
          </w:p>
        </w:tc>
        <w:tc>
          <w:tcPr>
            <w:tcW w:type="dxa" w:w="1020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1</w:t>
            </w:r>
          </w:p>
        </w:tc>
      </w:tr>
      <w:tr>
        <w:tc>
          <w:tcPr>
            <w:tcW w:type="dxa" w:w="15134"/>
            <w:gridSpan w:val="7"/>
          </w:tcPr>
          <w:p>
            <w:pPr>
              <w:jc w:val="left"/>
            </w:pPr>
            <w:r>
              <w:rPr>
                <w:rFonts w:ascii="Times New Roman" w:hAnsi="Times New Roman"/>
                <w:b/>
                <w:sz w:val="20"/>
              </w:rPr>
              <w:t xml:space="preserve">  5. Комплексные испытания под нагрузкой</w:t>
            </w:r>
          </w:p>
        </w:tc>
      </w:tr>
      <w:tr>
        <w:tc>
          <w:tcPr>
            <w:tcW w:type="dxa" w:w="454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16</w:t>
            </w:r>
          </w:p>
        </w:tc>
        <w:tc>
          <w:tcPr>
            <w:tcW w:type="dxa" w:w="5386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Рабочее включение ВРУ и щитов, проверка токов нагрузки</w:t>
            </w:r>
          </w:p>
        </w:tc>
        <w:tc>
          <w:tcPr>
            <w:tcW w:type="dxa" w:w="2154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РД 34.20.501 п.6.2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компл.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1</w:t>
            </w:r>
          </w:p>
        </w:tc>
        <w:tc>
          <w:tcPr>
            <w:tcW w:type="dxa" w:w="2268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ПНР-организация</w:t>
            </w:r>
          </w:p>
        </w:tc>
        <w:tc>
          <w:tcPr>
            <w:tcW w:type="dxa" w:w="1020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1</w:t>
            </w:r>
          </w:p>
        </w:tc>
      </w:tr>
      <w:tr>
        <w:tc>
          <w:tcPr>
            <w:tcW w:type="dxa" w:w="454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17</w:t>
            </w:r>
          </w:p>
        </w:tc>
        <w:tc>
          <w:tcPr>
            <w:tcW w:type="dxa" w:w="5386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Замер рабочих токов и напряжений под нагрузкой</w:t>
            </w:r>
          </w:p>
        </w:tc>
        <w:tc>
          <w:tcPr>
            <w:tcW w:type="dxa" w:w="2154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ПТЭЭП п.2.7.7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точка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7</w:t>
            </w:r>
          </w:p>
        </w:tc>
        <w:tc>
          <w:tcPr>
            <w:tcW w:type="dxa" w:w="2268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ПНР-организация</w:t>
            </w:r>
          </w:p>
        </w:tc>
        <w:tc>
          <w:tcPr>
            <w:tcW w:type="dxa" w:w="1020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1</w:t>
            </w:r>
          </w:p>
        </w:tc>
      </w:tr>
      <w:tr>
        <w:tc>
          <w:tcPr>
            <w:tcW w:type="dxa" w:w="454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18</w:t>
            </w:r>
          </w:p>
        </w:tc>
        <w:tc>
          <w:tcPr>
            <w:tcW w:type="dxa" w:w="5386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Проверка симметрии нагрузки по фазам</w:t>
            </w:r>
          </w:p>
        </w:tc>
        <w:tc>
          <w:tcPr>
            <w:tcW w:type="dxa" w:w="2154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ПТЭЭП п.2.7.7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компл.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1</w:t>
            </w:r>
          </w:p>
        </w:tc>
        <w:tc>
          <w:tcPr>
            <w:tcW w:type="dxa" w:w="2268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ПНР-организация</w:t>
            </w:r>
          </w:p>
        </w:tc>
        <w:tc>
          <w:tcPr>
            <w:tcW w:type="dxa" w:w="1020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1</w:t>
            </w:r>
          </w:p>
        </w:tc>
      </w:tr>
      <w:tr>
        <w:tc>
          <w:tcPr>
            <w:tcW w:type="dxa" w:w="454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19</w:t>
            </w:r>
          </w:p>
        </w:tc>
        <w:tc>
          <w:tcPr>
            <w:tcW w:type="dxa" w:w="5386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Комплексная проверка АВР под нагрузкой</w:t>
            </w:r>
          </w:p>
        </w:tc>
        <w:tc>
          <w:tcPr>
            <w:tcW w:type="dxa" w:w="2154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ПУЭ п.1.2.18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шт.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1</w:t>
            </w:r>
          </w:p>
        </w:tc>
        <w:tc>
          <w:tcPr>
            <w:tcW w:type="dxa" w:w="2268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ПНР-организация</w:t>
            </w:r>
          </w:p>
        </w:tc>
        <w:tc>
          <w:tcPr>
            <w:tcW w:type="dxa" w:w="1020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1</w:t>
            </w:r>
          </w:p>
        </w:tc>
      </w:tr>
      <w:tr>
        <w:tc>
          <w:tcPr>
            <w:tcW w:type="dxa" w:w="15134"/>
            <w:gridSpan w:val="7"/>
          </w:tcPr>
          <w:p>
            <w:pPr>
              <w:jc w:val="left"/>
            </w:pPr>
            <w:r>
              <w:rPr>
                <w:rFonts w:ascii="Times New Roman" w:hAnsi="Times New Roman"/>
                <w:b/>
                <w:sz w:val="20"/>
              </w:rPr>
              <w:t xml:space="preserve">  6. Оформление документации</w:t>
            </w:r>
          </w:p>
        </w:tc>
      </w:tr>
      <w:tr>
        <w:tc>
          <w:tcPr>
            <w:tcW w:type="dxa" w:w="454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20</w:t>
            </w:r>
          </w:p>
        </w:tc>
        <w:tc>
          <w:tcPr>
            <w:tcW w:type="dxa" w:w="5386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Оформление протоколов измерений и испытаний</w:t>
            </w:r>
          </w:p>
        </w:tc>
        <w:tc>
          <w:tcPr>
            <w:tcW w:type="dxa" w:w="2154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ГОСТ Р 50571.16-2007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компл.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1</w:t>
            </w:r>
          </w:p>
        </w:tc>
        <w:tc>
          <w:tcPr>
            <w:tcW w:type="dxa" w:w="2268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ПНР-организация</w:t>
            </w:r>
          </w:p>
        </w:tc>
        <w:tc>
          <w:tcPr>
            <w:tcW w:type="dxa" w:w="1020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1</w:t>
            </w:r>
          </w:p>
        </w:tc>
      </w:tr>
      <w:tr>
        <w:tc>
          <w:tcPr>
            <w:tcW w:type="dxa" w:w="454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21</w:t>
            </w:r>
          </w:p>
        </w:tc>
        <w:tc>
          <w:tcPr>
            <w:tcW w:type="dxa" w:w="5386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Составление акта технической готовности электроустановки</w:t>
            </w:r>
          </w:p>
        </w:tc>
        <w:tc>
          <w:tcPr>
            <w:tcW w:type="dxa" w:w="2154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РД 34.20.501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акт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1</w:t>
            </w:r>
          </w:p>
        </w:tc>
        <w:tc>
          <w:tcPr>
            <w:tcW w:type="dxa" w:w="2268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ПНР-организация / Заказчик</w:t>
            </w:r>
          </w:p>
        </w:tc>
        <w:tc>
          <w:tcPr>
            <w:tcW w:type="dxa" w:w="1020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1</w:t>
            </w:r>
          </w:p>
        </w:tc>
      </w:tr>
      <w:tr>
        <w:tc>
          <w:tcPr>
            <w:tcW w:type="dxa" w:w="454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22</w:t>
            </w:r>
          </w:p>
        </w:tc>
        <w:tc>
          <w:tcPr>
            <w:tcW w:type="dxa" w:w="5386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Передача исполнительной документации заказчику</w:t>
            </w:r>
          </w:p>
        </w:tc>
        <w:tc>
          <w:tcPr>
            <w:tcW w:type="dxa" w:w="2154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СНиП 3.05.06-85 п.4.8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компл.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1</w:t>
            </w:r>
          </w:p>
        </w:tc>
        <w:tc>
          <w:tcPr>
            <w:tcW w:type="dxa" w:w="2268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Генподрядчик</w:t>
            </w:r>
          </w:p>
        </w:tc>
        <w:tc>
          <w:tcPr>
            <w:tcW w:type="dxa" w:w="1020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1</w:t>
            </w:r>
          </w:p>
        </w:tc>
      </w:tr>
      <w:tr>
        <w:tc>
          <w:tcPr>
            <w:tcW w:type="dxa" w:w="454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23</w:t>
            </w:r>
          </w:p>
        </w:tc>
        <w:tc>
          <w:tcPr>
            <w:tcW w:type="dxa" w:w="5386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Инструктаж персонала заказчика по эксплуатации ЭУ</w:t>
            </w:r>
          </w:p>
        </w:tc>
        <w:tc>
          <w:tcPr>
            <w:tcW w:type="dxa" w:w="2154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ПТЭЭП п.1.4.3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компл.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1</w:t>
            </w:r>
          </w:p>
        </w:tc>
        <w:tc>
          <w:tcPr>
            <w:tcW w:type="dxa" w:w="2268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Заказчик</w:t>
            </w:r>
          </w:p>
        </w:tc>
        <w:tc>
          <w:tcPr>
            <w:tcW w:type="dxa" w:w="1020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1</w:t>
            </w:r>
          </w:p>
        </w:tc>
      </w:tr>
    </w:tbl>
    <w:p/>
    <w:p>
      <w:pPr>
        <w:jc w:val="left"/>
      </w:pPr>
      <w:r>
        <w:rPr>
          <w:rFonts w:ascii="Times New Roman" w:hAnsi="Times New Roman"/>
          <w:sz w:val="20"/>
        </w:rPr>
        <w:t>Итого этапов ПНР: 23  |  Расчётная продолжительность: 24 рабочих дней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784"/>
        <w:gridCol w:w="3784"/>
        <w:gridCol w:w="3784"/>
        <w:gridCol w:w="3784"/>
      </w:tblGrid>
      <w:tr>
        <w:tc>
          <w:tcPr>
            <w:tcW w:type="dxa" w:w="2268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Должность</w:t>
            </w:r>
          </w:p>
        </w:tc>
        <w:tc>
          <w:tcPr>
            <w:tcW w:type="dxa" w:w="3118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Фамилия И.О.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Подпись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Дата</w:t>
            </w:r>
          </w:p>
        </w:tc>
      </w:tr>
      <w:tr>
        <w:tc>
          <w:tcPr>
            <w:tcW w:type="dxa" w:w="3784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Разработал</w:t>
            </w:r>
          </w:p>
        </w:tc>
        <w:tc>
          <w:tcPr>
            <w:tcW w:type="dxa" w:w="3784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Петров П.П.</w:t>
            </w:r>
          </w:p>
        </w:tc>
        <w:tc>
          <w:tcPr>
            <w:tcW w:type="dxa" w:w="3784"/>
          </w:tcPr>
          <w:p/>
        </w:tc>
        <w:tc>
          <w:tcPr>
            <w:tcW w:type="dxa" w:w="3784"/>
          </w:tcPr>
          <w:p/>
        </w:tc>
      </w:tr>
      <w:tr>
        <w:tc>
          <w:tcPr>
            <w:tcW w:type="dxa" w:w="3784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Проверил</w:t>
            </w:r>
          </w:p>
        </w:tc>
        <w:tc>
          <w:tcPr>
            <w:tcW w:type="dxa" w:w="3784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</w:r>
          </w:p>
        </w:tc>
        <w:tc>
          <w:tcPr>
            <w:tcW w:type="dxa" w:w="3784"/>
          </w:tcPr>
          <w:p/>
        </w:tc>
        <w:tc>
          <w:tcPr>
            <w:tcW w:type="dxa" w:w="3784"/>
          </w:tcPr>
          <w:p/>
        </w:tc>
      </w:tr>
      <w:tr>
        <w:tc>
          <w:tcPr>
            <w:tcW w:type="dxa" w:w="3784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Нормоконтроль</w:t>
            </w:r>
          </w:p>
        </w:tc>
        <w:tc>
          <w:tcPr>
            <w:tcW w:type="dxa" w:w="3784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</w:r>
          </w:p>
        </w:tc>
        <w:tc>
          <w:tcPr>
            <w:tcW w:type="dxa" w:w="3784"/>
          </w:tcPr>
          <w:p/>
        </w:tc>
        <w:tc>
          <w:tcPr>
            <w:tcW w:type="dxa" w:w="3784"/>
          </w:tcPr>
          <w:p/>
        </w:tc>
      </w:tr>
      <w:tr>
        <w:tc>
          <w:tcPr>
            <w:tcW w:type="dxa" w:w="3784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ГИП</w:t>
            </w:r>
          </w:p>
        </w:tc>
        <w:tc>
          <w:tcPr>
            <w:tcW w:type="dxa" w:w="3784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Смирнов С.С.</w:t>
            </w:r>
          </w:p>
        </w:tc>
        <w:tc>
          <w:tcPr>
            <w:tcW w:type="dxa" w:w="3784"/>
          </w:tcPr>
          <w:p/>
        </w:tc>
        <w:tc>
          <w:tcPr>
            <w:tcW w:type="dxa" w:w="3784"/>
          </w:tcPr>
          <w:p/>
        </w:tc>
      </w:tr>
    </w:tbl>
    <w:sectPr w:rsidR="00FC693F" w:rsidRPr="0006063C" w:rsidSect="00034616">
      <w:pgSz w:w="16838" w:h="11906"/>
      <w:pgMar w:top="850" w:right="567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