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Ведомость нагрузок</w:t>
      </w:r>
    </w:p>
    <w:p>
      <w:pPr>
        <w:jc w:val="center"/>
      </w:pPr>
      <w:r>
        <w:t>ТЕСТ-2025-001 — Тестовая школа</w:t>
      </w:r>
    </w:p>
    <w:p>
      <w:pPr>
        <w:jc w:val="center"/>
      </w:pPr>
      <w:r>
        <w:t>Дата: 2026-05-03  |  ГОСТ 21.613</w:t>
      </w:r>
    </w:p>
    <w:p/>
    <w:p>
      <w:pPr>
        <w:pStyle w:val="Heading2"/>
      </w:pPr>
      <w:r>
        <w:t>Щит ЩО-1 — Щит освещения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классов 1 эт.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8.00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7.20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4×2.5мм²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40/48.0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1.92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классов 2 эт.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8.00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7.20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4×2.5мм²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45/54.0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2.16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коридоров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3.60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50/60.0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1.99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ОС-04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актового зала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4×2.5мм²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60/72.0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1.8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АО-01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Аварийное освещение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55/66.0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1.1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27.00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24.30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ЩС-1 — Щит силовой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РЗ-01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Розетки учебные кабинеты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8.00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45/54.0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ИТ-01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ИТ-оборудование (серверная)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it_equipment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5.40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20/24.0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1.2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КУХ-01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Пищеблок (кухня)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kitchen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4×2.5мм²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70/84.0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3.64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26.00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17.20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0.87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ЩОВ-1 — Щит насосной станции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НО-01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Насос отопления основной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pump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2.25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10/12.0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0.25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6.00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2.25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ЩВК-1 — Щит вентиляции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ПВ-01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Приточная вентустановка П1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hvac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15/18.0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1.0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ВВ-01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Вытяжная вентустановка В1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hvac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4.40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15/18.0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0.73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13.00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10.40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ЩАПЗ-1 — Щит автоматики пожарной защиты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СДУ-01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Системы дымоудаления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hvac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4.40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ВВГнг-FRLS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25/30.0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1.22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ОПС-01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Охранно-пожарная сигнализация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it_equipment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ВВГнг-FRLS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30/36.0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2.69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7.00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5.75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0.84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r>
        <w:t>ИТОГО по ВРУ:  Pуст=79.00 кВт  Pрасч=59.90 кВт  Iвру=101.42 А  cosφ=0.897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elec-system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