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6"/>
        </w:rPr>
        <w:t>ПРОГРАММА ПУСКОНАЛАДОЧНЫХ РАБОТ</w:t>
      </w:r>
    </w:p>
    <w:p>
      <w:pPr>
        <w:jc w:val="center"/>
      </w:pPr>
      <w:r>
        <w:rPr>
          <w:rFonts w:ascii="Times New Roman" w:hAnsi="Times New Roman"/>
          <w:b w:val="0"/>
          <w:sz w:val="22"/>
        </w:rPr>
        <w:t>Офисный центр</w:t>
      </w:r>
    </w:p>
    <w:p>
      <w:pPr>
        <w:jc w:val="center"/>
      </w:pPr>
      <w:r>
        <w:rPr>
          <w:rFonts w:ascii="Times New Roman" w:hAnsi="Times New Roman"/>
          <w:b w:val="0"/>
          <w:sz w:val="20"/>
        </w:rPr>
        <w:t>Код: DEMO-2025-001  |  Стадия: Р  |  Ред.: 0  |  Дата: 2025-04-18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2"/>
        <w:gridCol w:w="2162"/>
        <w:gridCol w:w="2162"/>
        <w:gridCol w:w="2162"/>
        <w:gridCol w:w="2162"/>
        <w:gridCol w:w="2162"/>
        <w:gridCol w:w="2162"/>
      </w:tblGrid>
      <w:t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538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Наименование работы</w:t>
            </w:r>
          </w:p>
        </w:tc>
        <w:tc>
          <w:tcPr>
            <w:tcW w:type="dxa" w:w="215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Норматив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Ед.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Кол.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Исполнитель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Срок, дн.</w:t>
            </w:r>
          </w:p>
        </w:tc>
      </w:tr>
      <w:tr>
        <w:tc>
          <w:tcPr>
            <w:tcW w:type="dxa" w:w="15134"/>
            <w:gridSpan w:val="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1. Подготовительные работы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Изучение проектной документации и ТУ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СНиП 3.05.06-85 п.4.1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Входной контроль поставленного оборудования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СНиП 3.05.06-85 п.4.2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позиция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Генподрядчик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наличия и комплектности технической документации на оборудование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ПТЭЭП п.1.5.1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15134"/>
            <w:gridSpan w:val="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2. Визуальный осмотр и проверка монтажа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Визуальный осмотр щитов, ВРУ и электрооборудования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ПУЭ п.1.8.1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соответствия монтажа проектной документации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РД 34.20.501 п.4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правильности подключения фаз и маркировки шин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ПУЭ п.1.8.20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точка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защитного заземления (PE) всех корпусов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ПУЭ п.1.7.82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точка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15134"/>
            <w:gridSpan w:val="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3. Измерения и испытания изоляции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Измерение сопротивления изоляции кабелей (Uисп=1000 В)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ПУЭ п.1.8.37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линия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19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9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Измерение сопротивления петли фаза-нуль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ПУЭ п.1.8.36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точка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18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10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Измерение сопротивления заземляющего устройства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ПУЭ п.1.8.39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замер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огнестойкости кабельных линий кат.1 (FRLS-кабели)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СП 6.13130.2021 п.4.14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линия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15134"/>
            <w:gridSpan w:val="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4. Наладка защитной аппаратуры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12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срабатывания автоматических выключателей (расцепление)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Р 50345-2010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13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уставок расцепителей и соответствия номиналов АВ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Р 50345-2010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14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Наладка и испытание блоков АВР (имитация пропадания напряжения)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Р МЭК 60947-6-1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15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времени переключения АВР (не более 0.5 с)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ПУЭ п.1.2.18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15134"/>
            <w:gridSpan w:val="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5. Комплексные испытания под нагрузкой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16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Рабочее включение ВРУ и щитов, проверка токов нагрузки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РД 34.20.501 п.6.2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17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Замер рабочих токов и напряжений под нагрузкой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ПТЭЭП п.2.7.7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точка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18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симметрии нагрузки по фазам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ПТЭЭП п.2.7.7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19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Испытание сетей наружного освещения (включение, регулировка)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РД 34.20.501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20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Комплексная проверка АВР под нагрузкой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ПУЭ п.1.2.18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15134"/>
            <w:gridSpan w:val="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6. Оформление документации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21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Оформление протоколов измерений и испытаний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Р 50571.16-2007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22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Составление акта технической готовности электроустановки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РД 34.20.501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акт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 / Заказчик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23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Передача исполнительной документации заказчику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СНиП 3.05.06-85 п.4.8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Генподрядчик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24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Инструктаж персонала заказчика по эксплуатации ЭУ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ПТЭЭП п.1.4.3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Заказчик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</w:tbl>
    <w:p/>
    <w:p>
      <w:pPr>
        <w:jc w:val="left"/>
      </w:pPr>
      <w:r>
        <w:rPr>
          <w:rFonts w:ascii="Times New Roman" w:hAnsi="Times New Roman"/>
          <w:sz w:val="20"/>
        </w:rPr>
        <w:t>Итого этапов ПНР: 24  |  Расчётная продолжительность: 25 рабочих дней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Должность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Фамилия И.О.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Подпись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Дата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Разработал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Смирнов А.А.</w:t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Проверил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Петров П.П.</w:t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Нормоконтроль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Сидоров С.С.</w:t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ГИП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Козлов К.К.</w:t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</w:tbl>
    <w:sectPr w:rsidR="00FC693F" w:rsidRPr="0006063C" w:rsidSect="00034616">
      <w:pgSz w:w="16838" w:h="11906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