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2026-05-03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0.44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0.78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15/18.0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0.75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40/48.0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3.55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отопления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20/24.0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0.53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2.40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Приточная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25/30.0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1.22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Вытяжная вентустановка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30/36.0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1.07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9.50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7.60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ЩДУ-1 — Щит дымоудаления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L план/расч, м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ΔU, %</w:t>
            </w:r>
          </w:p>
        </w:tc>
      </w:tr>
      <w:tr>
        <w:tc>
          <w:tcPr>
            <w:tcW w:type="dxa" w:w="720"/>
          </w:tcPr>
          <w:p>
            <w:r>
              <w:rPr>
                <w:b w:val="0"/>
                <w:sz w:val="16"/>
              </w:rPr>
              <w:t>ВДУ-01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Вентилятор дымоудаления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smoke_fan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35/42.0</w:t>
            </w:r>
          </w:p>
        </w:tc>
        <w:tc>
          <w:tcPr>
            <w:tcW w:type="dxa" w:w="720"/>
          </w:tcPr>
          <w:p>
            <w:r>
              <w:rPr>
                <w:b w:val="0"/>
                <w:sz w:val="16"/>
              </w:rPr>
              <w:t>2.91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15.00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7.50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720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Pуст=58.50 кВт  Pрасч=38.50 кВт  Iвру=68.66 А  cosφ=0.852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