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0152D">
      <w:pPr>
        <w:spacing w:line="600" w:lineRule="exact"/>
        <w:jc w:val="center"/>
        <w:rPr>
          <w:rFonts w:ascii="方正小标宋简体" w:eastAsia="方正小标宋简体"/>
          <w:sz w:val="44"/>
          <w:szCs w:val="44"/>
        </w:rPr>
      </w:pPr>
      <w:r>
        <w:rPr>
          <w:rFonts w:hint="eastAsia" w:ascii="方正小标宋简体" w:eastAsia="方正小标宋简体"/>
          <w:sz w:val="44"/>
          <w:szCs w:val="44"/>
        </w:rPr>
        <w:t>中信建设202</w:t>
      </w:r>
      <w:r>
        <w:rPr>
          <w:rFonts w:hint="eastAsia" w:ascii="方正小标宋简体" w:eastAsia="方正小标宋简体"/>
          <w:sz w:val="44"/>
          <w:szCs w:val="44"/>
          <w:lang w:val="en-US" w:eastAsia="zh-CN"/>
        </w:rPr>
        <w:t>5</w:t>
      </w:r>
      <w:r>
        <w:rPr>
          <w:rFonts w:hint="eastAsia" w:ascii="方正小标宋简体" w:eastAsia="方正小标宋简体"/>
          <w:sz w:val="44"/>
          <w:szCs w:val="44"/>
        </w:rPr>
        <w:t>年上半年投资预算</w:t>
      </w:r>
    </w:p>
    <w:p w14:paraId="21AD3458">
      <w:pPr>
        <w:spacing w:line="600" w:lineRule="exact"/>
        <w:jc w:val="center"/>
        <w:rPr>
          <w:rFonts w:hint="eastAsia" w:ascii="方正小标宋简体" w:eastAsia="方正小标宋简体"/>
          <w:sz w:val="44"/>
          <w:szCs w:val="44"/>
          <w:lang w:bidi="ar"/>
        </w:rPr>
      </w:pPr>
      <w:r>
        <w:rPr>
          <w:rFonts w:hint="eastAsia" w:ascii="方正小标宋简体" w:eastAsia="方正小标宋简体"/>
          <w:sz w:val="44"/>
          <w:szCs w:val="44"/>
        </w:rPr>
        <w:t>执行情况</w:t>
      </w:r>
      <w:r>
        <w:rPr>
          <w:rFonts w:hint="eastAsia" w:ascii="方正小标宋简体" w:eastAsia="方正小标宋简体"/>
          <w:sz w:val="44"/>
          <w:szCs w:val="44"/>
          <w:lang w:bidi="ar"/>
        </w:rPr>
        <w:t>整体说明</w:t>
      </w:r>
    </w:p>
    <w:p w14:paraId="1A890264">
      <w:pPr>
        <w:spacing w:line="360" w:lineRule="auto"/>
        <w:ind w:firstLine="880" w:firstLineChars="200"/>
        <w:jc w:val="left"/>
        <w:rPr>
          <w:rFonts w:ascii="黑体" w:hAnsi="黑体" w:eastAsia="黑体"/>
          <w:sz w:val="44"/>
          <w:szCs w:val="44"/>
        </w:rPr>
      </w:pPr>
    </w:p>
    <w:tbl>
      <w:tblPr>
        <w:tblStyle w:val="25"/>
        <w:tblW w:w="9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1230"/>
        <w:gridCol w:w="1256"/>
        <w:gridCol w:w="1225"/>
        <w:gridCol w:w="1251"/>
        <w:gridCol w:w="1194"/>
        <w:gridCol w:w="1350"/>
      </w:tblGrid>
      <w:tr w14:paraId="24F8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844" w:type="dxa"/>
            <w:shd w:val="clear" w:color="auto" w:fill="0070C0"/>
            <w:vAlign w:val="center"/>
          </w:tcPr>
          <w:p w14:paraId="7DB1FBE8">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单位：万元</w:t>
            </w:r>
          </w:p>
        </w:tc>
        <w:tc>
          <w:tcPr>
            <w:tcW w:w="1230" w:type="dxa"/>
            <w:shd w:val="clear" w:color="auto" w:fill="0070C0"/>
            <w:vAlign w:val="center"/>
          </w:tcPr>
          <w:p w14:paraId="0EF0CCF2">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202</w:t>
            </w:r>
            <w:r>
              <w:rPr>
                <w:rFonts w:hint="eastAsia" w:ascii="微软雅黑" w:hAnsi="微软雅黑" w:eastAsia="微软雅黑"/>
                <w:b/>
                <w:color w:val="FFFFFF"/>
                <w:kern w:val="0"/>
                <w:sz w:val="20"/>
                <w:szCs w:val="22"/>
                <w:lang w:val="en-US" w:eastAsia="zh-CN"/>
              </w:rPr>
              <w:t>5</w:t>
            </w:r>
            <w:r>
              <w:rPr>
                <w:rFonts w:hint="default" w:ascii="微软雅黑" w:hAnsi="微软雅黑" w:eastAsia="微软雅黑"/>
                <w:b/>
                <w:color w:val="FFFFFF"/>
                <w:kern w:val="0"/>
                <w:sz w:val="20"/>
                <w:szCs w:val="22"/>
              </w:rPr>
              <w:t>年</w:t>
            </w:r>
          </w:p>
          <w:p w14:paraId="471A3C7D">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上半年实际</w:t>
            </w:r>
          </w:p>
        </w:tc>
        <w:tc>
          <w:tcPr>
            <w:tcW w:w="1256" w:type="dxa"/>
            <w:shd w:val="clear" w:color="auto" w:fill="0070C0"/>
            <w:vAlign w:val="center"/>
          </w:tcPr>
          <w:p w14:paraId="07B961C0">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202</w:t>
            </w:r>
            <w:r>
              <w:rPr>
                <w:rFonts w:hint="eastAsia" w:ascii="微软雅黑" w:hAnsi="微软雅黑" w:eastAsia="微软雅黑"/>
                <w:b/>
                <w:color w:val="FFFFFF"/>
                <w:kern w:val="0"/>
                <w:sz w:val="20"/>
                <w:szCs w:val="22"/>
                <w:lang w:val="en-US" w:eastAsia="zh-CN"/>
              </w:rPr>
              <w:t>5</w:t>
            </w:r>
            <w:r>
              <w:rPr>
                <w:rFonts w:hint="default" w:ascii="微软雅黑" w:hAnsi="微软雅黑" w:eastAsia="微软雅黑"/>
                <w:b/>
                <w:color w:val="FFFFFF"/>
                <w:kern w:val="0"/>
                <w:sz w:val="20"/>
                <w:szCs w:val="22"/>
              </w:rPr>
              <w:t>年</w:t>
            </w:r>
          </w:p>
          <w:p w14:paraId="54710A5D">
            <w:pPr>
              <w:keepNext w:val="0"/>
              <w:keepLines w:val="0"/>
              <w:widowControl/>
              <w:suppressLineNumbers w:val="0"/>
              <w:spacing w:before="0" w:beforeAutospacing="0" w:after="0" w:afterAutospacing="0" w:line="400" w:lineRule="exact"/>
              <w:ind w:left="-46" w:leftChars="-22"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上半年预算</w:t>
            </w:r>
          </w:p>
        </w:tc>
        <w:tc>
          <w:tcPr>
            <w:tcW w:w="1225" w:type="dxa"/>
            <w:shd w:val="clear" w:color="auto" w:fill="0070C0"/>
            <w:vAlign w:val="center"/>
          </w:tcPr>
          <w:p w14:paraId="79D4BD19">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完成率1</w:t>
            </w:r>
          </w:p>
          <w:p w14:paraId="47454100">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（与上半年预算相比）</w:t>
            </w:r>
          </w:p>
        </w:tc>
        <w:tc>
          <w:tcPr>
            <w:tcW w:w="1251" w:type="dxa"/>
            <w:shd w:val="clear" w:color="auto" w:fill="0070C0"/>
            <w:vAlign w:val="center"/>
          </w:tcPr>
          <w:p w14:paraId="7CD9F293">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202</w:t>
            </w:r>
            <w:r>
              <w:rPr>
                <w:rFonts w:hint="eastAsia" w:ascii="微软雅黑" w:hAnsi="微软雅黑" w:eastAsia="微软雅黑"/>
                <w:b/>
                <w:color w:val="FFFFFF"/>
                <w:kern w:val="0"/>
                <w:sz w:val="20"/>
                <w:szCs w:val="22"/>
                <w:lang w:val="en-US" w:eastAsia="zh-CN"/>
              </w:rPr>
              <w:t>5</w:t>
            </w:r>
            <w:r>
              <w:rPr>
                <w:rFonts w:hint="default" w:ascii="微软雅黑" w:hAnsi="微软雅黑" w:eastAsia="微软雅黑"/>
                <w:b/>
                <w:color w:val="FFFFFF"/>
                <w:kern w:val="0"/>
                <w:sz w:val="20"/>
                <w:szCs w:val="22"/>
              </w:rPr>
              <w:t>年</w:t>
            </w:r>
          </w:p>
          <w:p w14:paraId="63B53627">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全年预算</w:t>
            </w:r>
          </w:p>
        </w:tc>
        <w:tc>
          <w:tcPr>
            <w:tcW w:w="1194" w:type="dxa"/>
            <w:shd w:val="clear" w:color="auto" w:fill="0070C0"/>
            <w:vAlign w:val="center"/>
          </w:tcPr>
          <w:p w14:paraId="3330CCE2">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完成率2（与全年预算相比）</w:t>
            </w:r>
          </w:p>
        </w:tc>
        <w:tc>
          <w:tcPr>
            <w:tcW w:w="1350" w:type="dxa"/>
            <w:shd w:val="clear" w:color="auto" w:fill="0070C0"/>
            <w:vAlign w:val="center"/>
          </w:tcPr>
          <w:p w14:paraId="6852F4F6">
            <w:pPr>
              <w:keepNext w:val="0"/>
              <w:keepLines w:val="0"/>
              <w:widowControl/>
              <w:suppressLineNumbers w:val="0"/>
              <w:spacing w:before="0" w:beforeAutospacing="0" w:after="0" w:afterAutospacing="0" w:line="400" w:lineRule="exact"/>
              <w:ind w:left="0" w:right="0"/>
              <w:jc w:val="center"/>
              <w:rPr>
                <w:rFonts w:hint="eastAsia"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202</w:t>
            </w:r>
            <w:r>
              <w:rPr>
                <w:rFonts w:hint="eastAsia" w:ascii="微软雅黑" w:hAnsi="微软雅黑" w:eastAsia="微软雅黑"/>
                <w:b/>
                <w:color w:val="FFFFFF"/>
                <w:kern w:val="0"/>
                <w:sz w:val="20"/>
                <w:szCs w:val="22"/>
                <w:lang w:val="en-US" w:eastAsia="zh-CN"/>
              </w:rPr>
              <w:t>5</w:t>
            </w:r>
            <w:r>
              <w:rPr>
                <w:rFonts w:hint="eastAsia" w:ascii="微软雅黑" w:hAnsi="微软雅黑" w:eastAsia="微软雅黑"/>
                <w:b/>
                <w:color w:val="FFFFFF"/>
                <w:kern w:val="0"/>
                <w:sz w:val="20"/>
                <w:szCs w:val="22"/>
              </w:rPr>
              <w:t>年</w:t>
            </w:r>
          </w:p>
          <w:p w14:paraId="08B736C5">
            <w:pPr>
              <w:keepNext w:val="0"/>
              <w:keepLines w:val="0"/>
              <w:widowControl/>
              <w:suppressLineNumbers w:val="0"/>
              <w:spacing w:before="0" w:beforeAutospacing="0" w:after="0" w:afterAutospacing="0" w:line="400" w:lineRule="exact"/>
              <w:ind w:left="0" w:right="0"/>
              <w:jc w:val="center"/>
              <w:rPr>
                <w:rFonts w:hint="default" w:ascii="微软雅黑" w:hAnsi="微软雅黑" w:eastAsia="微软雅黑"/>
                <w:b/>
                <w:color w:val="FFFFFF"/>
                <w:kern w:val="0"/>
                <w:sz w:val="20"/>
                <w:szCs w:val="22"/>
              </w:rPr>
            </w:pPr>
            <w:r>
              <w:rPr>
                <w:rFonts w:hint="eastAsia" w:ascii="微软雅黑" w:hAnsi="微软雅黑" w:eastAsia="微软雅黑"/>
                <w:b/>
                <w:color w:val="FFFFFF"/>
                <w:kern w:val="0"/>
                <w:sz w:val="20"/>
                <w:szCs w:val="22"/>
              </w:rPr>
              <w:t>全年预计</w:t>
            </w:r>
          </w:p>
        </w:tc>
      </w:tr>
      <w:tr w14:paraId="5321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844" w:type="dxa"/>
            <w:vAlign w:val="center"/>
          </w:tcPr>
          <w:p w14:paraId="0D7B91C9">
            <w:pPr>
              <w:keepNext w:val="0"/>
              <w:keepLines w:val="0"/>
              <w:suppressLineNumbers w:val="0"/>
              <w:spacing w:before="0" w:beforeAutospacing="0" w:after="0" w:afterAutospacing="0" w:line="400" w:lineRule="exact"/>
              <w:ind w:left="0" w:right="0"/>
              <w:jc w:val="center"/>
              <w:rPr>
                <w:rFonts w:hint="default" w:ascii="微软雅黑" w:hAnsi="微软雅黑" w:eastAsia="微软雅黑"/>
                <w:b/>
                <w:sz w:val="20"/>
                <w:szCs w:val="22"/>
              </w:rPr>
            </w:pPr>
            <w:r>
              <w:rPr>
                <w:rFonts w:hint="eastAsia" w:ascii="微软雅黑" w:hAnsi="微软雅黑" w:eastAsia="微软雅黑"/>
                <w:b/>
                <w:sz w:val="20"/>
                <w:szCs w:val="22"/>
              </w:rPr>
              <w:t>本公司投资额合计</w:t>
            </w:r>
          </w:p>
        </w:tc>
        <w:tc>
          <w:tcPr>
            <w:tcW w:w="1230" w:type="dxa"/>
            <w:vAlign w:val="center"/>
          </w:tcPr>
          <w:p w14:paraId="5478BBB3">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6" w:type="dxa"/>
            <w:vAlign w:val="center"/>
          </w:tcPr>
          <w:p w14:paraId="68E6C8B3">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25" w:type="dxa"/>
            <w:vAlign w:val="center"/>
          </w:tcPr>
          <w:p w14:paraId="1A85C1FE">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1" w:type="dxa"/>
            <w:vAlign w:val="center"/>
          </w:tcPr>
          <w:p w14:paraId="3916EA1F">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194" w:type="dxa"/>
            <w:vAlign w:val="center"/>
          </w:tcPr>
          <w:p w14:paraId="5EBCC782">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350" w:type="dxa"/>
            <w:vAlign w:val="center"/>
          </w:tcPr>
          <w:p w14:paraId="395722EF">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r>
      <w:tr w14:paraId="01D5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844" w:type="dxa"/>
            <w:tcBorders>
              <w:bottom w:val="single" w:color="auto" w:sz="4" w:space="0"/>
            </w:tcBorders>
            <w:vAlign w:val="center"/>
          </w:tcPr>
          <w:p w14:paraId="75531EA8">
            <w:pPr>
              <w:keepNext w:val="0"/>
              <w:keepLines w:val="0"/>
              <w:suppressLineNumbers w:val="0"/>
              <w:spacing w:before="0" w:beforeAutospacing="0" w:after="0" w:afterAutospacing="0" w:line="400" w:lineRule="exact"/>
              <w:ind w:left="0" w:right="0"/>
              <w:jc w:val="center"/>
              <w:rPr>
                <w:rFonts w:hint="default" w:ascii="微软雅黑" w:hAnsi="微软雅黑" w:eastAsia="微软雅黑"/>
                <w:sz w:val="20"/>
                <w:szCs w:val="22"/>
              </w:rPr>
            </w:pPr>
            <w:r>
              <w:rPr>
                <w:rFonts w:hint="eastAsia" w:ascii="微软雅黑" w:hAnsi="微软雅黑" w:eastAsia="微软雅黑"/>
                <w:sz w:val="20"/>
                <w:szCs w:val="22"/>
              </w:rPr>
              <w:t>其中：自建类</w:t>
            </w:r>
          </w:p>
        </w:tc>
        <w:tc>
          <w:tcPr>
            <w:tcW w:w="1230" w:type="dxa"/>
            <w:tcBorders>
              <w:bottom w:val="single" w:color="auto" w:sz="4" w:space="0"/>
            </w:tcBorders>
            <w:vAlign w:val="center"/>
          </w:tcPr>
          <w:p w14:paraId="66E79225">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6" w:type="dxa"/>
            <w:tcBorders>
              <w:bottom w:val="single" w:color="auto" w:sz="4" w:space="0"/>
            </w:tcBorders>
            <w:vAlign w:val="center"/>
          </w:tcPr>
          <w:p w14:paraId="5E4F0FE4">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25" w:type="dxa"/>
            <w:tcBorders>
              <w:bottom w:val="single" w:color="auto" w:sz="4" w:space="0"/>
            </w:tcBorders>
            <w:vAlign w:val="center"/>
          </w:tcPr>
          <w:p w14:paraId="4DC5E0BD">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1" w:type="dxa"/>
            <w:tcBorders>
              <w:bottom w:val="single" w:color="auto" w:sz="4" w:space="0"/>
            </w:tcBorders>
            <w:vAlign w:val="center"/>
          </w:tcPr>
          <w:p w14:paraId="4E658EB0">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194" w:type="dxa"/>
            <w:tcBorders>
              <w:bottom w:val="single" w:color="auto" w:sz="4" w:space="0"/>
            </w:tcBorders>
            <w:vAlign w:val="center"/>
          </w:tcPr>
          <w:p w14:paraId="5E004EDF">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350" w:type="dxa"/>
            <w:tcBorders>
              <w:bottom w:val="single" w:color="auto" w:sz="4" w:space="0"/>
            </w:tcBorders>
            <w:vAlign w:val="center"/>
          </w:tcPr>
          <w:p w14:paraId="11EC4F41">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r>
      <w:tr w14:paraId="21FE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844" w:type="dxa"/>
            <w:tcBorders>
              <w:bottom w:val="double" w:color="auto" w:sz="4" w:space="0"/>
            </w:tcBorders>
            <w:vAlign w:val="center"/>
          </w:tcPr>
          <w:p w14:paraId="5CFDA11D">
            <w:pPr>
              <w:keepNext w:val="0"/>
              <w:keepLines w:val="0"/>
              <w:suppressLineNumbers w:val="0"/>
              <w:spacing w:before="0" w:beforeAutospacing="0" w:after="0" w:afterAutospacing="0" w:line="400" w:lineRule="exact"/>
              <w:ind w:left="0" w:right="0" w:firstLine="600" w:firstLineChars="300"/>
              <w:jc w:val="center"/>
              <w:rPr>
                <w:rFonts w:hint="default" w:ascii="微软雅黑" w:hAnsi="微软雅黑" w:eastAsia="微软雅黑"/>
                <w:sz w:val="20"/>
                <w:szCs w:val="22"/>
              </w:rPr>
            </w:pPr>
            <w:r>
              <w:rPr>
                <w:rFonts w:hint="eastAsia" w:ascii="微软雅黑" w:hAnsi="微软雅黑" w:eastAsia="微软雅黑"/>
                <w:sz w:val="20"/>
                <w:szCs w:val="22"/>
              </w:rPr>
              <w:t>权益类</w:t>
            </w:r>
          </w:p>
        </w:tc>
        <w:tc>
          <w:tcPr>
            <w:tcW w:w="1230" w:type="dxa"/>
            <w:tcBorders>
              <w:bottom w:val="double" w:color="auto" w:sz="4" w:space="0"/>
            </w:tcBorders>
            <w:vAlign w:val="center"/>
          </w:tcPr>
          <w:p w14:paraId="6CF39A51">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6" w:type="dxa"/>
            <w:tcBorders>
              <w:bottom w:val="double" w:color="auto" w:sz="4" w:space="0"/>
            </w:tcBorders>
            <w:vAlign w:val="center"/>
          </w:tcPr>
          <w:p w14:paraId="79A309F5">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25" w:type="dxa"/>
            <w:tcBorders>
              <w:bottom w:val="double" w:color="auto" w:sz="4" w:space="0"/>
            </w:tcBorders>
            <w:vAlign w:val="center"/>
          </w:tcPr>
          <w:p w14:paraId="11ADF2C5">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1" w:type="dxa"/>
            <w:tcBorders>
              <w:bottom w:val="double" w:color="auto" w:sz="4" w:space="0"/>
            </w:tcBorders>
            <w:vAlign w:val="center"/>
          </w:tcPr>
          <w:p w14:paraId="2EAEF908">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194" w:type="dxa"/>
            <w:tcBorders>
              <w:bottom w:val="double" w:color="auto" w:sz="4" w:space="0"/>
            </w:tcBorders>
            <w:vAlign w:val="center"/>
          </w:tcPr>
          <w:p w14:paraId="2476B9CF">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350" w:type="dxa"/>
            <w:tcBorders>
              <w:bottom w:val="double" w:color="auto" w:sz="4" w:space="0"/>
            </w:tcBorders>
            <w:vAlign w:val="center"/>
          </w:tcPr>
          <w:p w14:paraId="263C0DC0">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r>
      <w:tr w14:paraId="0895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844" w:type="dxa"/>
            <w:tcBorders>
              <w:top w:val="double" w:color="auto" w:sz="4" w:space="0"/>
            </w:tcBorders>
            <w:vAlign w:val="center"/>
          </w:tcPr>
          <w:p w14:paraId="3FB03232">
            <w:pPr>
              <w:keepNext w:val="0"/>
              <w:keepLines w:val="0"/>
              <w:suppressLineNumbers w:val="0"/>
              <w:spacing w:before="0" w:beforeAutospacing="0" w:after="0" w:afterAutospacing="0" w:line="400" w:lineRule="exact"/>
              <w:ind w:left="0" w:right="0"/>
              <w:jc w:val="center"/>
              <w:rPr>
                <w:rFonts w:hint="default" w:ascii="微软雅黑" w:hAnsi="微软雅黑" w:eastAsia="微软雅黑"/>
                <w:b/>
                <w:sz w:val="20"/>
                <w:szCs w:val="22"/>
              </w:rPr>
            </w:pPr>
            <w:r>
              <w:rPr>
                <w:rFonts w:hint="eastAsia" w:ascii="微软雅黑" w:hAnsi="微软雅黑" w:eastAsia="微软雅黑"/>
                <w:b/>
                <w:sz w:val="20"/>
                <w:szCs w:val="22"/>
              </w:rPr>
              <w:t>资本性支出合计</w:t>
            </w:r>
          </w:p>
        </w:tc>
        <w:tc>
          <w:tcPr>
            <w:tcW w:w="1230" w:type="dxa"/>
            <w:tcBorders>
              <w:top w:val="double" w:color="auto" w:sz="4" w:space="0"/>
            </w:tcBorders>
            <w:vAlign w:val="center"/>
          </w:tcPr>
          <w:p w14:paraId="7FDE0559">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6" w:type="dxa"/>
            <w:tcBorders>
              <w:top w:val="double" w:color="auto" w:sz="4" w:space="0"/>
            </w:tcBorders>
            <w:vAlign w:val="center"/>
          </w:tcPr>
          <w:p w14:paraId="02BA6067">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25" w:type="dxa"/>
            <w:tcBorders>
              <w:top w:val="double" w:color="auto" w:sz="4" w:space="0"/>
            </w:tcBorders>
            <w:vAlign w:val="center"/>
          </w:tcPr>
          <w:p w14:paraId="4D390981">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1" w:type="dxa"/>
            <w:tcBorders>
              <w:top w:val="double" w:color="auto" w:sz="4" w:space="0"/>
            </w:tcBorders>
            <w:vAlign w:val="center"/>
          </w:tcPr>
          <w:p w14:paraId="1667F044">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194" w:type="dxa"/>
            <w:tcBorders>
              <w:top w:val="double" w:color="auto" w:sz="4" w:space="0"/>
            </w:tcBorders>
            <w:vAlign w:val="center"/>
          </w:tcPr>
          <w:p w14:paraId="3C513B44">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350" w:type="dxa"/>
            <w:tcBorders>
              <w:top w:val="double" w:color="auto" w:sz="4" w:space="0"/>
            </w:tcBorders>
            <w:vAlign w:val="center"/>
          </w:tcPr>
          <w:p w14:paraId="17E127A6">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r>
      <w:tr w14:paraId="1165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844" w:type="dxa"/>
            <w:vAlign w:val="center"/>
          </w:tcPr>
          <w:p w14:paraId="2C864B1F">
            <w:pPr>
              <w:keepNext w:val="0"/>
              <w:keepLines w:val="0"/>
              <w:suppressLineNumbers w:val="0"/>
              <w:spacing w:before="0" w:beforeAutospacing="0" w:after="0" w:afterAutospacing="0" w:line="400" w:lineRule="exact"/>
              <w:ind w:left="0" w:right="0"/>
              <w:jc w:val="center"/>
              <w:rPr>
                <w:rFonts w:hint="default" w:ascii="微软雅黑" w:hAnsi="微软雅黑" w:eastAsia="微软雅黑"/>
                <w:sz w:val="20"/>
                <w:szCs w:val="22"/>
              </w:rPr>
            </w:pPr>
            <w:r>
              <w:rPr>
                <w:rFonts w:hint="eastAsia" w:ascii="微软雅黑" w:hAnsi="微软雅黑" w:eastAsia="微软雅黑"/>
                <w:sz w:val="20"/>
                <w:szCs w:val="22"/>
              </w:rPr>
              <w:t>其中：自建类</w:t>
            </w:r>
          </w:p>
        </w:tc>
        <w:tc>
          <w:tcPr>
            <w:tcW w:w="1230" w:type="dxa"/>
            <w:vAlign w:val="center"/>
          </w:tcPr>
          <w:p w14:paraId="476B68F5">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6" w:type="dxa"/>
            <w:vAlign w:val="center"/>
          </w:tcPr>
          <w:p w14:paraId="2F3CB927">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25" w:type="dxa"/>
            <w:vAlign w:val="center"/>
          </w:tcPr>
          <w:p w14:paraId="4BCBA6D0">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1" w:type="dxa"/>
            <w:vAlign w:val="center"/>
          </w:tcPr>
          <w:p w14:paraId="17CC6D65">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194" w:type="dxa"/>
            <w:vAlign w:val="center"/>
          </w:tcPr>
          <w:p w14:paraId="32F2C59F">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350" w:type="dxa"/>
            <w:vAlign w:val="center"/>
          </w:tcPr>
          <w:p w14:paraId="7EF0F854">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r>
      <w:tr w14:paraId="58F0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844" w:type="dxa"/>
            <w:vAlign w:val="center"/>
          </w:tcPr>
          <w:p w14:paraId="6DFE18E7">
            <w:pPr>
              <w:keepNext w:val="0"/>
              <w:keepLines w:val="0"/>
              <w:suppressLineNumbers w:val="0"/>
              <w:spacing w:before="0" w:beforeAutospacing="0" w:after="0" w:afterAutospacing="0" w:line="400" w:lineRule="exact"/>
              <w:ind w:left="0" w:right="0" w:firstLine="600" w:firstLineChars="300"/>
              <w:jc w:val="center"/>
              <w:rPr>
                <w:rFonts w:hint="default" w:ascii="微软雅黑" w:hAnsi="微软雅黑" w:eastAsia="微软雅黑"/>
                <w:sz w:val="20"/>
                <w:szCs w:val="22"/>
              </w:rPr>
            </w:pPr>
            <w:r>
              <w:rPr>
                <w:rFonts w:hint="eastAsia" w:ascii="微软雅黑" w:hAnsi="微软雅黑" w:eastAsia="微软雅黑"/>
                <w:sz w:val="20"/>
                <w:szCs w:val="22"/>
              </w:rPr>
              <w:t>权益类</w:t>
            </w:r>
          </w:p>
        </w:tc>
        <w:tc>
          <w:tcPr>
            <w:tcW w:w="1230" w:type="dxa"/>
            <w:vAlign w:val="center"/>
          </w:tcPr>
          <w:p w14:paraId="7231C636">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6" w:type="dxa"/>
            <w:vAlign w:val="center"/>
          </w:tcPr>
          <w:p w14:paraId="69C72A4D">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25" w:type="dxa"/>
            <w:vAlign w:val="center"/>
          </w:tcPr>
          <w:p w14:paraId="39A614C1">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251" w:type="dxa"/>
            <w:vAlign w:val="center"/>
          </w:tcPr>
          <w:p w14:paraId="50D4FE27">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194" w:type="dxa"/>
            <w:vAlign w:val="center"/>
          </w:tcPr>
          <w:p w14:paraId="3147CC11">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c>
          <w:tcPr>
            <w:tcW w:w="1350" w:type="dxa"/>
            <w:vAlign w:val="center"/>
          </w:tcPr>
          <w:p w14:paraId="3FF222FD">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sz w:val="20"/>
                <w:szCs w:val="22"/>
              </w:rPr>
            </w:pPr>
          </w:p>
        </w:tc>
      </w:tr>
    </w:tbl>
    <w:p w14:paraId="31F9EF55">
      <w:pPr>
        <w:snapToGrid w:val="0"/>
        <w:rPr>
          <w:rFonts w:hint="eastAsia" w:ascii="微软雅黑" w:hAnsi="微软雅黑" w:eastAsia="微软雅黑"/>
          <w:b w:val="0"/>
          <w:bCs/>
          <w:color w:val="auto"/>
          <w:sz w:val="20"/>
        </w:rPr>
      </w:pPr>
      <w:r>
        <w:rPr>
          <w:rFonts w:hint="eastAsia" w:ascii="微软雅黑" w:hAnsi="微软雅黑" w:eastAsia="微软雅黑"/>
          <w:b w:val="0"/>
          <w:bCs/>
          <w:color w:val="auto"/>
          <w:sz w:val="20"/>
        </w:rPr>
        <w:t>注释：各单位在系统中上报的是本公司投资额；</w:t>
      </w:r>
    </w:p>
    <w:p w14:paraId="5C5F5436">
      <w:pPr>
        <w:snapToGrid w:val="0"/>
        <w:rPr>
          <w:rFonts w:hint="eastAsia" w:ascii="微软雅黑" w:hAnsi="微软雅黑" w:eastAsia="微软雅黑"/>
          <w:b w:val="0"/>
          <w:bCs/>
          <w:color w:val="auto"/>
          <w:sz w:val="20"/>
        </w:rPr>
      </w:pPr>
      <w:r>
        <w:rPr>
          <w:rFonts w:hint="eastAsia" w:ascii="微软雅黑" w:hAnsi="微软雅黑" w:eastAsia="微软雅黑"/>
          <w:b w:val="0"/>
          <w:bCs/>
          <w:color w:val="auto"/>
          <w:sz w:val="20"/>
        </w:rPr>
        <w:t>资本性支出为系统剔除股权类投资中并表内出资新设和增资入股项目后自动计算得出的合计数。</w:t>
      </w:r>
    </w:p>
    <w:p w14:paraId="502E8EA2">
      <w:pPr>
        <w:snapToGrid w:val="0"/>
        <w:rPr>
          <w:rFonts w:hint="eastAsia" w:ascii="微软雅黑" w:hAnsi="微软雅黑" w:eastAsia="微软雅黑"/>
          <w:b w:val="0"/>
          <w:bCs/>
          <w:color w:val="auto"/>
          <w:sz w:val="20"/>
        </w:rPr>
      </w:pPr>
      <w:r>
        <w:rPr>
          <w:rFonts w:hint="eastAsia" w:ascii="微软雅黑" w:hAnsi="微软雅黑" w:eastAsia="微软雅黑"/>
          <w:b w:val="0"/>
          <w:bCs/>
          <w:color w:val="auto"/>
          <w:sz w:val="20"/>
        </w:rPr>
        <w:t>完成率1=2025年1-</w:t>
      </w:r>
      <w:r>
        <w:rPr>
          <w:rFonts w:hint="eastAsia" w:ascii="微软雅黑" w:hAnsi="微软雅黑" w:eastAsia="微软雅黑"/>
          <w:b w:val="0"/>
          <w:bCs/>
          <w:color w:val="auto"/>
          <w:sz w:val="20"/>
          <w:lang w:val="en-US" w:eastAsia="zh-CN"/>
        </w:rPr>
        <w:t>6</w:t>
      </w:r>
      <w:r>
        <w:rPr>
          <w:rFonts w:hint="eastAsia" w:ascii="微软雅黑" w:hAnsi="微软雅黑" w:eastAsia="微软雅黑"/>
          <w:b w:val="0"/>
          <w:bCs/>
          <w:color w:val="auto"/>
          <w:sz w:val="20"/>
        </w:rPr>
        <w:t>月实际数/2025年1-</w:t>
      </w:r>
      <w:r>
        <w:rPr>
          <w:rFonts w:hint="eastAsia" w:ascii="微软雅黑" w:hAnsi="微软雅黑" w:eastAsia="微软雅黑"/>
          <w:b w:val="0"/>
          <w:bCs/>
          <w:color w:val="auto"/>
          <w:sz w:val="20"/>
          <w:lang w:val="en-US" w:eastAsia="zh-CN"/>
        </w:rPr>
        <w:t>6</w:t>
      </w:r>
      <w:r>
        <w:rPr>
          <w:rFonts w:hint="eastAsia" w:ascii="微软雅黑" w:hAnsi="微软雅黑" w:eastAsia="微软雅黑"/>
          <w:b w:val="0"/>
          <w:bCs/>
          <w:color w:val="auto"/>
          <w:sz w:val="20"/>
        </w:rPr>
        <w:t>月预算数*100%</w:t>
      </w:r>
    </w:p>
    <w:p w14:paraId="2522AFB9">
      <w:pPr>
        <w:snapToGrid w:val="0"/>
        <w:rPr>
          <w:rFonts w:hint="eastAsia" w:ascii="微软雅黑" w:hAnsi="微软雅黑" w:eastAsia="微软雅黑"/>
          <w:b w:val="0"/>
          <w:bCs/>
          <w:color w:val="auto"/>
          <w:sz w:val="20"/>
        </w:rPr>
      </w:pPr>
      <w:r>
        <w:rPr>
          <w:rFonts w:hint="eastAsia" w:ascii="微软雅黑" w:hAnsi="微软雅黑" w:eastAsia="微软雅黑"/>
          <w:b w:val="0"/>
          <w:bCs/>
          <w:color w:val="auto"/>
          <w:sz w:val="20"/>
        </w:rPr>
        <w:t>完成率2</w:t>
      </w:r>
      <w:r>
        <w:rPr>
          <w:rFonts w:ascii="微软雅黑" w:hAnsi="微软雅黑" w:eastAsia="微软雅黑"/>
          <w:b w:val="0"/>
          <w:bCs/>
          <w:color w:val="auto"/>
          <w:sz w:val="20"/>
        </w:rPr>
        <w:t>=</w:t>
      </w:r>
      <w:r>
        <w:rPr>
          <w:rFonts w:hint="eastAsia" w:ascii="微软雅黑" w:hAnsi="微软雅黑" w:eastAsia="微软雅黑"/>
          <w:b w:val="0"/>
          <w:bCs/>
          <w:color w:val="auto"/>
          <w:sz w:val="20"/>
        </w:rPr>
        <w:t>2025年1-</w:t>
      </w:r>
      <w:r>
        <w:rPr>
          <w:rFonts w:hint="eastAsia" w:ascii="微软雅黑" w:hAnsi="微软雅黑" w:eastAsia="微软雅黑"/>
          <w:b w:val="0"/>
          <w:bCs/>
          <w:color w:val="auto"/>
          <w:sz w:val="20"/>
          <w:lang w:val="en-US" w:eastAsia="zh-CN"/>
        </w:rPr>
        <w:t>6</w:t>
      </w:r>
      <w:r>
        <w:rPr>
          <w:rFonts w:hint="eastAsia" w:ascii="微软雅黑" w:hAnsi="微软雅黑" w:eastAsia="微软雅黑"/>
          <w:b w:val="0"/>
          <w:bCs/>
          <w:color w:val="auto"/>
          <w:sz w:val="20"/>
        </w:rPr>
        <w:t>月实际数/2025年全年预算数*100%</w:t>
      </w:r>
    </w:p>
    <w:p w14:paraId="77C98677">
      <w:pPr>
        <w:keepNext w:val="0"/>
        <w:keepLines w:val="0"/>
        <w:pageBreakBefore w:val="0"/>
        <w:kinsoku/>
        <w:wordWrap/>
        <w:overflowPunct/>
        <w:topLinePunct w:val="0"/>
        <w:autoSpaceDE/>
        <w:autoSpaceDN/>
        <w:bidi w:val="0"/>
        <w:adjustRightInd w:val="0"/>
        <w:snapToGrid w:val="0"/>
        <w:spacing w:line="620" w:lineRule="exact"/>
        <w:ind w:left="0" w:leftChars="0" w:right="0" w:firstLine="640" w:firstLineChars="200"/>
        <w:jc w:val="left"/>
        <w:textAlignment w:val="auto"/>
        <w:rPr>
          <w:rFonts w:ascii="黑体" w:hAnsi="黑体" w:eastAsia="黑体"/>
          <w:sz w:val="32"/>
          <w:szCs w:val="32"/>
        </w:rPr>
      </w:pPr>
      <w:r>
        <w:rPr>
          <w:rFonts w:hint="eastAsia" w:ascii="黑体" w:hAnsi="黑体" w:eastAsia="黑体"/>
          <w:sz w:val="32"/>
          <w:szCs w:val="32"/>
        </w:rPr>
        <w:t>一、2</w:t>
      </w:r>
      <w:r>
        <w:rPr>
          <w:rFonts w:ascii="黑体" w:hAnsi="黑体" w:eastAsia="黑体"/>
          <w:sz w:val="32"/>
          <w:szCs w:val="32"/>
        </w:rPr>
        <w:t>0</w:t>
      </w:r>
      <w:r>
        <w:rPr>
          <w:rFonts w:hint="eastAsia" w:ascii="黑体" w:hAnsi="黑体" w:eastAsia="黑体"/>
          <w:sz w:val="32"/>
          <w:szCs w:val="32"/>
        </w:rPr>
        <w:t>2</w:t>
      </w:r>
      <w:r>
        <w:rPr>
          <w:rFonts w:hint="eastAsia" w:ascii="黑体" w:hAnsi="黑体" w:eastAsia="黑体"/>
          <w:sz w:val="32"/>
          <w:szCs w:val="32"/>
          <w:lang w:val="en-US" w:eastAsia="zh-CN"/>
        </w:rPr>
        <w:t>5</w:t>
      </w:r>
      <w:r>
        <w:rPr>
          <w:rFonts w:hint="eastAsia" w:ascii="黑体" w:hAnsi="黑体" w:eastAsia="黑体"/>
          <w:sz w:val="32"/>
          <w:szCs w:val="32"/>
        </w:rPr>
        <w:t>年上半年投资预算执行情况</w:t>
      </w:r>
    </w:p>
    <w:p w14:paraId="135F65A8">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left"/>
        <w:textAlignment w:val="auto"/>
        <w:rPr>
          <w:rFonts w:hint="eastAsia" w:ascii="黑体" w:hAnsi="黑体" w:eastAsia="黑体"/>
          <w:sz w:val="32"/>
          <w:szCs w:val="32"/>
        </w:rPr>
      </w:pPr>
    </w:p>
    <w:p w14:paraId="2FC35CD9">
      <w:pPr>
        <w:keepNext w:val="0"/>
        <w:keepLines w:val="0"/>
        <w:pageBreakBefore w:val="0"/>
        <w:widowControl w:val="0"/>
        <w:kinsoku/>
        <w:wordWrap/>
        <w:overflowPunct/>
        <w:topLinePunct w:val="0"/>
        <w:autoSpaceDE/>
        <w:autoSpaceDN/>
        <w:bidi w:val="0"/>
        <w:adjustRightInd w:val="0"/>
        <w:snapToGrid w:val="0"/>
        <w:spacing w:line="620" w:lineRule="exact"/>
        <w:ind w:right="0" w:firstLine="640" w:firstLineChars="200"/>
        <w:jc w:val="left"/>
        <w:textAlignment w:val="auto"/>
        <w:rPr>
          <w:rFonts w:hint="eastAsia" w:ascii="黑体" w:hAnsi="黑体" w:eastAsia="黑体"/>
          <w:sz w:val="32"/>
          <w:szCs w:val="32"/>
          <w:highlight w:val="yellow"/>
          <w:lang w:eastAsia="zh-CN"/>
        </w:rPr>
      </w:pPr>
      <w:r>
        <w:rPr>
          <w:rFonts w:hint="eastAsia" w:ascii="黑体" w:hAnsi="黑体" w:eastAsia="黑体"/>
          <w:sz w:val="32"/>
          <w:szCs w:val="32"/>
        </w:rPr>
        <w:t>二、自建类投资</w:t>
      </w:r>
      <w:r>
        <w:rPr>
          <w:rFonts w:hint="eastAsia" w:ascii="黑体" w:hAnsi="黑体" w:eastAsia="黑体"/>
          <w:sz w:val="32"/>
          <w:szCs w:val="32"/>
          <w:highlight w:val="yellow"/>
          <w:lang w:eastAsia="zh-CN"/>
        </w:rPr>
        <w:t>（</w:t>
      </w:r>
      <w:r>
        <w:rPr>
          <w:rFonts w:hint="eastAsia" w:ascii="黑体" w:hAnsi="黑体" w:eastAsia="黑体"/>
          <w:sz w:val="32"/>
          <w:szCs w:val="32"/>
          <w:highlight w:val="yellow"/>
          <w:lang w:val="en-US" w:eastAsia="zh-CN"/>
        </w:rPr>
        <w:t>计财部</w:t>
      </w:r>
      <w:r>
        <w:rPr>
          <w:rFonts w:hint="eastAsia" w:ascii="黑体" w:hAnsi="黑体" w:eastAsia="黑体"/>
          <w:sz w:val="32"/>
          <w:szCs w:val="32"/>
          <w:highlight w:val="yellow"/>
          <w:lang w:eastAsia="zh-CN"/>
        </w:rPr>
        <w:t>）</w:t>
      </w:r>
    </w:p>
    <w:p w14:paraId="0DAB0638">
      <w:pPr>
        <w:keepNext w:val="0"/>
        <w:keepLines w:val="0"/>
        <w:pageBreakBefore w:val="0"/>
        <w:widowControl w:val="0"/>
        <w:tabs>
          <w:tab w:val="left" w:pos="3838"/>
        </w:tabs>
        <w:kinsoku/>
        <w:wordWrap/>
        <w:overflowPunct/>
        <w:topLinePunct w:val="0"/>
        <w:autoSpaceDE/>
        <w:autoSpaceDN/>
        <w:bidi w:val="0"/>
        <w:adjustRightInd w:val="0"/>
        <w:snapToGrid w:val="0"/>
        <w:spacing w:line="620" w:lineRule="exact"/>
        <w:ind w:left="0" w:leftChars="0" w:right="0" w:firstLine="640" w:firstLineChars="200"/>
        <w:textAlignment w:val="auto"/>
        <w:rPr>
          <w:rFonts w:hint="eastAsia" w:ascii="仿宋_GB2312" w:eastAsia="仿宋_GB2312"/>
          <w:sz w:val="32"/>
          <w:szCs w:val="32"/>
          <w:lang w:eastAsia="zh-CN"/>
        </w:rPr>
      </w:pPr>
      <w:r>
        <w:rPr>
          <w:rFonts w:hint="eastAsia" w:ascii="仿宋_GB2312" w:eastAsia="仿宋_GB2312"/>
          <w:sz w:val="32"/>
          <w:szCs w:val="32"/>
          <w:lang w:eastAsia="zh-CN"/>
        </w:rPr>
        <w:t>自建类</w:t>
      </w:r>
      <w:r>
        <w:rPr>
          <w:rFonts w:hint="eastAsia" w:ascii="仿宋_GB2312" w:eastAsia="仿宋_GB2312"/>
          <w:sz w:val="32"/>
          <w:szCs w:val="32"/>
          <w:lang w:val="en-US" w:eastAsia="zh-CN"/>
        </w:rPr>
        <w:t>上半年</w:t>
      </w:r>
      <w:r>
        <w:rPr>
          <w:rFonts w:hint="eastAsia" w:ascii="仿宋_GB2312" w:eastAsia="仿宋_GB2312"/>
          <w:sz w:val="32"/>
          <w:szCs w:val="32"/>
          <w:lang w:eastAsia="zh-CN"/>
        </w:rPr>
        <w:t>实际投资</w:t>
      </w:r>
      <w:r>
        <w:rPr>
          <w:rFonts w:hint="eastAsia" w:ascii="仿宋_GB2312" w:eastAsia="仿宋_GB2312"/>
          <w:color w:val="FF0000"/>
          <w:sz w:val="32"/>
          <w:szCs w:val="32"/>
          <w:lang w:val="en-US" w:eastAsia="zh-CN"/>
        </w:rPr>
        <w:t xml:space="preserve">  </w:t>
      </w:r>
      <w:r>
        <w:rPr>
          <w:rFonts w:hint="eastAsia" w:ascii="仿宋_GB2312" w:eastAsia="仿宋_GB2312"/>
          <w:sz w:val="32"/>
          <w:szCs w:val="32"/>
          <w:lang w:eastAsia="zh-CN"/>
        </w:rPr>
        <w:t>万元，其中电子设备</w:t>
      </w:r>
      <w:r>
        <w:rPr>
          <w:rFonts w:hint="eastAsia" w:ascii="仿宋_GB2312" w:eastAsia="仿宋_GB2312"/>
          <w:color w:val="FF0000"/>
          <w:sz w:val="32"/>
          <w:szCs w:val="32"/>
          <w:lang w:val="en-US" w:eastAsia="zh-CN"/>
        </w:rPr>
        <w:t xml:space="preserve">  </w:t>
      </w:r>
      <w:r>
        <w:rPr>
          <w:rFonts w:hint="eastAsia" w:ascii="仿宋_GB2312" w:eastAsia="仿宋_GB2312"/>
          <w:sz w:val="32"/>
          <w:szCs w:val="32"/>
          <w:lang w:eastAsia="zh-CN"/>
        </w:rPr>
        <w:t>万元；办公设备及其他</w:t>
      </w:r>
      <w:r>
        <w:rPr>
          <w:rFonts w:hint="eastAsia" w:ascii="仿宋_GB2312" w:eastAsia="仿宋_GB2312"/>
          <w:color w:val="FF0000"/>
          <w:sz w:val="32"/>
          <w:szCs w:val="32"/>
          <w:lang w:val="en-US" w:eastAsia="zh-CN"/>
        </w:rPr>
        <w:t xml:space="preserve">  </w:t>
      </w:r>
      <w:r>
        <w:rPr>
          <w:rFonts w:hint="eastAsia" w:ascii="仿宋_GB2312" w:eastAsia="仿宋_GB2312"/>
          <w:sz w:val="32"/>
          <w:szCs w:val="32"/>
          <w:lang w:eastAsia="zh-CN"/>
        </w:rPr>
        <w:t>万</w:t>
      </w:r>
      <w:bookmarkStart w:id="2" w:name="_GoBack"/>
      <w:bookmarkEnd w:id="2"/>
      <w:r>
        <w:rPr>
          <w:rFonts w:hint="eastAsia" w:ascii="仿宋_GB2312" w:eastAsia="仿宋_GB2312"/>
          <w:sz w:val="32"/>
          <w:szCs w:val="32"/>
          <w:lang w:eastAsia="zh-CN"/>
        </w:rPr>
        <w:t>元；无形资产合计</w:t>
      </w:r>
      <w:r>
        <w:rPr>
          <w:rFonts w:hint="eastAsia" w:ascii="仿宋_GB2312" w:eastAsia="仿宋_GB2312"/>
          <w:color w:val="FF0000"/>
          <w:sz w:val="32"/>
          <w:szCs w:val="32"/>
          <w:lang w:val="en-US" w:eastAsia="zh-CN"/>
        </w:rPr>
        <w:t xml:space="preserve">  </w:t>
      </w:r>
      <w:r>
        <w:rPr>
          <w:rFonts w:hint="eastAsia" w:ascii="仿宋_GB2312" w:eastAsia="仿宋_GB2312"/>
          <w:sz w:val="32"/>
          <w:szCs w:val="32"/>
          <w:lang w:eastAsia="zh-CN"/>
        </w:rPr>
        <w:t>万元。</w:t>
      </w:r>
    </w:p>
    <w:p w14:paraId="6734A10A">
      <w:pPr>
        <w:keepNext w:val="0"/>
        <w:keepLines w:val="0"/>
        <w:pageBreakBefore w:val="0"/>
        <w:widowControl w:val="0"/>
        <w:tabs>
          <w:tab w:val="left" w:pos="3838"/>
        </w:tabs>
        <w:kinsoku/>
        <w:wordWrap/>
        <w:overflowPunct/>
        <w:topLinePunct w:val="0"/>
        <w:autoSpaceDE/>
        <w:autoSpaceDN/>
        <w:bidi w:val="0"/>
        <w:adjustRightInd w:val="0"/>
        <w:snapToGrid w:val="0"/>
        <w:spacing w:line="620" w:lineRule="exact"/>
        <w:ind w:left="0" w:leftChars="0" w:right="0" w:firstLine="640" w:firstLineChars="200"/>
        <w:textAlignment w:val="auto"/>
        <w:rPr>
          <w:rFonts w:hint="eastAsia" w:ascii="仿宋_GB2312" w:eastAsia="仿宋_GB2312"/>
          <w:color w:val="auto"/>
          <w:sz w:val="32"/>
          <w:szCs w:val="32"/>
          <w:lang w:eastAsia="zh-CN"/>
        </w:rPr>
      </w:pPr>
      <w:r>
        <w:rPr>
          <w:rFonts w:hint="eastAsia" w:ascii="仿宋_GB2312" w:eastAsia="仿宋_GB2312"/>
          <w:sz w:val="32"/>
          <w:szCs w:val="32"/>
          <w:lang w:eastAsia="zh-CN"/>
        </w:rPr>
        <w:t>2025年全年自建类投资预算4,662.</w:t>
      </w:r>
      <w:r>
        <w:rPr>
          <w:rFonts w:hint="eastAsia" w:ascii="仿宋_GB2312" w:eastAsia="仿宋_GB2312"/>
          <w:color w:val="auto"/>
          <w:sz w:val="32"/>
          <w:szCs w:val="32"/>
          <w:lang w:eastAsia="zh-CN"/>
        </w:rPr>
        <w:t>04万元，全年预计投资额7,105.67万元，其中营地建设及装修1,941万元；电子设备827.98万元；办公设备及其他658.80万元；交通运输设备420.36万元；无形资产合计813.90万元。</w:t>
      </w:r>
      <w:r>
        <w:rPr>
          <w:rFonts w:hint="eastAsia" w:ascii="仿宋_GB2312" w:eastAsia="仿宋_GB2312"/>
          <w:color w:val="auto"/>
          <w:sz w:val="32"/>
          <w:szCs w:val="32"/>
          <w:lang w:val="en-US" w:eastAsia="zh-CN"/>
        </w:rPr>
        <w:t>较预算新增</w:t>
      </w:r>
      <w:r>
        <w:rPr>
          <w:rFonts w:hint="eastAsia" w:ascii="仿宋_GB2312" w:eastAsia="仿宋_GB2312"/>
          <w:color w:val="auto"/>
          <w:sz w:val="32"/>
          <w:szCs w:val="32"/>
          <w:lang w:eastAsia="zh-CN"/>
        </w:rPr>
        <w:t>房屋建筑物2,443.63万元，</w:t>
      </w:r>
      <w:r>
        <w:rPr>
          <w:rFonts w:hint="eastAsia" w:ascii="仿宋_GB2312" w:eastAsia="仿宋_GB2312"/>
          <w:color w:val="auto"/>
          <w:sz w:val="32"/>
          <w:szCs w:val="32"/>
          <w:lang w:val="en-US" w:eastAsia="zh-CN"/>
        </w:rPr>
        <w:t>为公司拟</w:t>
      </w:r>
      <w:r>
        <w:rPr>
          <w:rFonts w:hint="eastAsia" w:ascii="仿宋_GB2312" w:eastAsia="仿宋_GB2312"/>
          <w:color w:val="auto"/>
          <w:sz w:val="32"/>
          <w:szCs w:val="32"/>
          <w:lang w:eastAsia="zh-CN"/>
        </w:rPr>
        <w:t>购置中信城开（深圳）信荣汇房产物业（</w:t>
      </w:r>
      <w:r>
        <w:rPr>
          <w:rFonts w:hint="eastAsia" w:ascii="仿宋_GB2312" w:eastAsia="仿宋_GB2312"/>
          <w:color w:val="auto"/>
          <w:sz w:val="32"/>
          <w:szCs w:val="32"/>
          <w:lang w:val="en-US" w:eastAsia="zh-CN"/>
        </w:rPr>
        <w:t>包括</w:t>
      </w:r>
      <w:r>
        <w:rPr>
          <w:rFonts w:hint="eastAsia" w:ascii="仿宋_GB2312" w:eastAsia="仿宋_GB2312"/>
          <w:color w:val="auto"/>
          <w:sz w:val="32"/>
          <w:szCs w:val="32"/>
          <w:lang w:eastAsia="zh-CN"/>
        </w:rPr>
        <w:t>5套办公物业及10套精装公寓）。</w:t>
      </w:r>
    </w:p>
    <w:p w14:paraId="21861DC5">
      <w:pPr>
        <w:keepNext w:val="0"/>
        <w:keepLines w:val="0"/>
        <w:pageBreakBefore w:val="0"/>
        <w:widowControl w:val="0"/>
        <w:kinsoku/>
        <w:wordWrap/>
        <w:overflowPunct/>
        <w:topLinePunct w:val="0"/>
        <w:autoSpaceDE/>
        <w:autoSpaceDN/>
        <w:bidi w:val="0"/>
        <w:adjustRightInd w:val="0"/>
        <w:snapToGrid w:val="0"/>
        <w:spacing w:line="620" w:lineRule="exact"/>
        <w:ind w:left="0" w:leftChars="0" w:right="0" w:firstLine="640" w:firstLineChars="200"/>
        <w:jc w:val="left"/>
        <w:textAlignment w:val="auto"/>
        <w:rPr>
          <w:rFonts w:ascii="黑体" w:hAnsi="黑体" w:eastAsia="黑体"/>
          <w:sz w:val="32"/>
          <w:szCs w:val="32"/>
        </w:rPr>
      </w:pPr>
      <w:r>
        <w:rPr>
          <w:rFonts w:hint="eastAsia" w:ascii="黑体" w:hAnsi="黑体" w:eastAsia="黑体"/>
          <w:sz w:val="32"/>
          <w:szCs w:val="32"/>
        </w:rPr>
        <w:t>三、权益类投资</w:t>
      </w:r>
    </w:p>
    <w:p w14:paraId="3B04A5C1">
      <w:pPr>
        <w:keepNext w:val="0"/>
        <w:keepLines w:val="0"/>
        <w:pageBreakBefore w:val="0"/>
        <w:widowControl w:val="0"/>
        <w:kinsoku/>
        <w:wordWrap/>
        <w:overflowPunct/>
        <w:topLinePunct w:val="0"/>
        <w:autoSpaceDE/>
        <w:autoSpaceDN/>
        <w:bidi w:val="0"/>
        <w:adjustRightInd w:val="0"/>
        <w:snapToGrid w:val="0"/>
        <w:spacing w:line="620" w:lineRule="exact"/>
        <w:ind w:left="0" w:leftChars="0" w:right="0" w:firstLine="640" w:firstLineChars="200"/>
        <w:textAlignment w:val="auto"/>
        <w:rPr>
          <w:rFonts w:hint="eastAsia" w:ascii="仿宋_GB2312" w:eastAsia="仿宋_GB2312" w:hAnsiTheme="minorEastAsia"/>
          <w:sz w:val="32"/>
          <w:szCs w:val="32"/>
        </w:rPr>
      </w:pPr>
    </w:p>
    <w:p w14:paraId="177B681D">
      <w:pPr>
        <w:keepNext w:val="0"/>
        <w:keepLines w:val="0"/>
        <w:pageBreakBefore w:val="0"/>
        <w:widowControl w:val="0"/>
        <w:kinsoku/>
        <w:wordWrap/>
        <w:overflowPunct/>
        <w:topLinePunct w:val="0"/>
        <w:autoSpaceDE/>
        <w:autoSpaceDN/>
        <w:bidi w:val="0"/>
        <w:adjustRightInd w:val="0"/>
        <w:snapToGrid w:val="0"/>
        <w:spacing w:line="620" w:lineRule="exact"/>
        <w:ind w:left="0" w:leftChars="0" w:right="0" w:firstLine="640" w:firstLineChars="200"/>
        <w:textAlignment w:val="auto"/>
        <w:rPr>
          <w:rFonts w:hint="eastAsia" w:ascii="仿宋_GB2312" w:eastAsia="仿宋_GB2312" w:hAnsiTheme="minorEastAsia"/>
          <w:sz w:val="32"/>
          <w:szCs w:val="32"/>
        </w:rPr>
      </w:pPr>
      <w:r>
        <w:rPr>
          <w:rFonts w:hint="eastAsia" w:ascii="仿宋_GB2312" w:eastAsia="仿宋_GB2312" w:hAnsiTheme="minorEastAsia"/>
          <w:sz w:val="32"/>
          <w:szCs w:val="32"/>
        </w:rPr>
        <w:t>各投资项目具体进展情况如下：</w:t>
      </w:r>
    </w:p>
    <w:p w14:paraId="717DCC27">
      <w:pPr>
        <w:keepNext w:val="0"/>
        <w:keepLines w:val="0"/>
        <w:pageBreakBefore w:val="0"/>
        <w:widowControl w:val="0"/>
        <w:kinsoku/>
        <w:wordWrap/>
        <w:overflowPunct/>
        <w:topLinePunct w:val="0"/>
        <w:autoSpaceDE/>
        <w:autoSpaceDN/>
        <w:bidi w:val="0"/>
        <w:adjustRightInd w:val="0"/>
        <w:snapToGrid w:val="0"/>
        <w:spacing w:line="620" w:lineRule="exact"/>
        <w:ind w:left="0" w:leftChars="0" w:right="0" w:firstLine="640" w:firstLineChars="200"/>
        <w:textAlignment w:val="auto"/>
        <w:rPr>
          <w:rFonts w:hint="eastAsia" w:ascii="仿宋_GB2312" w:eastAsia="仿宋_GB2312" w:cs="仿宋_GB2312" w:hAnsiTheme="minorEastAsia"/>
          <w:sz w:val="32"/>
          <w:szCs w:val="32"/>
        </w:rPr>
      </w:pPr>
      <w:r>
        <w:rPr>
          <w:rFonts w:hint="eastAsia" w:ascii="仿宋_GB2312" w:eastAsia="仿宋_GB2312" w:cs="仿宋_GB2312" w:hAnsiTheme="minorEastAsia"/>
          <w:sz w:val="32"/>
          <w:szCs w:val="32"/>
        </w:rPr>
        <w:t>1.预算内项目</w:t>
      </w:r>
    </w:p>
    <w:p w14:paraId="28B72C3A">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（1）资阳临空经济区产业新城项目</w:t>
      </w:r>
      <w:bookmarkStart w:id="0" w:name="OLE_LINK1"/>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PPP事业部</w:t>
      </w:r>
      <w:r>
        <w:rPr>
          <w:rFonts w:hint="eastAsia" w:ascii="仿宋_GB2312" w:hAnsi="仿宋_GB2312" w:eastAsia="仿宋_GB2312" w:cs="仿宋_GB2312"/>
          <w:sz w:val="32"/>
          <w:szCs w:val="32"/>
          <w:highlight w:val="yellow"/>
          <w:lang w:eastAsia="zh-CN"/>
        </w:rPr>
        <w:t>）</w:t>
      </w:r>
    </w:p>
    <w:p w14:paraId="66CA8E59">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highlight w:val="none"/>
          <w:lang w:bidi="ar"/>
        </w:rPr>
      </w:pPr>
      <w:r>
        <w:rPr>
          <w:rFonts w:hint="eastAsia" w:ascii="仿宋_GB2312" w:hAnsi="仿宋_GB2312" w:eastAsia="仿宋_GB2312" w:cs="仿宋_GB2312"/>
          <w:sz w:val="32"/>
          <w:szCs w:val="32"/>
          <w:highlight w:val="none"/>
          <w:lang w:bidi="ar"/>
        </w:rPr>
        <w:t>截至2025年2月末，一期项目已完成投资额98.11亿元。实现工程产值67.71亿元，完成一期整体92.08%。二期项目已完成投资额68.90亿元。实现工程产值53.1亿元，完成二期整体62.92%。中信建设已累计完成出资98,020万元，完成中信建设资本金出资进度的71%。2025年资阳项目投资预算25,000万元。预计全年出资2</w:t>
      </w:r>
      <w:r>
        <w:rPr>
          <w:rFonts w:hint="eastAsia" w:ascii="仿宋_GB2312" w:hAnsi="仿宋_GB2312" w:eastAsia="仿宋_GB2312" w:cs="仿宋_GB2312"/>
          <w:sz w:val="32"/>
          <w:szCs w:val="32"/>
          <w:highlight w:val="none"/>
          <w:lang w:val="en-US" w:eastAsia="zh-CN" w:bidi="ar"/>
        </w:rPr>
        <w:t>,</w:t>
      </w:r>
      <w:r>
        <w:rPr>
          <w:rFonts w:hint="eastAsia" w:ascii="仿宋_GB2312" w:hAnsi="仿宋_GB2312" w:eastAsia="仿宋_GB2312" w:cs="仿宋_GB2312"/>
          <w:sz w:val="32"/>
          <w:szCs w:val="32"/>
          <w:highlight w:val="none"/>
          <w:lang w:bidi="ar"/>
        </w:rPr>
        <w:t>5000万元，其中二季度预计出资6</w:t>
      </w:r>
      <w:r>
        <w:rPr>
          <w:rFonts w:hint="eastAsia" w:ascii="仿宋_GB2312" w:hAnsi="仿宋_GB2312" w:eastAsia="仿宋_GB2312" w:cs="仿宋_GB2312"/>
          <w:sz w:val="32"/>
          <w:szCs w:val="32"/>
          <w:highlight w:val="none"/>
          <w:lang w:val="en-US" w:eastAsia="zh-CN" w:bidi="ar"/>
        </w:rPr>
        <w:t>,</w:t>
      </w:r>
      <w:r>
        <w:rPr>
          <w:rFonts w:hint="eastAsia" w:ascii="仿宋_GB2312" w:hAnsi="仿宋_GB2312" w:eastAsia="仿宋_GB2312" w:cs="仿宋_GB2312"/>
          <w:sz w:val="32"/>
          <w:szCs w:val="32"/>
          <w:highlight w:val="none"/>
          <w:lang w:bidi="ar"/>
        </w:rPr>
        <w:t>000万元，四季度出资19</w:t>
      </w:r>
      <w:r>
        <w:rPr>
          <w:rFonts w:hint="eastAsia" w:ascii="仿宋_GB2312" w:hAnsi="仿宋_GB2312" w:eastAsia="仿宋_GB2312" w:cs="仿宋_GB2312"/>
          <w:sz w:val="32"/>
          <w:szCs w:val="32"/>
          <w:highlight w:val="none"/>
          <w:lang w:val="en-US" w:eastAsia="zh-CN" w:bidi="ar"/>
        </w:rPr>
        <w:t>,</w:t>
      </w:r>
      <w:r>
        <w:rPr>
          <w:rFonts w:hint="eastAsia" w:ascii="仿宋_GB2312" w:hAnsi="仿宋_GB2312" w:eastAsia="仿宋_GB2312" w:cs="仿宋_GB2312"/>
          <w:sz w:val="32"/>
          <w:szCs w:val="32"/>
          <w:highlight w:val="none"/>
          <w:lang w:bidi="ar"/>
        </w:rPr>
        <w:t>000万元。</w:t>
      </w:r>
    </w:p>
    <w:p w14:paraId="68745C92">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（2）南京江北新区研创园芯片之城科创基地项目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PPP事业部</w:t>
      </w:r>
      <w:r>
        <w:rPr>
          <w:rFonts w:hint="eastAsia" w:ascii="仿宋_GB2312" w:hAnsi="仿宋_GB2312" w:eastAsia="仿宋_GB2312" w:cs="仿宋_GB2312"/>
          <w:sz w:val="32"/>
          <w:szCs w:val="32"/>
          <w:highlight w:val="yellow"/>
          <w:lang w:eastAsia="zh-CN"/>
        </w:rPr>
        <w:t>）</w:t>
      </w:r>
    </w:p>
    <w:bookmarkEnd w:id="0"/>
    <w:p w14:paraId="7472406B">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黑体" w:eastAsia="仿宋_GB2312" w:cs="仿宋_GB2312"/>
          <w:sz w:val="32"/>
          <w:szCs w:val="32"/>
          <w:lang w:bidi="ar"/>
        </w:rPr>
      </w:pPr>
      <w:r>
        <w:rPr>
          <w:rFonts w:hint="eastAsia" w:ascii="仿宋_GB2312" w:hAnsi="黑体" w:eastAsia="仿宋_GB2312" w:cs="仿宋_GB2312"/>
          <w:sz w:val="32"/>
          <w:szCs w:val="32"/>
          <w:lang w:bidi="ar"/>
        </w:rPr>
        <w:t>截至2025年3月末，南京项目已完成投资额</w:t>
      </w:r>
      <w:r>
        <w:rPr>
          <w:rFonts w:ascii="仿宋_GB2312" w:hAnsi="黑体" w:eastAsia="仿宋_GB2312" w:cs="仿宋_GB2312"/>
          <w:sz w:val="32"/>
          <w:szCs w:val="32"/>
          <w:lang w:bidi="ar"/>
        </w:rPr>
        <w:t>70</w:t>
      </w:r>
      <w:r>
        <w:rPr>
          <w:rFonts w:hint="eastAsia" w:ascii="仿宋_GB2312" w:hAnsi="黑体" w:eastAsia="仿宋_GB2312" w:cs="仿宋_GB2312"/>
          <w:sz w:val="32"/>
          <w:szCs w:val="32"/>
          <w:lang w:bidi="ar"/>
        </w:rPr>
        <w:t>.</w:t>
      </w:r>
      <w:r>
        <w:rPr>
          <w:rFonts w:ascii="仿宋_GB2312" w:hAnsi="黑体" w:eastAsia="仿宋_GB2312" w:cs="仿宋_GB2312"/>
          <w:sz w:val="32"/>
          <w:szCs w:val="32"/>
          <w:lang w:bidi="ar"/>
        </w:rPr>
        <w:t>44</w:t>
      </w:r>
      <w:r>
        <w:rPr>
          <w:rFonts w:hint="eastAsia" w:ascii="仿宋_GB2312" w:hAnsi="黑体" w:eastAsia="仿宋_GB2312" w:cs="仿宋_GB2312"/>
          <w:sz w:val="32"/>
          <w:szCs w:val="32"/>
          <w:lang w:bidi="ar"/>
        </w:rPr>
        <w:t>亿元。实现工程产值</w:t>
      </w:r>
      <w:r>
        <w:rPr>
          <w:rFonts w:ascii="仿宋_GB2312" w:hAnsi="黑体" w:eastAsia="仿宋_GB2312" w:cs="仿宋_GB2312"/>
          <w:sz w:val="32"/>
          <w:szCs w:val="32"/>
          <w:lang w:bidi="ar"/>
        </w:rPr>
        <w:t>28</w:t>
      </w:r>
      <w:r>
        <w:rPr>
          <w:rFonts w:hint="eastAsia" w:ascii="仿宋_GB2312" w:hAnsi="黑体" w:eastAsia="仿宋_GB2312" w:cs="仿宋_GB2312"/>
          <w:sz w:val="32"/>
          <w:szCs w:val="32"/>
          <w:lang w:bidi="ar"/>
        </w:rPr>
        <w:t>.</w:t>
      </w:r>
      <w:r>
        <w:rPr>
          <w:rFonts w:ascii="仿宋_GB2312" w:hAnsi="黑体" w:eastAsia="仿宋_GB2312" w:cs="仿宋_GB2312"/>
          <w:sz w:val="32"/>
          <w:szCs w:val="32"/>
          <w:lang w:bidi="ar"/>
        </w:rPr>
        <w:t>01</w:t>
      </w:r>
      <w:r>
        <w:rPr>
          <w:rFonts w:hint="eastAsia" w:ascii="仿宋_GB2312" w:hAnsi="黑体" w:eastAsia="仿宋_GB2312" w:cs="仿宋_GB2312"/>
          <w:sz w:val="32"/>
          <w:szCs w:val="32"/>
          <w:lang w:bidi="ar"/>
        </w:rPr>
        <w:t>亿元，完成整体</w:t>
      </w:r>
      <w:r>
        <w:rPr>
          <w:rFonts w:ascii="仿宋_GB2312" w:hAnsi="黑体" w:eastAsia="仿宋_GB2312" w:cs="仿宋_GB2312"/>
          <w:sz w:val="32"/>
          <w:szCs w:val="32"/>
          <w:lang w:bidi="ar"/>
        </w:rPr>
        <w:t>25</w:t>
      </w:r>
      <w:r>
        <w:rPr>
          <w:rFonts w:hint="eastAsia" w:ascii="仿宋_GB2312" w:hAnsi="黑体" w:eastAsia="仿宋_GB2312" w:cs="仿宋_GB2312"/>
          <w:sz w:val="32"/>
          <w:szCs w:val="32"/>
          <w:lang w:bidi="ar"/>
        </w:rPr>
        <w:t>%。中信建设已累计完成出资69,900万元，完成中信建设资本金出资进度的62%。2025年南京项目投资预算11,600万元</w:t>
      </w:r>
      <w:r>
        <w:rPr>
          <w:rFonts w:hint="eastAsia" w:ascii="仿宋_GB2312" w:hAnsi="黑体" w:eastAsia="仿宋_GB2312" w:cs="仿宋_GB2312"/>
          <w:sz w:val="32"/>
          <w:szCs w:val="32"/>
          <w:lang w:val="en-US" w:eastAsia="zh-CN" w:bidi="ar"/>
        </w:rPr>
        <w:t>,</w:t>
      </w:r>
      <w:r>
        <w:rPr>
          <w:rFonts w:hint="eastAsia" w:ascii="仿宋_GB2312" w:hAnsi="黑体" w:eastAsia="仿宋_GB2312" w:cs="仿宋_GB2312"/>
          <w:sz w:val="32"/>
          <w:szCs w:val="32"/>
          <w:lang w:bidi="ar"/>
        </w:rPr>
        <w:t>预计二季度全部</w:t>
      </w:r>
      <w:r>
        <w:rPr>
          <w:rFonts w:hint="eastAsia" w:ascii="仿宋_GB2312" w:hAnsi="黑体" w:eastAsia="仿宋_GB2312" w:cs="仿宋_GB2312"/>
          <w:sz w:val="32"/>
          <w:szCs w:val="32"/>
          <w:lang w:val="en-US" w:eastAsia="zh-CN" w:bidi="ar"/>
        </w:rPr>
        <w:t>投出</w:t>
      </w:r>
      <w:r>
        <w:rPr>
          <w:rFonts w:hint="eastAsia" w:ascii="仿宋_GB2312" w:hAnsi="黑体" w:eastAsia="仿宋_GB2312" w:cs="仿宋_GB2312"/>
          <w:sz w:val="32"/>
          <w:szCs w:val="32"/>
          <w:lang w:bidi="ar"/>
        </w:rPr>
        <w:t>。</w:t>
      </w:r>
    </w:p>
    <w:p w14:paraId="7283F759">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（3）黄河战略济南国际生态港项目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PPP事业部</w:t>
      </w:r>
      <w:r>
        <w:rPr>
          <w:rFonts w:hint="eastAsia" w:ascii="仿宋_GB2312" w:hAnsi="仿宋_GB2312" w:eastAsia="仿宋_GB2312" w:cs="仿宋_GB2312"/>
          <w:sz w:val="32"/>
          <w:szCs w:val="32"/>
          <w:highlight w:val="yellow"/>
          <w:lang w:eastAsia="zh-CN"/>
        </w:rPr>
        <w:t>）</w:t>
      </w:r>
    </w:p>
    <w:p w14:paraId="22266E69">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黑体" w:eastAsia="仿宋_GB2312" w:cs="仿宋_GB2312"/>
          <w:sz w:val="32"/>
          <w:szCs w:val="32"/>
          <w:lang w:bidi="ar"/>
        </w:rPr>
      </w:pPr>
      <w:r>
        <w:rPr>
          <w:rFonts w:hint="eastAsia" w:ascii="仿宋_GB2312" w:hAnsi="黑体" w:eastAsia="仿宋_GB2312" w:cs="仿宋_GB2312"/>
          <w:sz w:val="32"/>
          <w:szCs w:val="32"/>
          <w:lang w:bidi="ar"/>
        </w:rPr>
        <w:t>截至2025年3月末，济南项目已完成投资额</w:t>
      </w:r>
      <w:r>
        <w:rPr>
          <w:rFonts w:ascii="仿宋_GB2312" w:hAnsi="黑体" w:eastAsia="仿宋_GB2312" w:cs="仿宋_GB2312"/>
          <w:sz w:val="32"/>
          <w:szCs w:val="32"/>
          <w:lang w:bidi="ar"/>
        </w:rPr>
        <w:t>43.1</w:t>
      </w:r>
      <w:r>
        <w:rPr>
          <w:rFonts w:hint="eastAsia" w:ascii="仿宋_GB2312" w:hAnsi="黑体" w:eastAsia="仿宋_GB2312" w:cs="仿宋_GB2312"/>
          <w:sz w:val="32"/>
          <w:szCs w:val="32"/>
          <w:lang w:bidi="ar"/>
        </w:rPr>
        <w:t>亿元。实现工程产值</w:t>
      </w:r>
      <w:r>
        <w:rPr>
          <w:rFonts w:ascii="仿宋_GB2312" w:hAnsi="黑体" w:eastAsia="仿宋_GB2312" w:cs="仿宋_GB2312"/>
          <w:sz w:val="32"/>
          <w:szCs w:val="32"/>
          <w:lang w:bidi="ar"/>
        </w:rPr>
        <w:t>38.24</w:t>
      </w:r>
      <w:r>
        <w:rPr>
          <w:rFonts w:hint="eastAsia" w:ascii="仿宋_GB2312" w:hAnsi="黑体" w:eastAsia="仿宋_GB2312" w:cs="仿宋_GB2312"/>
          <w:sz w:val="32"/>
          <w:szCs w:val="32"/>
          <w:lang w:bidi="ar"/>
        </w:rPr>
        <w:t>亿元，完成一期整体</w:t>
      </w:r>
      <w:r>
        <w:rPr>
          <w:rFonts w:ascii="仿宋_GB2312" w:hAnsi="黑体" w:eastAsia="仿宋_GB2312" w:cs="仿宋_GB2312"/>
          <w:sz w:val="32"/>
          <w:szCs w:val="32"/>
          <w:lang w:bidi="ar"/>
        </w:rPr>
        <w:t>62</w:t>
      </w:r>
      <w:r>
        <w:rPr>
          <w:rFonts w:hint="eastAsia" w:ascii="仿宋_GB2312" w:hAnsi="黑体" w:eastAsia="仿宋_GB2312" w:cs="仿宋_GB2312"/>
          <w:sz w:val="32"/>
          <w:szCs w:val="32"/>
          <w:lang w:bidi="ar"/>
        </w:rPr>
        <w:t>%。中信建设已累计完成出资20,000万元，完成中信建设资本金出资进度的51%。2025年济南项目投资预算1</w:t>
      </w:r>
      <w:r>
        <w:rPr>
          <w:rFonts w:ascii="仿宋_GB2312" w:hAnsi="黑体" w:eastAsia="仿宋_GB2312" w:cs="仿宋_GB2312"/>
          <w:sz w:val="32"/>
          <w:szCs w:val="32"/>
          <w:lang w:bidi="ar"/>
        </w:rPr>
        <w:t>0</w:t>
      </w:r>
      <w:r>
        <w:rPr>
          <w:rFonts w:hint="eastAsia" w:ascii="仿宋_GB2312" w:hAnsi="黑体" w:eastAsia="仿宋_GB2312" w:cs="仿宋_GB2312"/>
          <w:sz w:val="32"/>
          <w:szCs w:val="32"/>
          <w:lang w:bidi="ar"/>
        </w:rPr>
        <w:t>,</w:t>
      </w:r>
      <w:r>
        <w:rPr>
          <w:rFonts w:ascii="仿宋_GB2312" w:hAnsi="黑体" w:eastAsia="仿宋_GB2312" w:cs="仿宋_GB2312"/>
          <w:sz w:val="32"/>
          <w:szCs w:val="32"/>
          <w:lang w:bidi="ar"/>
        </w:rPr>
        <w:t>0</w:t>
      </w:r>
      <w:r>
        <w:rPr>
          <w:rFonts w:hint="eastAsia" w:ascii="仿宋_GB2312" w:hAnsi="黑体" w:eastAsia="仿宋_GB2312" w:cs="仿宋_GB2312"/>
          <w:sz w:val="32"/>
          <w:szCs w:val="32"/>
          <w:lang w:bidi="ar"/>
        </w:rPr>
        <w:t>00万元。预计二季度全部</w:t>
      </w:r>
      <w:r>
        <w:rPr>
          <w:rFonts w:hint="eastAsia" w:ascii="仿宋_GB2312" w:hAnsi="黑体" w:eastAsia="仿宋_GB2312" w:cs="仿宋_GB2312"/>
          <w:sz w:val="32"/>
          <w:szCs w:val="32"/>
          <w:lang w:val="en-US" w:eastAsia="zh-CN" w:bidi="ar"/>
        </w:rPr>
        <w:t>投出</w:t>
      </w:r>
      <w:r>
        <w:rPr>
          <w:rFonts w:hint="eastAsia" w:ascii="仿宋_GB2312" w:hAnsi="黑体" w:eastAsia="仿宋_GB2312" w:cs="仿宋_GB2312"/>
          <w:sz w:val="32"/>
          <w:szCs w:val="32"/>
          <w:lang w:bidi="ar"/>
        </w:rPr>
        <w:t>。</w:t>
      </w:r>
    </w:p>
    <w:p w14:paraId="67D5938D">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（4）中国（驻马店）国际农产品加工产业园一期项目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PPP事业部</w:t>
      </w:r>
      <w:r>
        <w:rPr>
          <w:rFonts w:hint="eastAsia" w:ascii="仿宋_GB2312" w:hAnsi="仿宋_GB2312" w:eastAsia="仿宋_GB2312" w:cs="仿宋_GB2312"/>
          <w:sz w:val="32"/>
          <w:szCs w:val="32"/>
          <w:highlight w:val="yellow"/>
          <w:lang w:eastAsia="zh-CN"/>
        </w:rPr>
        <w:t>）</w:t>
      </w:r>
    </w:p>
    <w:p w14:paraId="62179AE7">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ascii="仿宋_GB2312" w:hAnsi="黑体" w:eastAsia="仿宋_GB2312" w:cs="仿宋_GB2312"/>
          <w:sz w:val="32"/>
          <w:szCs w:val="32"/>
          <w:lang w:bidi="ar"/>
        </w:rPr>
      </w:pPr>
      <w:r>
        <w:rPr>
          <w:rFonts w:hint="eastAsia" w:ascii="仿宋_GB2312" w:hAnsi="黑体" w:eastAsia="仿宋_GB2312" w:cs="仿宋_GB2312"/>
          <w:sz w:val="32"/>
          <w:szCs w:val="32"/>
          <w:lang w:bidi="ar"/>
        </w:rPr>
        <w:t>截至2025年3月末，驻马店项</w:t>
      </w:r>
      <w:r>
        <w:rPr>
          <w:rFonts w:hint="eastAsia" w:ascii="仿宋_GB2312" w:hAnsi="黑体" w:eastAsia="仿宋_GB2312" w:cs="仿宋_GB2312"/>
          <w:color w:val="auto"/>
          <w:sz w:val="32"/>
          <w:szCs w:val="32"/>
          <w:lang w:bidi="ar"/>
        </w:rPr>
        <w:t>目已完成投资额</w:t>
      </w:r>
      <w:r>
        <w:rPr>
          <w:rFonts w:ascii="仿宋_GB2312" w:hAnsi="黑体" w:eastAsia="仿宋_GB2312" w:cs="仿宋_GB2312"/>
          <w:color w:val="auto"/>
          <w:sz w:val="32"/>
          <w:szCs w:val="32"/>
          <w:lang w:bidi="ar"/>
        </w:rPr>
        <w:t>36</w:t>
      </w:r>
      <w:r>
        <w:rPr>
          <w:rFonts w:hint="eastAsia" w:ascii="仿宋_GB2312" w:hAnsi="黑体" w:eastAsia="仿宋_GB2312" w:cs="仿宋_GB2312"/>
          <w:color w:val="auto"/>
          <w:sz w:val="32"/>
          <w:szCs w:val="32"/>
          <w:lang w:bidi="ar"/>
        </w:rPr>
        <w:t>.</w:t>
      </w:r>
      <w:r>
        <w:rPr>
          <w:rFonts w:ascii="仿宋_GB2312" w:hAnsi="黑体" w:eastAsia="仿宋_GB2312" w:cs="仿宋_GB2312"/>
          <w:color w:val="auto"/>
          <w:sz w:val="32"/>
          <w:szCs w:val="32"/>
          <w:lang w:bidi="ar"/>
        </w:rPr>
        <w:t>43</w:t>
      </w:r>
      <w:r>
        <w:rPr>
          <w:rFonts w:hint="eastAsia" w:ascii="仿宋_GB2312" w:hAnsi="黑体" w:eastAsia="仿宋_GB2312" w:cs="仿宋_GB2312"/>
          <w:color w:val="auto"/>
          <w:sz w:val="32"/>
          <w:szCs w:val="32"/>
          <w:lang w:bidi="ar"/>
        </w:rPr>
        <w:t>亿元。实现工程产值</w:t>
      </w:r>
      <w:r>
        <w:rPr>
          <w:rFonts w:ascii="仿宋_GB2312" w:hAnsi="黑体" w:eastAsia="仿宋_GB2312" w:cs="仿宋_GB2312"/>
          <w:color w:val="auto"/>
          <w:sz w:val="32"/>
          <w:szCs w:val="32"/>
          <w:lang w:bidi="ar"/>
        </w:rPr>
        <w:t>25</w:t>
      </w:r>
      <w:r>
        <w:rPr>
          <w:rFonts w:hint="eastAsia" w:ascii="仿宋_GB2312" w:hAnsi="黑体" w:eastAsia="仿宋_GB2312" w:cs="仿宋_GB2312"/>
          <w:color w:val="auto"/>
          <w:sz w:val="32"/>
          <w:szCs w:val="32"/>
          <w:lang w:bidi="ar"/>
        </w:rPr>
        <w:t>.</w:t>
      </w:r>
      <w:r>
        <w:rPr>
          <w:rFonts w:ascii="仿宋_GB2312" w:hAnsi="黑体" w:eastAsia="仿宋_GB2312" w:cs="仿宋_GB2312"/>
          <w:color w:val="auto"/>
          <w:sz w:val="32"/>
          <w:szCs w:val="32"/>
          <w:lang w:bidi="ar"/>
        </w:rPr>
        <w:t>4</w:t>
      </w:r>
      <w:r>
        <w:rPr>
          <w:rFonts w:hint="eastAsia" w:ascii="仿宋_GB2312" w:hAnsi="黑体" w:eastAsia="仿宋_GB2312" w:cs="仿宋_GB2312"/>
          <w:color w:val="auto"/>
          <w:sz w:val="32"/>
          <w:szCs w:val="32"/>
          <w:lang w:bidi="ar"/>
        </w:rPr>
        <w:t>亿元，完成一期整体</w:t>
      </w:r>
      <w:r>
        <w:rPr>
          <w:rFonts w:ascii="仿宋_GB2312" w:hAnsi="黑体" w:eastAsia="仿宋_GB2312" w:cs="仿宋_GB2312"/>
          <w:color w:val="auto"/>
          <w:sz w:val="32"/>
          <w:szCs w:val="32"/>
          <w:lang w:bidi="ar"/>
        </w:rPr>
        <w:t>66</w:t>
      </w:r>
      <w:r>
        <w:rPr>
          <w:rFonts w:hint="eastAsia" w:ascii="仿宋_GB2312" w:hAnsi="黑体" w:eastAsia="仿宋_GB2312" w:cs="仿宋_GB2312"/>
          <w:color w:val="auto"/>
          <w:sz w:val="32"/>
          <w:szCs w:val="32"/>
          <w:lang w:bidi="ar"/>
        </w:rPr>
        <w:t>%。2025年驻马店项目投资预算</w:t>
      </w:r>
      <w:r>
        <w:rPr>
          <w:rFonts w:hint="eastAsia" w:ascii="仿宋_GB2312" w:hAnsi="仿宋_GB2312" w:eastAsia="仿宋_GB2312" w:cs="仿宋_GB2312"/>
          <w:color w:val="auto"/>
          <w:sz w:val="32"/>
          <w:szCs w:val="32"/>
        </w:rPr>
        <w:t>1,201.78</w:t>
      </w:r>
      <w:r>
        <w:rPr>
          <w:rFonts w:hint="eastAsia" w:ascii="仿宋_GB2312" w:hAnsi="黑体" w:eastAsia="仿宋_GB2312" w:cs="仿宋_GB2312"/>
          <w:color w:val="auto"/>
          <w:sz w:val="32"/>
          <w:szCs w:val="32"/>
          <w:lang w:bidi="ar"/>
        </w:rPr>
        <w:t>万元。预计全年出资2,749.78万元，其中一季度已出资1</w:t>
      </w:r>
      <w:r>
        <w:rPr>
          <w:rFonts w:ascii="仿宋_GB2312" w:hAnsi="黑体" w:eastAsia="仿宋_GB2312" w:cs="仿宋_GB2312"/>
          <w:color w:val="auto"/>
          <w:sz w:val="32"/>
          <w:szCs w:val="32"/>
          <w:lang w:bidi="ar"/>
        </w:rPr>
        <w:t>,548</w:t>
      </w:r>
      <w:r>
        <w:rPr>
          <w:rFonts w:hint="eastAsia" w:ascii="仿宋_GB2312" w:hAnsi="黑体" w:eastAsia="仿宋_GB2312" w:cs="仿宋_GB2312"/>
          <w:color w:val="auto"/>
          <w:sz w:val="32"/>
          <w:szCs w:val="32"/>
          <w:lang w:bidi="ar"/>
        </w:rPr>
        <w:t>万元,预计三季度出资1</w:t>
      </w:r>
      <w:r>
        <w:rPr>
          <w:rFonts w:hint="eastAsia" w:ascii="仿宋_GB2312" w:hAnsi="黑体" w:eastAsia="仿宋_GB2312" w:cs="仿宋_GB2312"/>
          <w:color w:val="auto"/>
          <w:sz w:val="32"/>
          <w:szCs w:val="32"/>
          <w:lang w:val="en-US" w:eastAsia="zh-CN" w:bidi="ar"/>
        </w:rPr>
        <w:t>,</w:t>
      </w:r>
      <w:r>
        <w:rPr>
          <w:rFonts w:hint="eastAsia" w:ascii="仿宋_GB2312" w:hAnsi="黑体" w:eastAsia="仿宋_GB2312" w:cs="仿宋_GB2312"/>
          <w:color w:val="auto"/>
          <w:sz w:val="32"/>
          <w:szCs w:val="32"/>
          <w:lang w:bidi="ar"/>
        </w:rPr>
        <w:t>201.78万元，超过投资预算原因是</w:t>
      </w:r>
      <w:r>
        <w:rPr>
          <w:rFonts w:hint="eastAsia" w:ascii="仿宋_GB2312" w:hAnsi="黑体" w:eastAsia="仿宋_GB2312" w:cs="仿宋_GB2312"/>
          <w:sz w:val="32"/>
          <w:szCs w:val="32"/>
          <w:lang w:bidi="ar"/>
        </w:rPr>
        <w:t>为与其他股东方同步出资，原计划2</w:t>
      </w:r>
      <w:r>
        <w:rPr>
          <w:rFonts w:ascii="仿宋_GB2312" w:hAnsi="黑体" w:eastAsia="仿宋_GB2312" w:cs="仿宋_GB2312"/>
          <w:sz w:val="32"/>
          <w:szCs w:val="32"/>
          <w:lang w:bidi="ar"/>
        </w:rPr>
        <w:t>024</w:t>
      </w:r>
      <w:r>
        <w:rPr>
          <w:rFonts w:hint="eastAsia" w:ascii="仿宋_GB2312" w:hAnsi="黑体" w:eastAsia="仿宋_GB2312" w:cs="仿宋_GB2312"/>
          <w:sz w:val="32"/>
          <w:szCs w:val="32"/>
          <w:lang w:bidi="ar"/>
        </w:rPr>
        <w:t>年出资1</w:t>
      </w:r>
      <w:r>
        <w:rPr>
          <w:rFonts w:ascii="仿宋_GB2312" w:hAnsi="黑体" w:eastAsia="仿宋_GB2312" w:cs="仿宋_GB2312"/>
          <w:sz w:val="32"/>
          <w:szCs w:val="32"/>
          <w:lang w:bidi="ar"/>
        </w:rPr>
        <w:t>,548</w:t>
      </w:r>
      <w:r>
        <w:rPr>
          <w:rFonts w:hint="eastAsia" w:ascii="仿宋_GB2312" w:hAnsi="黑体" w:eastAsia="仿宋_GB2312" w:cs="仿宋_GB2312"/>
          <w:sz w:val="32"/>
          <w:szCs w:val="32"/>
          <w:lang w:bidi="ar"/>
        </w:rPr>
        <w:t>万元出资时间延后至2025年1月。中信建设已累计完成出资</w:t>
      </w:r>
      <w:r>
        <w:rPr>
          <w:rFonts w:ascii="仿宋_GB2312" w:hAnsi="黑体" w:eastAsia="仿宋_GB2312" w:cs="仿宋_GB2312"/>
          <w:sz w:val="32"/>
          <w:szCs w:val="32"/>
          <w:lang w:bidi="ar"/>
        </w:rPr>
        <w:t>5</w:t>
      </w:r>
      <w:r>
        <w:rPr>
          <w:rFonts w:hint="eastAsia" w:ascii="仿宋_GB2312" w:hAnsi="黑体" w:eastAsia="仿宋_GB2312" w:cs="仿宋_GB2312"/>
          <w:sz w:val="32"/>
          <w:szCs w:val="32"/>
          <w:lang w:bidi="ar"/>
        </w:rPr>
        <w:t>,</w:t>
      </w:r>
      <w:r>
        <w:rPr>
          <w:rFonts w:ascii="仿宋_GB2312" w:hAnsi="黑体" w:eastAsia="仿宋_GB2312" w:cs="仿宋_GB2312"/>
          <w:sz w:val="32"/>
          <w:szCs w:val="32"/>
          <w:lang w:bidi="ar"/>
        </w:rPr>
        <w:t>273</w:t>
      </w:r>
      <w:r>
        <w:rPr>
          <w:rFonts w:hint="eastAsia" w:ascii="仿宋_GB2312" w:hAnsi="黑体" w:eastAsia="仿宋_GB2312" w:cs="仿宋_GB2312"/>
          <w:sz w:val="32"/>
          <w:szCs w:val="32"/>
          <w:lang w:bidi="ar"/>
        </w:rPr>
        <w:t>万元，完成中信建设资本金出资进度的</w:t>
      </w:r>
      <w:r>
        <w:rPr>
          <w:rFonts w:ascii="仿宋_GB2312" w:hAnsi="黑体" w:eastAsia="仿宋_GB2312" w:cs="仿宋_GB2312"/>
          <w:sz w:val="32"/>
          <w:szCs w:val="32"/>
          <w:lang w:bidi="ar"/>
        </w:rPr>
        <w:t>78</w:t>
      </w:r>
      <w:r>
        <w:rPr>
          <w:rFonts w:hint="eastAsia" w:ascii="仿宋_GB2312" w:hAnsi="黑体" w:eastAsia="仿宋_GB2312" w:cs="仿宋_GB2312"/>
          <w:sz w:val="32"/>
          <w:szCs w:val="32"/>
          <w:lang w:bidi="ar"/>
        </w:rPr>
        <w:t>%。</w:t>
      </w:r>
    </w:p>
    <w:p w14:paraId="0C2E30DA">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（5）大连金普新区中日生态新城公共服务配套项目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PPP事业部</w:t>
      </w:r>
      <w:r>
        <w:rPr>
          <w:rFonts w:hint="eastAsia" w:ascii="仿宋_GB2312" w:hAnsi="仿宋_GB2312" w:eastAsia="仿宋_GB2312" w:cs="仿宋_GB2312"/>
          <w:sz w:val="32"/>
          <w:szCs w:val="32"/>
          <w:highlight w:val="yellow"/>
          <w:lang w:eastAsia="zh-CN"/>
        </w:rPr>
        <w:t>）</w:t>
      </w:r>
    </w:p>
    <w:p w14:paraId="24EB8ADB">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黑体" w:eastAsia="仿宋_GB2312" w:cs="仿宋_GB2312"/>
          <w:sz w:val="32"/>
          <w:szCs w:val="32"/>
          <w:highlight w:val="none"/>
          <w:lang w:bidi="ar"/>
        </w:rPr>
      </w:pPr>
      <w:r>
        <w:rPr>
          <w:rFonts w:hint="eastAsia" w:ascii="仿宋_GB2312" w:hAnsi="黑体" w:eastAsia="仿宋_GB2312" w:cs="仿宋_GB2312"/>
          <w:sz w:val="32"/>
          <w:szCs w:val="32"/>
          <w:lang w:bidi="ar"/>
        </w:rPr>
        <w:t>截至2025年3月末，大连项目已完成投资额</w:t>
      </w:r>
      <w:r>
        <w:rPr>
          <w:rFonts w:ascii="仿宋_GB2312" w:hAnsi="黑体" w:eastAsia="仿宋_GB2312" w:cs="仿宋_GB2312"/>
          <w:sz w:val="32"/>
          <w:szCs w:val="32"/>
          <w:lang w:bidi="ar"/>
        </w:rPr>
        <w:t>8</w:t>
      </w:r>
      <w:r>
        <w:rPr>
          <w:rFonts w:hint="eastAsia" w:ascii="仿宋_GB2312" w:hAnsi="黑体" w:eastAsia="仿宋_GB2312" w:cs="仿宋_GB2312"/>
          <w:sz w:val="32"/>
          <w:szCs w:val="32"/>
          <w:lang w:bidi="ar"/>
        </w:rPr>
        <w:t>.</w:t>
      </w:r>
      <w:r>
        <w:rPr>
          <w:rFonts w:ascii="仿宋_GB2312" w:hAnsi="黑体" w:eastAsia="仿宋_GB2312" w:cs="仿宋_GB2312"/>
          <w:sz w:val="32"/>
          <w:szCs w:val="32"/>
          <w:lang w:bidi="ar"/>
        </w:rPr>
        <w:t>22</w:t>
      </w:r>
      <w:r>
        <w:rPr>
          <w:rFonts w:hint="eastAsia" w:ascii="仿宋_GB2312" w:hAnsi="黑体" w:eastAsia="仿宋_GB2312" w:cs="仿宋_GB2312"/>
          <w:sz w:val="32"/>
          <w:szCs w:val="32"/>
          <w:lang w:bidi="ar"/>
        </w:rPr>
        <w:t>亿元。实现工程产值6.</w:t>
      </w:r>
      <w:r>
        <w:rPr>
          <w:rFonts w:ascii="仿宋_GB2312" w:hAnsi="黑体" w:eastAsia="仿宋_GB2312" w:cs="仿宋_GB2312"/>
          <w:sz w:val="32"/>
          <w:szCs w:val="32"/>
          <w:lang w:bidi="ar"/>
        </w:rPr>
        <w:t>17</w:t>
      </w:r>
      <w:r>
        <w:rPr>
          <w:rFonts w:hint="eastAsia" w:ascii="仿宋_GB2312" w:hAnsi="黑体" w:eastAsia="仿宋_GB2312" w:cs="仿宋_GB2312"/>
          <w:sz w:val="32"/>
          <w:szCs w:val="32"/>
          <w:lang w:bidi="ar"/>
        </w:rPr>
        <w:t>亿元，完成一期整体</w:t>
      </w:r>
      <w:r>
        <w:rPr>
          <w:rFonts w:ascii="仿宋_GB2312" w:hAnsi="黑体" w:eastAsia="仿宋_GB2312" w:cs="仿宋_GB2312"/>
          <w:sz w:val="32"/>
          <w:szCs w:val="32"/>
          <w:lang w:bidi="ar"/>
        </w:rPr>
        <w:t>54</w:t>
      </w:r>
      <w:r>
        <w:rPr>
          <w:rFonts w:hint="eastAsia" w:ascii="仿宋_GB2312" w:hAnsi="黑体" w:eastAsia="仿宋_GB2312" w:cs="仿宋_GB2312"/>
          <w:sz w:val="32"/>
          <w:szCs w:val="32"/>
          <w:lang w:bidi="ar"/>
        </w:rPr>
        <w:t>%。2025年大连项目投资预算</w:t>
      </w:r>
      <w:r>
        <w:rPr>
          <w:rFonts w:ascii="仿宋_GB2312" w:hAnsi="黑体" w:eastAsia="仿宋_GB2312" w:cs="仿宋_GB2312"/>
          <w:sz w:val="32"/>
          <w:szCs w:val="32"/>
          <w:lang w:bidi="ar"/>
        </w:rPr>
        <w:t>1,509</w:t>
      </w:r>
      <w:r>
        <w:rPr>
          <w:rFonts w:hint="eastAsia" w:ascii="仿宋_GB2312" w:hAnsi="黑体" w:eastAsia="仿宋_GB2312" w:cs="仿宋_GB2312"/>
          <w:sz w:val="32"/>
          <w:szCs w:val="32"/>
          <w:lang w:bidi="ar"/>
        </w:rPr>
        <w:t>万元。预计全年出资</w:t>
      </w:r>
      <w:r>
        <w:rPr>
          <w:rFonts w:ascii="仿宋_GB2312" w:hAnsi="黑体" w:eastAsia="仿宋_GB2312" w:cs="仿宋_GB2312"/>
          <w:sz w:val="32"/>
          <w:szCs w:val="32"/>
          <w:lang w:bidi="ar"/>
        </w:rPr>
        <w:t>1</w:t>
      </w:r>
      <w:r>
        <w:rPr>
          <w:rFonts w:hint="eastAsia" w:ascii="仿宋_GB2312" w:hAnsi="黑体" w:eastAsia="仿宋_GB2312" w:cs="仿宋_GB2312"/>
          <w:sz w:val="32"/>
          <w:szCs w:val="32"/>
          <w:lang w:bidi="ar"/>
        </w:rPr>
        <w:t>,</w:t>
      </w:r>
      <w:r>
        <w:rPr>
          <w:rFonts w:ascii="仿宋_GB2312" w:hAnsi="黑体" w:eastAsia="仿宋_GB2312" w:cs="仿宋_GB2312"/>
          <w:sz w:val="32"/>
          <w:szCs w:val="32"/>
          <w:lang w:bidi="ar"/>
        </w:rPr>
        <w:t>975</w:t>
      </w:r>
      <w:r>
        <w:rPr>
          <w:rFonts w:hint="eastAsia" w:ascii="仿宋_GB2312" w:hAnsi="黑体" w:eastAsia="仿宋_GB2312" w:cs="仿宋_GB2312"/>
          <w:sz w:val="32"/>
          <w:szCs w:val="32"/>
          <w:lang w:bidi="ar"/>
        </w:rPr>
        <w:t>万元，其中一季度已出资</w:t>
      </w:r>
      <w:r>
        <w:rPr>
          <w:rFonts w:ascii="仿宋_GB2312" w:hAnsi="黑体" w:eastAsia="仿宋_GB2312" w:cs="仿宋_GB2312"/>
          <w:sz w:val="32"/>
          <w:szCs w:val="32"/>
          <w:lang w:bidi="ar"/>
        </w:rPr>
        <w:t>480</w:t>
      </w:r>
      <w:r>
        <w:rPr>
          <w:rFonts w:hint="eastAsia" w:ascii="仿宋_GB2312" w:hAnsi="黑体" w:eastAsia="仿宋_GB2312" w:cs="仿宋_GB2312"/>
          <w:sz w:val="32"/>
          <w:szCs w:val="32"/>
          <w:lang w:bidi="ar"/>
        </w:rPr>
        <w:t>万元,预计四季度出资1,</w:t>
      </w:r>
      <w:r>
        <w:rPr>
          <w:rFonts w:ascii="仿宋_GB2312" w:hAnsi="黑体" w:eastAsia="仿宋_GB2312" w:cs="仿宋_GB2312"/>
          <w:sz w:val="32"/>
          <w:szCs w:val="32"/>
          <w:lang w:bidi="ar"/>
        </w:rPr>
        <w:t>495</w:t>
      </w:r>
      <w:r>
        <w:rPr>
          <w:rFonts w:hint="eastAsia" w:ascii="仿宋_GB2312" w:hAnsi="黑体" w:eastAsia="仿宋_GB2312" w:cs="仿宋_GB2312"/>
          <w:sz w:val="32"/>
          <w:szCs w:val="32"/>
          <w:lang w:bidi="ar"/>
        </w:rPr>
        <w:t>万元，超过投资预算原因是为与其他股东方同步出资，原计划2</w:t>
      </w:r>
      <w:r>
        <w:rPr>
          <w:rFonts w:ascii="仿宋_GB2312" w:hAnsi="黑体" w:eastAsia="仿宋_GB2312" w:cs="仿宋_GB2312"/>
          <w:sz w:val="32"/>
          <w:szCs w:val="32"/>
          <w:lang w:bidi="ar"/>
        </w:rPr>
        <w:t>024</w:t>
      </w:r>
      <w:r>
        <w:rPr>
          <w:rFonts w:hint="eastAsia" w:ascii="仿宋_GB2312" w:hAnsi="黑体" w:eastAsia="仿宋_GB2312" w:cs="仿宋_GB2312"/>
          <w:sz w:val="32"/>
          <w:szCs w:val="32"/>
          <w:lang w:bidi="ar"/>
        </w:rPr>
        <w:t>年出资</w:t>
      </w:r>
      <w:r>
        <w:rPr>
          <w:rFonts w:ascii="仿宋_GB2312" w:hAnsi="黑体" w:eastAsia="仿宋_GB2312" w:cs="仿宋_GB2312"/>
          <w:sz w:val="32"/>
          <w:szCs w:val="32"/>
          <w:lang w:bidi="ar"/>
        </w:rPr>
        <w:t>480</w:t>
      </w:r>
      <w:r>
        <w:rPr>
          <w:rFonts w:hint="eastAsia" w:ascii="仿宋_GB2312" w:hAnsi="黑体" w:eastAsia="仿宋_GB2312" w:cs="仿宋_GB2312"/>
          <w:sz w:val="32"/>
          <w:szCs w:val="32"/>
          <w:lang w:bidi="ar"/>
        </w:rPr>
        <w:t>万元出资时间延后至2025年</w:t>
      </w:r>
      <w:r>
        <w:rPr>
          <w:rFonts w:ascii="仿宋_GB2312" w:hAnsi="黑体" w:eastAsia="仿宋_GB2312" w:cs="仿宋_GB2312"/>
          <w:sz w:val="32"/>
          <w:szCs w:val="32"/>
          <w:lang w:bidi="ar"/>
        </w:rPr>
        <w:t>3</w:t>
      </w:r>
      <w:r>
        <w:rPr>
          <w:rFonts w:hint="eastAsia" w:ascii="仿宋_GB2312" w:hAnsi="黑体" w:eastAsia="仿宋_GB2312" w:cs="仿宋_GB2312"/>
          <w:sz w:val="32"/>
          <w:szCs w:val="32"/>
          <w:lang w:bidi="ar"/>
        </w:rPr>
        <w:t>月。中信建设已累计完成出资</w:t>
      </w:r>
      <w:r>
        <w:rPr>
          <w:rFonts w:ascii="仿宋_GB2312" w:hAnsi="黑体" w:eastAsia="仿宋_GB2312" w:cs="仿宋_GB2312"/>
          <w:sz w:val="32"/>
          <w:szCs w:val="32"/>
          <w:lang w:bidi="ar"/>
        </w:rPr>
        <w:t>2</w:t>
      </w:r>
      <w:r>
        <w:rPr>
          <w:rFonts w:hint="eastAsia" w:ascii="仿宋_GB2312" w:hAnsi="黑体" w:eastAsia="仿宋_GB2312" w:cs="仿宋_GB2312"/>
          <w:sz w:val="32"/>
          <w:szCs w:val="32"/>
          <w:lang w:bidi="ar"/>
        </w:rPr>
        <w:t>,</w:t>
      </w:r>
      <w:r>
        <w:rPr>
          <w:rFonts w:ascii="仿宋_GB2312" w:hAnsi="黑体" w:eastAsia="仿宋_GB2312" w:cs="仿宋_GB2312"/>
          <w:sz w:val="32"/>
          <w:szCs w:val="32"/>
          <w:lang w:bidi="ar"/>
        </w:rPr>
        <w:t>400</w:t>
      </w:r>
      <w:r>
        <w:rPr>
          <w:rFonts w:hint="eastAsia" w:ascii="仿宋_GB2312" w:hAnsi="黑体" w:eastAsia="仿宋_GB2312" w:cs="仿宋_GB2312"/>
          <w:sz w:val="32"/>
          <w:szCs w:val="32"/>
          <w:highlight w:val="none"/>
          <w:lang w:bidi="ar"/>
        </w:rPr>
        <w:t>万元，完成中信建设资本金出资进度的</w:t>
      </w:r>
      <w:r>
        <w:rPr>
          <w:rFonts w:ascii="仿宋_GB2312" w:hAnsi="黑体" w:eastAsia="仿宋_GB2312" w:cs="仿宋_GB2312"/>
          <w:sz w:val="32"/>
          <w:szCs w:val="32"/>
          <w:highlight w:val="none"/>
          <w:lang w:bidi="ar"/>
        </w:rPr>
        <w:t>62</w:t>
      </w:r>
      <w:r>
        <w:rPr>
          <w:rFonts w:hint="eastAsia" w:ascii="仿宋_GB2312" w:hAnsi="黑体" w:eastAsia="仿宋_GB2312" w:cs="仿宋_GB2312"/>
          <w:sz w:val="32"/>
          <w:szCs w:val="32"/>
          <w:highlight w:val="none"/>
          <w:lang w:bidi="ar"/>
        </w:rPr>
        <w:t>%。</w:t>
      </w:r>
    </w:p>
    <w:p w14:paraId="739B727F">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（6）武汉长江新城起步区基础设施工程项目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PPP事业部</w:t>
      </w:r>
      <w:r>
        <w:rPr>
          <w:rFonts w:hint="eastAsia" w:ascii="仿宋_GB2312" w:hAnsi="仿宋_GB2312" w:eastAsia="仿宋_GB2312" w:cs="仿宋_GB2312"/>
          <w:sz w:val="32"/>
          <w:szCs w:val="32"/>
          <w:highlight w:val="yellow"/>
          <w:lang w:eastAsia="zh-CN"/>
        </w:rPr>
        <w:t>）</w:t>
      </w:r>
    </w:p>
    <w:p w14:paraId="46FF93DD">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outlineLvl w:val="2"/>
        <w:rPr>
          <w:rFonts w:hint="default" w:ascii="仿宋_GB2312" w:hAnsi="仿宋_GB2312" w:eastAsia="仿宋_GB2312" w:cs="仿宋_GB2312"/>
          <w:sz w:val="32"/>
          <w:szCs w:val="32"/>
          <w:highlight w:val="none"/>
          <w:lang w:val="en-US"/>
        </w:rPr>
      </w:pPr>
      <w:r>
        <w:rPr>
          <w:rFonts w:hint="eastAsia" w:ascii="仿宋_GB2312" w:hAnsi="仿宋_GB2312" w:eastAsia="仿宋_GB2312" w:cs="仿宋_GB2312"/>
          <w:sz w:val="32"/>
          <w:szCs w:val="32"/>
          <w:highlight w:val="none"/>
        </w:rPr>
        <w:t>截至2025年3月末，武汉项目已完成投资额42.75亿元。实现工程产值40.08亿元，完成一期整体68%。中信建设已累计完成出资11,490万元，完成中信建设资本金出资进度的60%。2025年武汉项目投资预算6,700万元。预计全年出资</w:t>
      </w:r>
      <w:r>
        <w:rPr>
          <w:rFonts w:hint="eastAsia" w:ascii="仿宋_GB2312" w:hAnsi="仿宋_GB2312" w:eastAsia="仿宋_GB2312" w:cs="仿宋_GB2312"/>
          <w:sz w:val="32"/>
          <w:szCs w:val="32"/>
          <w:highlight w:val="none"/>
          <w:lang w:val="en-US" w:eastAsia="zh-CN"/>
        </w:rPr>
        <w:t>3,200</w:t>
      </w:r>
      <w:r>
        <w:rPr>
          <w:rFonts w:hint="eastAsia" w:ascii="仿宋_GB2312" w:hAnsi="仿宋_GB2312" w:eastAsia="仿宋_GB2312" w:cs="仿宋_GB2312"/>
          <w:sz w:val="32"/>
          <w:szCs w:val="32"/>
          <w:highlight w:val="none"/>
        </w:rPr>
        <w:t>万元，</w:t>
      </w:r>
      <w:r>
        <w:rPr>
          <w:rFonts w:hint="eastAsia" w:ascii="仿宋_GB2312" w:hAnsi="仿宋_GB2312" w:eastAsia="仿宋_GB2312" w:cs="仿宋_GB2312"/>
          <w:sz w:val="32"/>
          <w:szCs w:val="32"/>
          <w:highlight w:val="none"/>
          <w:lang w:val="en-US" w:eastAsia="zh-CN"/>
        </w:rPr>
        <w:t>计划于</w:t>
      </w:r>
      <w:r>
        <w:rPr>
          <w:rFonts w:hint="eastAsia" w:ascii="仿宋_GB2312" w:hAnsi="仿宋_GB2312" w:eastAsia="仿宋_GB2312" w:cs="仿宋_GB2312"/>
          <w:sz w:val="32"/>
          <w:szCs w:val="32"/>
          <w:highlight w:val="none"/>
        </w:rPr>
        <w:t>三季度</w:t>
      </w:r>
      <w:r>
        <w:rPr>
          <w:rFonts w:hint="eastAsia" w:ascii="仿宋_GB2312" w:hAnsi="仿宋_GB2312" w:eastAsia="仿宋_GB2312" w:cs="仿宋_GB2312"/>
          <w:sz w:val="32"/>
          <w:szCs w:val="32"/>
          <w:highlight w:val="none"/>
          <w:lang w:val="en-US" w:eastAsia="zh-CN"/>
        </w:rPr>
        <w:t>投出。预计较预算减少原因为受政府方对子项目谌家矶大道建设内容调整的影响，减缓项目建设投资进度。</w:t>
      </w:r>
    </w:p>
    <w:p w14:paraId="3CF34E01">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outlineLvl w:val="2"/>
        <w:rPr>
          <w:rFonts w:hint="eastAsia" w:ascii="仿宋_GB2312" w:hAnsi="仿宋_GB2312" w:eastAsia="仿宋_GB2312" w:cs="仿宋_GB2312"/>
          <w:sz w:val="32"/>
          <w:szCs w:val="32"/>
          <w:highlight w:val="yellow"/>
          <w:lang w:eastAsia="zh-CN" w:bidi="ar"/>
        </w:rPr>
      </w:pPr>
      <w:r>
        <w:rPr>
          <w:rFonts w:hint="eastAsia" w:ascii="仿宋_GB2312" w:hAnsi="仿宋_GB2312" w:eastAsia="仿宋_GB2312" w:cs="仿宋_GB2312"/>
          <w:sz w:val="32"/>
          <w:szCs w:val="32"/>
          <w:lang w:bidi="ar"/>
        </w:rPr>
        <w:t>（7）中信（杭州）城西科创大走廊股权投资基金</w:t>
      </w:r>
      <w:r>
        <w:rPr>
          <w:rFonts w:hint="eastAsia" w:ascii="仿宋_GB2312" w:hAnsi="仿宋_GB2312" w:eastAsia="仿宋_GB2312" w:cs="仿宋_GB2312"/>
          <w:sz w:val="32"/>
          <w:szCs w:val="32"/>
          <w:highlight w:val="yellow"/>
          <w:lang w:eastAsia="zh-CN" w:bidi="ar"/>
        </w:rPr>
        <w:t>（</w:t>
      </w:r>
      <w:r>
        <w:rPr>
          <w:rFonts w:hint="eastAsia" w:ascii="仿宋_GB2312" w:hAnsi="仿宋_GB2312" w:eastAsia="仿宋_GB2312" w:cs="仿宋_GB2312"/>
          <w:sz w:val="32"/>
          <w:szCs w:val="32"/>
          <w:highlight w:val="yellow"/>
          <w:lang w:val="en-US" w:eastAsia="zh-CN" w:bidi="ar"/>
        </w:rPr>
        <w:t>基金组</w:t>
      </w:r>
      <w:r>
        <w:rPr>
          <w:rFonts w:hint="eastAsia" w:ascii="仿宋_GB2312" w:hAnsi="仿宋_GB2312" w:eastAsia="仿宋_GB2312" w:cs="仿宋_GB2312"/>
          <w:sz w:val="32"/>
          <w:szCs w:val="32"/>
          <w:highlight w:val="yellow"/>
          <w:lang w:eastAsia="zh-CN" w:bidi="ar"/>
        </w:rPr>
        <w:t>）</w:t>
      </w:r>
    </w:p>
    <w:p w14:paraId="23A06A82">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中信（杭州）城西科创大走廊股权投资基金首期规模50亿元人民币，中信方和杭州市各出资50%。我公司作为有限合伙人认购3亿元人民币基金份额，根据基金实缴情况及项目投资进度，预计2025年二季度需缴款10%，对应金额为3</w:t>
      </w:r>
      <w:r>
        <w:rPr>
          <w:rFonts w:hint="eastAsia" w:ascii="仿宋_GB2312" w:hAnsi="仿宋_GB2312" w:eastAsia="仿宋_GB2312" w:cs="仿宋_GB2312"/>
          <w:sz w:val="32"/>
          <w:szCs w:val="32"/>
          <w:lang w:val="en-US" w:eastAsia="zh-CN" w:bidi="ar"/>
        </w:rPr>
        <w:t>,</w:t>
      </w:r>
      <w:r>
        <w:rPr>
          <w:rFonts w:hint="eastAsia" w:ascii="仿宋_GB2312" w:hAnsi="仿宋_GB2312" w:eastAsia="仿宋_GB2312" w:cs="仿宋_GB2312"/>
          <w:sz w:val="32"/>
          <w:szCs w:val="32"/>
          <w:lang w:bidi="ar"/>
        </w:rPr>
        <w:t>000万元。</w:t>
      </w:r>
    </w:p>
    <w:p w14:paraId="159BBCC8">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outlineLvl w:val="3"/>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rPr>
        <w:t>（8）临高县东英镇全域土地综合整治试点项目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农业事业部</w:t>
      </w:r>
      <w:r>
        <w:rPr>
          <w:rFonts w:hint="eastAsia" w:ascii="仿宋_GB2312" w:hAnsi="仿宋_GB2312" w:eastAsia="仿宋_GB2312" w:cs="仿宋_GB2312"/>
          <w:sz w:val="32"/>
          <w:szCs w:val="32"/>
          <w:highlight w:val="yellow"/>
          <w:lang w:eastAsia="zh-CN"/>
        </w:rPr>
        <w:t>）</w:t>
      </w:r>
    </w:p>
    <w:p w14:paraId="321661A1">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公司参与投资临高县东英镇全域土地综合整治试点项目。2023年6月26日海南省信维全域土地投资开发有限公司（项目公司）已注册完毕，注册资本金1.2亿元。中信建设拟出资6,120万，持股比例51%。2025年</w:t>
      </w:r>
      <w:r>
        <w:rPr>
          <w:rFonts w:hint="eastAsia" w:ascii="仿宋_GB2312" w:hAnsi="仿宋_GB2312" w:eastAsia="仿宋_GB2312" w:cs="仿宋_GB2312"/>
          <w:sz w:val="32"/>
          <w:szCs w:val="32"/>
          <w:lang w:val="en-US" w:eastAsia="zh-CN" w:bidi="ar"/>
        </w:rPr>
        <w:t>预计</w:t>
      </w:r>
      <w:r>
        <w:rPr>
          <w:rFonts w:hint="eastAsia" w:ascii="仿宋_GB2312" w:hAnsi="仿宋_GB2312" w:eastAsia="仿宋_GB2312" w:cs="仿宋_GB2312"/>
          <w:sz w:val="32"/>
          <w:szCs w:val="32"/>
          <w:lang w:bidi="ar"/>
        </w:rPr>
        <w:t>出资2,186万元与预算一致，一季度已</w:t>
      </w:r>
      <w:r>
        <w:rPr>
          <w:rFonts w:hint="eastAsia" w:ascii="仿宋_GB2312" w:hAnsi="仿宋_GB2312" w:eastAsia="仿宋_GB2312" w:cs="仿宋_GB2312"/>
          <w:sz w:val="32"/>
          <w:szCs w:val="32"/>
          <w:lang w:val="en-US" w:eastAsia="zh-CN" w:bidi="ar"/>
        </w:rPr>
        <w:t>实际</w:t>
      </w:r>
      <w:r>
        <w:rPr>
          <w:rFonts w:hint="eastAsia" w:ascii="仿宋_GB2312" w:hAnsi="仿宋_GB2312" w:eastAsia="仿宋_GB2312" w:cs="仿宋_GB2312"/>
          <w:sz w:val="32"/>
          <w:szCs w:val="32"/>
          <w:lang w:bidi="ar"/>
        </w:rPr>
        <w:t>出资500万元，</w:t>
      </w:r>
      <w:r>
        <w:rPr>
          <w:rFonts w:hint="eastAsia" w:ascii="仿宋_GB2312" w:hAnsi="仿宋_GB2312" w:eastAsia="仿宋_GB2312" w:cs="仿宋_GB2312"/>
          <w:sz w:val="32"/>
          <w:szCs w:val="32"/>
          <w:lang w:val="en-US" w:eastAsia="zh-CN" w:bidi="ar"/>
        </w:rPr>
        <w:t>预计</w:t>
      </w:r>
      <w:r>
        <w:rPr>
          <w:rFonts w:hint="eastAsia" w:ascii="仿宋_GB2312" w:hAnsi="仿宋_GB2312" w:eastAsia="仿宋_GB2312" w:cs="仿宋_GB2312"/>
          <w:sz w:val="32"/>
          <w:szCs w:val="32"/>
          <w:lang w:bidi="ar"/>
        </w:rPr>
        <w:t>二季度出资600万元，三季度出资500万元、四季度出资586万元。</w:t>
      </w:r>
    </w:p>
    <w:p w14:paraId="3C3C9C46">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outlineLvl w:val="3"/>
        <w:rPr>
          <w:rFonts w:hint="eastAsia" w:ascii="仿宋_GB2312" w:hAnsi="仿宋_GB2312" w:eastAsia="仿宋_GB2312" w:cs="仿宋_GB2312"/>
          <w:sz w:val="32"/>
          <w:szCs w:val="32"/>
          <w:highlight w:val="yellow"/>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9</w:t>
      </w:r>
      <w:r>
        <w:rPr>
          <w:rFonts w:hint="eastAsia" w:ascii="仿宋_GB2312" w:hAnsi="仿宋_GB2312" w:eastAsia="仿宋_GB2312" w:cs="仿宋_GB2312"/>
          <w:sz w:val="32"/>
          <w:szCs w:val="32"/>
        </w:rPr>
        <w:t>）海南渔港及渔港经济区项目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农业事业部</w:t>
      </w:r>
      <w:r>
        <w:rPr>
          <w:rFonts w:hint="eastAsia" w:ascii="仿宋_GB2312" w:hAnsi="仿宋_GB2312" w:eastAsia="仿宋_GB2312" w:cs="仿宋_GB2312"/>
          <w:sz w:val="32"/>
          <w:szCs w:val="32"/>
          <w:highlight w:val="yellow"/>
          <w:lang w:eastAsia="zh-CN"/>
        </w:rPr>
        <w:t>）</w:t>
      </w:r>
    </w:p>
    <w:p w14:paraId="1B32F9D1">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为统一谋划海南省多个渔港及渔港经济区项目，公司拟与海南省政府组建省级平台公司代表政府统筹项目规划、设计与实施。省级平台公司暂定名为海南省渔业投资发展管理有限责任公司，由于原拟参与股东中农发集团旗下中国水产广州建港工程有限公司无法按期完成集团审批，已联系中国供销总社旗下中农批建设开发有限公司河北中合农产品市场管理有限公司参与海南省渔业投资发展管理有限公司筹建。</w:t>
      </w:r>
      <w:r>
        <w:rPr>
          <w:rFonts w:hint="eastAsia" w:ascii="仿宋_GB2312" w:hAnsi="仿宋_GB2312" w:eastAsia="仿宋_GB2312" w:cs="仿宋_GB2312"/>
          <w:sz w:val="32"/>
          <w:szCs w:val="32"/>
          <w:lang w:val="en-US" w:eastAsia="zh-CN" w:bidi="ar"/>
        </w:rPr>
        <w:t>项目公司</w:t>
      </w:r>
      <w:r>
        <w:rPr>
          <w:rFonts w:hint="eastAsia" w:ascii="仿宋_GB2312" w:hAnsi="仿宋_GB2312" w:eastAsia="仿宋_GB2312" w:cs="仿宋_GB2312"/>
          <w:sz w:val="32"/>
          <w:szCs w:val="32"/>
          <w:lang w:bidi="ar"/>
        </w:rPr>
        <w:t>注册资本50,000万元，中信建设拟持股39%。2025年根据项目进度</w:t>
      </w:r>
      <w:r>
        <w:rPr>
          <w:rFonts w:hint="eastAsia" w:ascii="仿宋_GB2312" w:hAnsi="仿宋_GB2312" w:eastAsia="仿宋_GB2312" w:cs="仿宋_GB2312"/>
          <w:sz w:val="32"/>
          <w:szCs w:val="32"/>
          <w:lang w:val="en-US" w:eastAsia="zh-CN" w:bidi="ar"/>
        </w:rPr>
        <w:t>预计</w:t>
      </w:r>
      <w:r>
        <w:rPr>
          <w:rFonts w:hint="eastAsia" w:ascii="仿宋_GB2312" w:hAnsi="仿宋_GB2312" w:eastAsia="仿宋_GB2312" w:cs="仿宋_GB2312"/>
          <w:sz w:val="32"/>
          <w:szCs w:val="32"/>
          <w:lang w:bidi="ar"/>
        </w:rPr>
        <w:t>共出资5,460万元</w:t>
      </w:r>
      <w:r>
        <w:rPr>
          <w:rFonts w:hint="eastAsia" w:ascii="仿宋_GB2312" w:hAnsi="仿宋_GB2312" w:eastAsia="仿宋_GB2312" w:cs="仿宋_GB2312"/>
          <w:sz w:val="32"/>
          <w:szCs w:val="32"/>
          <w:lang w:eastAsia="zh-CN" w:bidi="ar"/>
        </w:rPr>
        <w:t>（</w:t>
      </w:r>
      <w:r>
        <w:rPr>
          <w:rFonts w:hint="eastAsia" w:ascii="仿宋_GB2312" w:hAnsi="仿宋_GB2312" w:eastAsia="仿宋_GB2312" w:cs="仿宋_GB2312"/>
          <w:sz w:val="32"/>
          <w:szCs w:val="32"/>
          <w:lang w:val="en-US" w:eastAsia="zh-CN" w:bidi="ar"/>
        </w:rPr>
        <w:t>与预算一致</w:t>
      </w:r>
      <w:r>
        <w:rPr>
          <w:rFonts w:hint="eastAsia" w:ascii="仿宋_GB2312" w:hAnsi="仿宋_GB2312" w:eastAsia="仿宋_GB2312" w:cs="仿宋_GB2312"/>
          <w:sz w:val="32"/>
          <w:szCs w:val="32"/>
          <w:lang w:eastAsia="zh-CN" w:bidi="ar"/>
        </w:rPr>
        <w:t>）</w:t>
      </w:r>
      <w:r>
        <w:rPr>
          <w:rFonts w:hint="eastAsia" w:ascii="仿宋_GB2312" w:hAnsi="仿宋_GB2312" w:eastAsia="仿宋_GB2312" w:cs="仿宋_GB2312"/>
          <w:sz w:val="32"/>
          <w:szCs w:val="32"/>
          <w:lang w:bidi="ar"/>
        </w:rPr>
        <w:t>，其中</w:t>
      </w:r>
      <w:r>
        <w:rPr>
          <w:rFonts w:hint="eastAsia" w:ascii="仿宋_GB2312" w:hAnsi="仿宋_GB2312" w:eastAsia="仿宋_GB2312" w:cs="仿宋_GB2312"/>
          <w:sz w:val="32"/>
          <w:szCs w:val="32"/>
          <w:lang w:val="en-US" w:eastAsia="zh-CN" w:bidi="ar"/>
        </w:rPr>
        <w:t>二</w:t>
      </w:r>
      <w:r>
        <w:rPr>
          <w:rFonts w:hint="eastAsia" w:ascii="仿宋_GB2312" w:hAnsi="仿宋_GB2312" w:eastAsia="仿宋_GB2312" w:cs="仿宋_GB2312"/>
          <w:sz w:val="32"/>
          <w:szCs w:val="32"/>
          <w:lang w:bidi="ar"/>
        </w:rPr>
        <w:t>季度出资2,000万，三季度出资</w:t>
      </w:r>
      <w:r>
        <w:rPr>
          <w:rFonts w:hint="eastAsia" w:ascii="仿宋_GB2312" w:hAnsi="仿宋_GB2312" w:eastAsia="仿宋_GB2312" w:cs="仿宋_GB2312"/>
          <w:sz w:val="32"/>
          <w:szCs w:val="32"/>
          <w:lang w:val="en-US" w:eastAsia="zh-CN" w:bidi="ar"/>
        </w:rPr>
        <w:t>2</w:t>
      </w:r>
      <w:r>
        <w:rPr>
          <w:rFonts w:hint="eastAsia" w:ascii="仿宋_GB2312" w:hAnsi="仿宋_GB2312" w:eastAsia="仿宋_GB2312" w:cs="仿宋_GB2312"/>
          <w:sz w:val="32"/>
          <w:szCs w:val="32"/>
          <w:lang w:bidi="ar"/>
        </w:rPr>
        <w:t>,000万，四季度出资1,460万。</w:t>
      </w:r>
    </w:p>
    <w:p w14:paraId="60DD5AF3">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outlineLvl w:val="3"/>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lang w:bidi="ar"/>
        </w:rPr>
        <w:t>（</w:t>
      </w:r>
      <w:r>
        <w:rPr>
          <w:rFonts w:hint="eastAsia" w:ascii="仿宋_GB2312" w:hAnsi="仿宋_GB2312" w:eastAsia="仿宋_GB2312" w:cs="仿宋_GB2312"/>
          <w:sz w:val="32"/>
          <w:szCs w:val="32"/>
          <w:lang w:val="en-US" w:eastAsia="zh-CN" w:bidi="ar"/>
        </w:rPr>
        <w:t>10</w:t>
      </w:r>
      <w:r>
        <w:rPr>
          <w:rFonts w:hint="eastAsia" w:ascii="仿宋_GB2312" w:hAnsi="仿宋_GB2312" w:eastAsia="仿宋_GB2312" w:cs="仿宋_GB2312"/>
          <w:sz w:val="32"/>
          <w:szCs w:val="32"/>
          <w:lang w:bidi="ar"/>
        </w:rPr>
        <w:t>）安哥拉矿权登记项目</w:t>
      </w:r>
      <w:r>
        <w:rPr>
          <w:rFonts w:hint="eastAsia" w:ascii="仿宋_GB2312" w:hAnsi="仿宋_GB2312" w:eastAsia="仿宋_GB2312" w:cs="仿宋_GB2312"/>
          <w:sz w:val="32"/>
          <w:szCs w:val="32"/>
          <w:highlight w:val="yellow"/>
          <w:lang w:eastAsia="zh-CN" w:bidi="ar"/>
        </w:rPr>
        <w:t>（</w:t>
      </w:r>
      <w:r>
        <w:rPr>
          <w:rFonts w:hint="eastAsia" w:ascii="仿宋_GB2312" w:hAnsi="仿宋_GB2312" w:eastAsia="仿宋_GB2312" w:cs="仿宋_GB2312"/>
          <w:sz w:val="32"/>
          <w:szCs w:val="32"/>
          <w:highlight w:val="yellow"/>
          <w:lang w:val="en-US" w:eastAsia="zh-CN" w:bidi="ar"/>
        </w:rPr>
        <w:t>非洲区</w:t>
      </w:r>
      <w:r>
        <w:rPr>
          <w:rFonts w:hint="eastAsia" w:ascii="仿宋_GB2312" w:hAnsi="仿宋_GB2312" w:eastAsia="仿宋_GB2312" w:cs="仿宋_GB2312"/>
          <w:sz w:val="32"/>
          <w:szCs w:val="32"/>
          <w:highlight w:val="yellow"/>
          <w:lang w:eastAsia="zh-CN" w:bidi="ar"/>
        </w:rPr>
        <w:t>）</w:t>
      </w:r>
    </w:p>
    <w:p w14:paraId="1B1E47AE">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auto"/>
          <w:sz w:val="32"/>
          <w:szCs w:val="32"/>
          <w:lang w:bidi="ar"/>
        </w:rPr>
      </w:pPr>
      <w:r>
        <w:rPr>
          <w:rFonts w:hint="eastAsia" w:ascii="仿宋_GB2312" w:hAnsi="仿宋_GB2312" w:eastAsia="仿宋_GB2312" w:cs="仿宋_GB2312"/>
          <w:sz w:val="32"/>
          <w:szCs w:val="32"/>
          <w:lang w:bidi="ar"/>
        </w:rPr>
        <w:t>集团于2023年底批复同意安哥拉矿权登记项目，投资金额30万美元在南非设立三家平台公司（每家公司10万美元），以平台公司名义向安哥拉政府提交矿权登记申请。目前三家公司已完成工商注册。基于申请进度情况以及后期对矿权区的进一步勘查情况</w:t>
      </w:r>
      <w:r>
        <w:rPr>
          <w:rFonts w:hint="eastAsia" w:ascii="仿宋_GB2312" w:hAnsi="仿宋_GB2312" w:eastAsia="仿宋_GB2312" w:cs="仿宋_GB2312"/>
          <w:sz w:val="32"/>
          <w:szCs w:val="32"/>
          <w:lang w:eastAsia="zh-CN" w:bidi="ar"/>
        </w:rPr>
        <w:t>，</w:t>
      </w:r>
      <w:r>
        <w:rPr>
          <w:rFonts w:hint="eastAsia" w:ascii="仿宋_GB2312" w:hAnsi="仿宋_GB2312" w:eastAsia="仿宋_GB2312" w:cs="仿宋_GB2312"/>
          <w:sz w:val="32"/>
          <w:szCs w:val="32"/>
          <w:lang w:val="en-US" w:eastAsia="zh-CN" w:bidi="ar"/>
        </w:rPr>
        <w:t>其中一家平台公司拟履行关闭审批手续。其他两家平台公司</w:t>
      </w:r>
      <w:r>
        <w:rPr>
          <w:rFonts w:hint="eastAsia" w:ascii="仿宋_GB2312" w:hAnsi="仿宋_GB2312" w:eastAsia="仿宋_GB2312" w:cs="仿宋_GB2312"/>
          <w:sz w:val="32"/>
          <w:szCs w:val="32"/>
          <w:lang w:bidi="ar"/>
        </w:rPr>
        <w:t>计划</w:t>
      </w:r>
      <w:r>
        <w:rPr>
          <w:rFonts w:hint="eastAsia" w:ascii="仿宋_GB2312" w:hAnsi="仿宋_GB2312" w:eastAsia="仿宋_GB2312" w:cs="仿宋_GB2312"/>
          <w:color w:val="auto"/>
          <w:sz w:val="32"/>
          <w:szCs w:val="32"/>
          <w:lang w:bidi="ar"/>
        </w:rPr>
        <w:t>2025年第三季度出资，出资金额</w:t>
      </w:r>
      <w:r>
        <w:rPr>
          <w:rFonts w:hint="eastAsia" w:ascii="仿宋_GB2312" w:hAnsi="仿宋_GB2312" w:eastAsia="仿宋_GB2312" w:cs="仿宋_GB2312"/>
          <w:color w:val="auto"/>
          <w:sz w:val="32"/>
          <w:szCs w:val="32"/>
          <w:lang w:val="en-US" w:eastAsia="zh-CN" w:bidi="ar"/>
        </w:rPr>
        <w:t>共20</w:t>
      </w:r>
      <w:r>
        <w:rPr>
          <w:rFonts w:hint="eastAsia" w:ascii="仿宋_GB2312" w:hAnsi="仿宋_GB2312" w:eastAsia="仿宋_GB2312" w:cs="仿宋_GB2312"/>
          <w:color w:val="auto"/>
          <w:sz w:val="32"/>
          <w:szCs w:val="32"/>
          <w:lang w:bidi="ar"/>
        </w:rPr>
        <w:t>万美元（</w:t>
      </w:r>
      <w:r>
        <w:rPr>
          <w:rFonts w:hint="eastAsia" w:ascii="仿宋_GB2312" w:hAnsi="仿宋_GB2312" w:eastAsia="仿宋_GB2312" w:cs="仿宋_GB2312"/>
          <w:color w:val="auto"/>
          <w:sz w:val="32"/>
          <w:szCs w:val="32"/>
          <w:highlight w:val="none"/>
          <w:lang w:bidi="ar"/>
        </w:rPr>
        <w:t>折合人民币约</w:t>
      </w:r>
      <w:r>
        <w:rPr>
          <w:rFonts w:hint="eastAsia" w:ascii="仿宋_GB2312" w:hAnsi="仿宋_GB2312" w:eastAsia="仿宋_GB2312" w:cs="仿宋_GB2312"/>
          <w:color w:val="auto"/>
          <w:sz w:val="32"/>
          <w:szCs w:val="32"/>
          <w:highlight w:val="none"/>
          <w:lang w:val="en-US" w:eastAsia="zh-CN" w:bidi="ar"/>
        </w:rPr>
        <w:t>148</w:t>
      </w:r>
      <w:r>
        <w:rPr>
          <w:rFonts w:hint="eastAsia" w:ascii="仿宋_GB2312" w:hAnsi="仿宋_GB2312" w:eastAsia="仿宋_GB2312" w:cs="仿宋_GB2312"/>
          <w:color w:val="auto"/>
          <w:sz w:val="32"/>
          <w:szCs w:val="32"/>
          <w:highlight w:val="none"/>
          <w:lang w:bidi="ar"/>
        </w:rPr>
        <w:t>万</w:t>
      </w:r>
      <w:r>
        <w:rPr>
          <w:rFonts w:hint="eastAsia" w:ascii="仿宋_GB2312" w:hAnsi="仿宋_GB2312" w:eastAsia="仿宋_GB2312" w:cs="仿宋_GB2312"/>
          <w:color w:val="auto"/>
          <w:sz w:val="32"/>
          <w:szCs w:val="32"/>
          <w:highlight w:val="none"/>
          <w:lang w:val="en-US" w:eastAsia="zh-CN" w:bidi="ar"/>
        </w:rPr>
        <w:t>元</w:t>
      </w:r>
      <w:r>
        <w:rPr>
          <w:rFonts w:hint="eastAsia" w:ascii="仿宋_GB2312" w:hAnsi="仿宋_GB2312" w:eastAsia="仿宋_GB2312" w:cs="仿宋_GB2312"/>
          <w:color w:val="auto"/>
          <w:sz w:val="32"/>
          <w:szCs w:val="32"/>
          <w:lang w:bidi="ar"/>
        </w:rPr>
        <w:t>）。</w:t>
      </w:r>
    </w:p>
    <w:p w14:paraId="1410047E">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11</w:t>
      </w:r>
      <w:r>
        <w:rPr>
          <w:rFonts w:hint="eastAsia" w:ascii="仿宋_GB2312" w:hAnsi="仿宋_GB2312" w:eastAsia="仿宋_GB2312" w:cs="仿宋_GB2312"/>
          <w:sz w:val="32"/>
          <w:szCs w:val="32"/>
        </w:rPr>
        <w:t>）沙特利雅得社会住房库赞姆社区公寓项目</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中东区</w:t>
      </w:r>
      <w:r>
        <w:rPr>
          <w:rFonts w:hint="eastAsia" w:ascii="仿宋_GB2312" w:hAnsi="仿宋_GB2312" w:eastAsia="仿宋_GB2312" w:cs="仿宋_GB2312"/>
          <w:sz w:val="32"/>
          <w:szCs w:val="32"/>
          <w:highlight w:val="yellow"/>
          <w:lang w:eastAsia="zh-CN"/>
        </w:rPr>
        <w:t>）</w:t>
      </w:r>
    </w:p>
    <w:p w14:paraId="30A30BA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620" w:lineRule="exact"/>
        <w:ind w:left="0" w:leftChars="0" w:right="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Times New Roman" w:eastAsia="仿宋_GB2312" w:cs="仿宋_GB2312"/>
          <w:color w:val="auto"/>
          <w:kern w:val="2"/>
          <w:sz w:val="32"/>
          <w:szCs w:val="32"/>
          <w:lang w:val="en-US" w:eastAsia="zh-CN" w:bidi="ar"/>
        </w:rPr>
        <w:t>本项目位于利雅得Khuzam地块北部中央公园两侧的6个子地块内，总占地面积62.9万平米。根据招标文件要求及我方投标方案，该项目将全部开发建设7层公寓及少量底商，住宅数量共计3623套，住宅总建筑面积为38万平米。按照项目的规划方案，项目总投资额调整为30.2亿里亚尔（约8.05亿美元），资本金需求调整为5,800万里亚尔（约1,547万美元）。中信建设拟入股项目公司20%股权，出资额为1,160万里亚尔（约310万美元，折合人民币约2,294万元），项目计划报请集团审批后，在2025年二季度投出。</w:t>
      </w:r>
    </w:p>
    <w:p w14:paraId="254B9629">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rPr>
          <w:rFonts w:hint="eastAsia" w:ascii="仿宋_GB2312" w:hAnsi="仿宋_GB2312" w:eastAsia="仿宋_GB2312" w:cs="仿宋_GB2312"/>
          <w:color w:val="auto"/>
          <w:sz w:val="32"/>
          <w:szCs w:val="32"/>
          <w:highlight w:val="yellow"/>
          <w:lang w:eastAsia="zh-CN"/>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12</w:t>
      </w:r>
      <w:r>
        <w:rPr>
          <w:rFonts w:hint="eastAsia" w:ascii="仿宋_GB2312" w:hAnsi="仿宋_GB2312" w:eastAsia="仿宋_GB2312" w:cs="仿宋_GB2312"/>
          <w:color w:val="auto"/>
          <w:sz w:val="32"/>
          <w:szCs w:val="32"/>
        </w:rPr>
        <w:t>）设立中信建设（阿联酋）有限责任公司</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中东区</w:t>
      </w:r>
      <w:r>
        <w:rPr>
          <w:rFonts w:hint="eastAsia" w:ascii="仿宋_GB2312" w:hAnsi="仿宋_GB2312" w:eastAsia="仿宋_GB2312" w:cs="仿宋_GB2312"/>
          <w:sz w:val="32"/>
          <w:szCs w:val="32"/>
          <w:highlight w:val="yellow"/>
          <w:lang w:eastAsia="zh-CN"/>
        </w:rPr>
        <w:t>）</w:t>
      </w:r>
    </w:p>
    <w:p w14:paraId="5ED9DE05">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为进一步开拓中东地区市场，优化公司业务布局，更好地实现高质量可持续发展，</w:t>
      </w:r>
      <w:r>
        <w:rPr>
          <w:rFonts w:hint="eastAsia" w:ascii="仿宋_GB2312" w:hAnsi="仿宋_GB2312" w:eastAsia="仿宋_GB2312" w:cs="仿宋_GB2312"/>
          <w:color w:val="auto"/>
          <w:sz w:val="32"/>
          <w:szCs w:val="32"/>
          <w:lang w:val="en-US" w:eastAsia="zh-CN"/>
        </w:rPr>
        <w:t>我公司</w:t>
      </w:r>
      <w:r>
        <w:rPr>
          <w:rFonts w:hint="eastAsia" w:ascii="仿宋_GB2312" w:hAnsi="仿宋_GB2312" w:eastAsia="仿宋_GB2312" w:cs="仿宋_GB2312"/>
          <w:color w:val="auto"/>
          <w:sz w:val="32"/>
          <w:szCs w:val="32"/>
        </w:rPr>
        <w:t>积极调研和跟踪阿拉伯联合酋长国工程承包市场，重点开发了阿联酋MAG Park Keturah Reserve住房项目，项目合同额约18亿阿联酋迪拉姆</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折合人民币约36亿元</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。根据阿联酋相关法规要求，在当地设立分支机构是开发阿联酋工程承包市场、进而签署合同、执行工程项目的必要条件。</w:t>
      </w:r>
      <w:r>
        <w:rPr>
          <w:rFonts w:hint="eastAsia" w:ascii="仿宋_GB2312" w:hAnsi="仿宋_GB2312" w:eastAsia="仿宋_GB2312" w:cs="仿宋_GB2312"/>
          <w:color w:val="auto"/>
          <w:sz w:val="32"/>
          <w:szCs w:val="32"/>
          <w:lang w:val="en-US" w:eastAsia="zh-CN"/>
        </w:rPr>
        <w:t>我公司</w:t>
      </w:r>
      <w:r>
        <w:rPr>
          <w:rFonts w:hint="eastAsia" w:ascii="仿宋_GB2312" w:hAnsi="仿宋_GB2312" w:eastAsia="仿宋_GB2312" w:cs="仿宋_GB2312"/>
          <w:color w:val="auto"/>
          <w:sz w:val="32"/>
          <w:szCs w:val="32"/>
        </w:rPr>
        <w:t>拟通过建设国投于2025年三季度完成当地子公司的注册，注册资本金为100万美元（折合人民币约740万元）</w:t>
      </w:r>
      <w:r>
        <w:rPr>
          <w:rFonts w:hint="eastAsia" w:ascii="仿宋_GB2312" w:hAnsi="仿宋_GB2312" w:eastAsia="仿宋_GB2312" w:cs="仿宋_GB2312"/>
          <w:color w:val="auto"/>
          <w:sz w:val="32"/>
          <w:szCs w:val="32"/>
          <w:lang w:eastAsia="zh-CN"/>
        </w:rPr>
        <w:t>。</w:t>
      </w:r>
    </w:p>
    <w:p w14:paraId="530D42CC">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rPr>
          <w:rFonts w:hint="eastAsia" w:ascii="仿宋_GB2312" w:hAnsi="仿宋_GB2312" w:eastAsia="仿宋_GB2312" w:cs="仿宋_GB2312"/>
          <w:color w:val="auto"/>
          <w:sz w:val="32"/>
          <w:szCs w:val="32"/>
          <w:highlight w:val="yellow"/>
          <w:lang w:eastAsia="zh-CN"/>
        </w:rPr>
      </w:pPr>
      <w:r>
        <w:rPr>
          <w:rFonts w:hint="eastAsia" w:ascii="仿宋_GB2312" w:hAnsi="仿宋_GB2312" w:eastAsia="仿宋_GB2312" w:cs="仿宋_GB2312"/>
          <w:color w:val="auto"/>
          <w:sz w:val="32"/>
          <w:szCs w:val="32"/>
          <w:lang w:bidi="ar"/>
        </w:rPr>
        <w:t>（</w:t>
      </w:r>
      <w:r>
        <w:rPr>
          <w:rFonts w:hint="eastAsia" w:ascii="仿宋_GB2312" w:hAnsi="仿宋_GB2312" w:eastAsia="仿宋_GB2312" w:cs="仿宋_GB2312"/>
          <w:color w:val="auto"/>
          <w:sz w:val="32"/>
          <w:szCs w:val="32"/>
          <w:lang w:val="en-US" w:eastAsia="zh-CN" w:bidi="ar"/>
        </w:rPr>
        <w:t>13</w:t>
      </w:r>
      <w:r>
        <w:rPr>
          <w:rFonts w:hint="eastAsia" w:ascii="仿宋_GB2312" w:hAnsi="仿宋_GB2312" w:eastAsia="仿宋_GB2312" w:cs="仿宋_GB2312"/>
          <w:color w:val="auto"/>
          <w:sz w:val="32"/>
          <w:szCs w:val="32"/>
          <w:lang w:bidi="ar"/>
        </w:rPr>
        <w:t>）中信建设国际（泰国）有限公司增资项目</w:t>
      </w:r>
      <w:r>
        <w:rPr>
          <w:rFonts w:hint="eastAsia" w:ascii="仿宋_GB2312" w:hAnsi="仿宋_GB2312" w:eastAsia="仿宋_GB2312" w:cs="仿宋_GB2312"/>
          <w:color w:val="auto"/>
          <w:sz w:val="32"/>
          <w:szCs w:val="32"/>
          <w:highlight w:val="yellow"/>
          <w:lang w:eastAsia="zh-CN" w:bidi="ar"/>
        </w:rPr>
        <w:t>（</w:t>
      </w:r>
      <w:r>
        <w:rPr>
          <w:rFonts w:hint="eastAsia" w:ascii="仿宋_GB2312" w:hAnsi="仿宋_GB2312" w:eastAsia="仿宋_GB2312" w:cs="仿宋_GB2312"/>
          <w:color w:val="auto"/>
          <w:sz w:val="32"/>
          <w:szCs w:val="32"/>
          <w:highlight w:val="yellow"/>
          <w:lang w:val="en-US" w:eastAsia="zh-CN" w:bidi="ar"/>
        </w:rPr>
        <w:t>亚太区</w:t>
      </w:r>
      <w:r>
        <w:rPr>
          <w:rFonts w:hint="eastAsia" w:ascii="仿宋_GB2312" w:hAnsi="仿宋_GB2312" w:eastAsia="仿宋_GB2312" w:cs="仿宋_GB2312"/>
          <w:color w:val="auto"/>
          <w:sz w:val="32"/>
          <w:szCs w:val="32"/>
          <w:highlight w:val="yellow"/>
          <w:lang w:eastAsia="zh-CN" w:bidi="ar"/>
        </w:rPr>
        <w:t>）</w:t>
      </w:r>
    </w:p>
    <w:p w14:paraId="4FE6B8E6">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lang w:bidi="ar"/>
        </w:rPr>
      </w:pPr>
      <w:r>
        <w:rPr>
          <w:rFonts w:hint="eastAsia" w:ascii="仿宋_GB2312" w:hAnsi="仿宋_GB2312" w:eastAsia="仿宋_GB2312" w:cs="仿宋_GB2312"/>
          <w:color w:val="auto"/>
          <w:sz w:val="32"/>
          <w:szCs w:val="32"/>
          <w:lang w:val="en-US" w:eastAsia="zh-CN" w:bidi="ar"/>
        </w:rPr>
        <w:t>泰国公司</w:t>
      </w:r>
      <w:r>
        <w:rPr>
          <w:rFonts w:hint="eastAsia" w:ascii="仿宋_GB2312" w:hAnsi="仿宋_GB2312" w:eastAsia="仿宋_GB2312" w:cs="仿宋_GB2312"/>
          <w:color w:val="auto"/>
          <w:sz w:val="32"/>
          <w:szCs w:val="32"/>
          <w:lang w:bidi="ar"/>
        </w:rPr>
        <w:t>原</w:t>
      </w:r>
      <w:r>
        <w:rPr>
          <w:rFonts w:hint="eastAsia" w:ascii="仿宋_GB2312" w:hAnsi="仿宋_GB2312" w:eastAsia="仿宋_GB2312" w:cs="仿宋_GB2312"/>
          <w:color w:val="auto"/>
          <w:sz w:val="32"/>
          <w:szCs w:val="32"/>
          <w:lang w:val="en-US" w:eastAsia="zh-CN" w:bidi="ar"/>
        </w:rPr>
        <w:t>增资计划为推进项目仲裁，拟将注册资本增资至200万</w:t>
      </w:r>
      <w:r>
        <w:rPr>
          <w:rFonts w:hint="eastAsia" w:ascii="仿宋_GB2312" w:hAnsi="仿宋_GB2312" w:eastAsia="仿宋_GB2312" w:cs="仿宋_GB2312"/>
          <w:color w:val="auto"/>
          <w:sz w:val="32"/>
          <w:szCs w:val="32"/>
          <w:lang w:bidi="ar"/>
        </w:rPr>
        <w:t>泰铢</w:t>
      </w:r>
      <w:r>
        <w:rPr>
          <w:rFonts w:hint="eastAsia" w:ascii="仿宋_GB2312" w:hAnsi="仿宋_GB2312" w:eastAsia="仿宋_GB2312" w:cs="仿宋_GB2312"/>
          <w:color w:val="auto"/>
          <w:sz w:val="32"/>
          <w:szCs w:val="32"/>
          <w:lang w:val="en-US" w:eastAsia="zh-CN" w:bidi="ar"/>
        </w:rPr>
        <w:t>。中信建设按持股比</w:t>
      </w:r>
      <w:r>
        <w:rPr>
          <w:rFonts w:hint="eastAsia" w:ascii="仿宋_GB2312" w:hAnsi="仿宋_GB2312" w:eastAsia="仿宋_GB2312" w:cs="仿宋_GB2312"/>
          <w:sz w:val="32"/>
          <w:szCs w:val="32"/>
          <w:lang w:val="en-US" w:eastAsia="zh-CN" w:bidi="ar"/>
        </w:rPr>
        <w:t>例相应</w:t>
      </w:r>
      <w:r>
        <w:rPr>
          <w:rFonts w:hint="eastAsia" w:ascii="仿宋_GB2312" w:hAnsi="仿宋_GB2312" w:eastAsia="仿宋_GB2312" w:cs="仿宋_GB2312"/>
          <w:sz w:val="32"/>
          <w:szCs w:val="32"/>
          <w:lang w:bidi="ar"/>
        </w:rPr>
        <w:t>增资73.5万泰株。</w:t>
      </w:r>
      <w:r>
        <w:rPr>
          <w:rFonts w:hint="eastAsia" w:ascii="仿宋_GB2312" w:hAnsi="仿宋_GB2312" w:eastAsia="仿宋_GB2312" w:cs="仿宋_GB2312"/>
          <w:sz w:val="32"/>
          <w:szCs w:val="32"/>
          <w:lang w:val="en-US" w:eastAsia="zh-CN" w:bidi="ar"/>
        </w:rPr>
        <w:t>2025年1月泰国公司新</w:t>
      </w:r>
      <w:r>
        <w:rPr>
          <w:rFonts w:hint="eastAsia" w:ascii="仿宋_GB2312" w:hAnsi="仿宋_GB2312" w:eastAsia="仿宋_GB2312" w:cs="仿宋_GB2312"/>
          <w:sz w:val="32"/>
          <w:szCs w:val="32"/>
          <w:lang w:bidi="ar"/>
        </w:rPr>
        <w:t>中标中泰铁路一期工程C</w:t>
      </w:r>
      <w:r>
        <w:rPr>
          <w:rFonts w:ascii="仿宋_GB2312" w:hAnsi="仿宋_GB2312" w:eastAsia="仿宋_GB2312" w:cs="仿宋_GB2312"/>
          <w:sz w:val="32"/>
          <w:szCs w:val="32"/>
          <w:lang w:bidi="ar"/>
        </w:rPr>
        <w:t>4-5</w:t>
      </w:r>
      <w:r>
        <w:rPr>
          <w:rFonts w:hint="eastAsia" w:ascii="仿宋_GB2312" w:hAnsi="仿宋_GB2312" w:eastAsia="仿宋_GB2312" w:cs="仿宋_GB2312"/>
          <w:sz w:val="32"/>
          <w:szCs w:val="32"/>
          <w:lang w:bidi="ar"/>
        </w:rPr>
        <w:t>标段项目（铁路一期项目），合同总金额约1</w:t>
      </w:r>
      <w:r>
        <w:rPr>
          <w:rFonts w:ascii="仿宋_GB2312" w:hAnsi="仿宋_GB2312" w:eastAsia="仿宋_GB2312" w:cs="仿宋_GB2312"/>
          <w:sz w:val="32"/>
          <w:szCs w:val="32"/>
          <w:lang w:bidi="ar"/>
        </w:rPr>
        <w:t>00</w:t>
      </w:r>
      <w:r>
        <w:rPr>
          <w:rFonts w:hint="eastAsia" w:ascii="仿宋_GB2312" w:hAnsi="仿宋_GB2312" w:eastAsia="仿宋_GB2312" w:cs="仿宋_GB2312"/>
          <w:sz w:val="32"/>
          <w:szCs w:val="32"/>
          <w:lang w:bidi="ar"/>
        </w:rPr>
        <w:t>亿泰铢（折合人民币约2</w:t>
      </w:r>
      <w:r>
        <w:rPr>
          <w:rFonts w:ascii="仿宋_GB2312" w:hAnsi="仿宋_GB2312" w:eastAsia="仿宋_GB2312" w:cs="仿宋_GB2312"/>
          <w:sz w:val="32"/>
          <w:szCs w:val="32"/>
          <w:lang w:bidi="ar"/>
        </w:rPr>
        <w:t>1</w:t>
      </w:r>
      <w:r>
        <w:rPr>
          <w:rFonts w:hint="eastAsia" w:ascii="仿宋_GB2312" w:hAnsi="仿宋_GB2312" w:eastAsia="仿宋_GB2312" w:cs="仿宋_GB2312"/>
          <w:sz w:val="32"/>
          <w:szCs w:val="32"/>
          <w:lang w:bidi="ar"/>
        </w:rPr>
        <w:t>亿元），预计2</w:t>
      </w:r>
      <w:r>
        <w:rPr>
          <w:rFonts w:ascii="仿宋_GB2312" w:hAnsi="仿宋_GB2312" w:eastAsia="仿宋_GB2312" w:cs="仿宋_GB2312"/>
          <w:sz w:val="32"/>
          <w:szCs w:val="32"/>
          <w:lang w:bidi="ar"/>
        </w:rPr>
        <w:t>025</w:t>
      </w:r>
      <w:r>
        <w:rPr>
          <w:rFonts w:hint="eastAsia" w:ascii="仿宋_GB2312" w:hAnsi="仿宋_GB2312" w:eastAsia="仿宋_GB2312" w:cs="仿宋_GB2312"/>
          <w:sz w:val="32"/>
          <w:szCs w:val="32"/>
          <w:lang w:bidi="ar"/>
        </w:rPr>
        <w:t>年2季度签约、3季度正式开工。为推进铁路一期项目，</w:t>
      </w:r>
      <w:r>
        <w:rPr>
          <w:rFonts w:hint="eastAsia" w:ascii="仿宋_GB2312" w:hAnsi="仿宋_GB2312" w:eastAsia="仿宋_GB2312" w:cs="仿宋_GB2312"/>
          <w:sz w:val="32"/>
          <w:szCs w:val="32"/>
          <w:lang w:val="en-US" w:eastAsia="zh-CN" w:bidi="ar"/>
        </w:rPr>
        <w:t>同时</w:t>
      </w:r>
      <w:r>
        <w:rPr>
          <w:rFonts w:hint="eastAsia" w:ascii="仿宋_GB2312" w:hAnsi="仿宋_GB2312" w:eastAsia="仿宋_GB2312" w:cs="仿宋_GB2312"/>
          <w:sz w:val="32"/>
          <w:szCs w:val="32"/>
          <w:lang w:bidi="ar"/>
        </w:rPr>
        <w:t>满足当地大型项目对EPC投标公司注册资本要求，</w:t>
      </w:r>
      <w:r>
        <w:rPr>
          <w:rFonts w:hint="eastAsia" w:ascii="仿宋_GB2312" w:hAnsi="仿宋_GB2312" w:eastAsia="仿宋_GB2312" w:cs="仿宋_GB2312"/>
          <w:sz w:val="32"/>
          <w:szCs w:val="32"/>
          <w:lang w:val="en-US" w:eastAsia="zh-CN" w:bidi="ar"/>
        </w:rPr>
        <w:t>为</w:t>
      </w:r>
      <w:r>
        <w:rPr>
          <w:rFonts w:hint="eastAsia" w:ascii="仿宋_GB2312" w:hAnsi="仿宋_GB2312" w:eastAsia="仿宋_GB2312" w:cs="仿宋_GB2312"/>
          <w:sz w:val="32"/>
          <w:szCs w:val="32"/>
          <w:lang w:bidi="ar"/>
        </w:rPr>
        <w:t>开发中泰铁路二期、机场工程建设等</w:t>
      </w:r>
      <w:r>
        <w:rPr>
          <w:rFonts w:hint="eastAsia" w:ascii="仿宋_GB2312" w:hAnsi="仿宋_GB2312" w:eastAsia="仿宋_GB2312" w:cs="仿宋_GB2312"/>
          <w:sz w:val="32"/>
          <w:szCs w:val="32"/>
          <w:lang w:val="en-US" w:eastAsia="zh-CN" w:bidi="ar"/>
        </w:rPr>
        <w:t>新</w:t>
      </w:r>
      <w:r>
        <w:rPr>
          <w:rFonts w:hint="eastAsia" w:ascii="仿宋_GB2312" w:hAnsi="仿宋_GB2312" w:eastAsia="仿宋_GB2312" w:cs="仿宋_GB2312"/>
          <w:sz w:val="32"/>
          <w:szCs w:val="32"/>
          <w:lang w:bidi="ar"/>
        </w:rPr>
        <w:t>项目</w:t>
      </w:r>
      <w:r>
        <w:rPr>
          <w:rFonts w:hint="eastAsia" w:ascii="仿宋_GB2312" w:hAnsi="仿宋_GB2312" w:eastAsia="仿宋_GB2312" w:cs="仿宋_GB2312"/>
          <w:sz w:val="32"/>
          <w:szCs w:val="32"/>
          <w:lang w:val="en-US" w:eastAsia="zh-CN" w:bidi="ar"/>
        </w:rPr>
        <w:t>提供条件</w:t>
      </w:r>
      <w:r>
        <w:rPr>
          <w:rFonts w:hint="eastAsia" w:ascii="仿宋_GB2312" w:hAnsi="仿宋_GB2312" w:eastAsia="仿宋_GB2312" w:cs="仿宋_GB2312"/>
          <w:sz w:val="32"/>
          <w:szCs w:val="32"/>
          <w:lang w:bidi="ar"/>
        </w:rPr>
        <w:t>，</w:t>
      </w:r>
      <w:r>
        <w:rPr>
          <w:rFonts w:hint="eastAsia" w:ascii="仿宋_GB2312" w:hAnsi="仿宋_GB2312" w:eastAsia="仿宋_GB2312" w:cs="仿宋_GB2312"/>
          <w:sz w:val="32"/>
          <w:szCs w:val="32"/>
          <w:lang w:val="en-US" w:eastAsia="zh-CN" w:bidi="ar"/>
        </w:rPr>
        <w:t>泰国公司</w:t>
      </w:r>
      <w:r>
        <w:rPr>
          <w:rFonts w:hint="eastAsia" w:ascii="仿宋_GB2312" w:hAnsi="仿宋_GB2312" w:eastAsia="仿宋_GB2312" w:cs="仿宋_GB2312"/>
          <w:sz w:val="32"/>
          <w:szCs w:val="32"/>
          <w:lang w:bidi="ar"/>
        </w:rPr>
        <w:t>各股东拟</w:t>
      </w:r>
      <w:r>
        <w:rPr>
          <w:rFonts w:hint="eastAsia" w:ascii="仿宋_GB2312" w:hAnsi="仿宋_GB2312" w:eastAsia="仿宋_GB2312" w:cs="仿宋_GB2312"/>
          <w:sz w:val="32"/>
          <w:szCs w:val="32"/>
          <w:lang w:val="en-US" w:eastAsia="zh-CN" w:bidi="ar"/>
        </w:rPr>
        <w:t>按持股</w:t>
      </w:r>
      <w:r>
        <w:rPr>
          <w:rFonts w:hint="eastAsia" w:ascii="仿宋_GB2312" w:hAnsi="仿宋_GB2312" w:eastAsia="仿宋_GB2312" w:cs="仿宋_GB2312"/>
          <w:sz w:val="32"/>
          <w:szCs w:val="32"/>
          <w:lang w:bidi="ar"/>
        </w:rPr>
        <w:t>比例增加</w:t>
      </w:r>
      <w:r>
        <w:rPr>
          <w:rFonts w:hint="eastAsia" w:ascii="仿宋_GB2312" w:hAnsi="仿宋_GB2312" w:eastAsia="仿宋_GB2312" w:cs="仿宋_GB2312"/>
          <w:sz w:val="32"/>
          <w:szCs w:val="32"/>
          <w:lang w:val="en-US" w:eastAsia="zh-CN" w:bidi="ar"/>
        </w:rPr>
        <w:t>泰国公司</w:t>
      </w:r>
      <w:r>
        <w:rPr>
          <w:rFonts w:hint="eastAsia" w:ascii="仿宋_GB2312" w:hAnsi="仿宋_GB2312" w:eastAsia="仿宋_GB2312" w:cs="仿宋_GB2312"/>
          <w:sz w:val="32"/>
          <w:szCs w:val="32"/>
          <w:lang w:bidi="ar"/>
        </w:rPr>
        <w:t>注册资本金至2亿泰铢</w:t>
      </w:r>
      <w:r>
        <w:rPr>
          <w:rFonts w:hint="eastAsia" w:ascii="仿宋_GB2312" w:hAnsi="仿宋_GB2312" w:eastAsia="仿宋_GB2312" w:cs="仿宋_GB2312"/>
          <w:sz w:val="32"/>
          <w:szCs w:val="32"/>
          <w:lang w:eastAsia="zh-CN" w:bidi="ar"/>
        </w:rPr>
        <w:t>。</w:t>
      </w:r>
      <w:r>
        <w:rPr>
          <w:rFonts w:hint="eastAsia" w:ascii="仿宋_GB2312" w:hAnsi="仿宋_GB2312" w:eastAsia="仿宋_GB2312" w:cs="仿宋_GB2312"/>
          <w:sz w:val="32"/>
          <w:szCs w:val="32"/>
          <w:lang w:bidi="ar"/>
        </w:rPr>
        <w:t>其中建设国投持股4</w:t>
      </w:r>
      <w:r>
        <w:rPr>
          <w:rFonts w:ascii="仿宋_GB2312" w:hAnsi="仿宋_GB2312" w:eastAsia="仿宋_GB2312" w:cs="仿宋_GB2312"/>
          <w:sz w:val="32"/>
          <w:szCs w:val="32"/>
          <w:lang w:bidi="ar"/>
        </w:rPr>
        <w:t>9%</w:t>
      </w:r>
      <w:r>
        <w:rPr>
          <w:rFonts w:hint="eastAsia" w:ascii="仿宋_GB2312" w:hAnsi="仿宋_GB2312" w:eastAsia="仿宋_GB2312" w:cs="仿宋_GB2312"/>
          <w:sz w:val="32"/>
          <w:szCs w:val="32"/>
          <w:lang w:bidi="ar"/>
        </w:rPr>
        <w:t>，对应注册资本9</w:t>
      </w:r>
      <w:r>
        <w:rPr>
          <w:rFonts w:hint="eastAsia" w:ascii="仿宋_GB2312" w:hAnsi="仿宋_GB2312" w:eastAsia="仿宋_GB2312" w:cs="仿宋_GB2312"/>
          <w:sz w:val="32"/>
          <w:szCs w:val="32"/>
          <w:lang w:val="en-US" w:eastAsia="zh-CN" w:bidi="ar"/>
        </w:rPr>
        <w:t>,</w:t>
      </w:r>
      <w:r>
        <w:rPr>
          <w:rFonts w:hint="eastAsia" w:ascii="仿宋_GB2312" w:hAnsi="仿宋_GB2312" w:eastAsia="仿宋_GB2312" w:cs="仿宋_GB2312"/>
          <w:sz w:val="32"/>
          <w:szCs w:val="32"/>
          <w:lang w:bidi="ar"/>
        </w:rPr>
        <w:t>800万泰铢，本次需增加出资9,775.50万泰铢（折</w:t>
      </w:r>
      <w:r>
        <w:rPr>
          <w:rFonts w:hint="eastAsia" w:ascii="仿宋_GB2312" w:hAnsi="仿宋_GB2312" w:eastAsia="仿宋_GB2312" w:cs="仿宋_GB2312"/>
          <w:sz w:val="32"/>
          <w:szCs w:val="32"/>
          <w:lang w:val="en-US" w:eastAsia="zh-CN" w:bidi="ar"/>
        </w:rPr>
        <w:t>合</w:t>
      </w:r>
      <w:r>
        <w:rPr>
          <w:rFonts w:hint="eastAsia" w:ascii="仿宋_GB2312" w:hAnsi="仿宋_GB2312" w:eastAsia="仿宋_GB2312" w:cs="仿宋_GB2312"/>
          <w:sz w:val="32"/>
          <w:szCs w:val="32"/>
          <w:lang w:bidi="ar"/>
        </w:rPr>
        <w:t>人民币约2,</w:t>
      </w:r>
      <w:r>
        <w:rPr>
          <w:rFonts w:ascii="仿宋_GB2312" w:hAnsi="仿宋_GB2312" w:eastAsia="仿宋_GB2312" w:cs="仿宋_GB2312"/>
          <w:sz w:val="32"/>
          <w:szCs w:val="32"/>
          <w:lang w:bidi="ar"/>
        </w:rPr>
        <w:t>098</w:t>
      </w:r>
      <w:r>
        <w:rPr>
          <w:rFonts w:hint="eastAsia" w:ascii="仿宋_GB2312" w:hAnsi="仿宋_GB2312" w:eastAsia="仿宋_GB2312" w:cs="仿宋_GB2312"/>
          <w:sz w:val="32"/>
          <w:szCs w:val="32"/>
          <w:lang w:bidi="ar"/>
        </w:rPr>
        <w:t>万元）。</w:t>
      </w:r>
      <w:r>
        <w:rPr>
          <w:rFonts w:hint="eastAsia" w:ascii="仿宋_GB2312" w:hAnsi="仿宋_GB2312" w:eastAsia="仿宋_GB2312" w:cs="仿宋_GB2312"/>
          <w:sz w:val="32"/>
          <w:szCs w:val="32"/>
          <w:lang w:val="en-US" w:eastAsia="zh-CN" w:bidi="ar"/>
        </w:rPr>
        <w:t>增资请示事项</w:t>
      </w:r>
      <w:r>
        <w:rPr>
          <w:rFonts w:hint="eastAsia" w:ascii="仿宋_GB2312" w:hAnsi="仿宋_GB2312" w:eastAsia="仿宋_GB2312" w:cs="仿宋_GB2312"/>
          <w:sz w:val="32"/>
          <w:szCs w:val="32"/>
          <w:lang w:bidi="ar"/>
        </w:rPr>
        <w:t>拟报请集团审批后，</w:t>
      </w:r>
      <w:r>
        <w:rPr>
          <w:rFonts w:hint="eastAsia" w:ascii="仿宋_GB2312" w:hAnsi="仿宋_GB2312" w:eastAsia="仿宋_GB2312" w:cs="仿宋_GB2312"/>
          <w:sz w:val="32"/>
          <w:szCs w:val="32"/>
          <w:lang w:val="en-US" w:eastAsia="zh-CN" w:bidi="ar"/>
        </w:rPr>
        <w:t>在</w:t>
      </w:r>
      <w:r>
        <w:rPr>
          <w:rFonts w:hint="eastAsia" w:ascii="仿宋_GB2312" w:hAnsi="仿宋_GB2312" w:eastAsia="仿宋_GB2312" w:cs="仿宋_GB2312"/>
          <w:sz w:val="32"/>
          <w:szCs w:val="32"/>
          <w:lang w:bidi="ar"/>
        </w:rPr>
        <w:t>2025年</w:t>
      </w:r>
      <w:r>
        <w:rPr>
          <w:rFonts w:hint="eastAsia" w:ascii="仿宋_GB2312" w:hAnsi="仿宋_GB2312" w:eastAsia="仿宋_GB2312" w:cs="仿宋_GB2312"/>
          <w:sz w:val="32"/>
          <w:szCs w:val="32"/>
          <w:lang w:val="en-US" w:eastAsia="zh-CN" w:bidi="ar"/>
        </w:rPr>
        <w:t>第</w:t>
      </w:r>
      <w:r>
        <w:rPr>
          <w:rFonts w:hint="eastAsia" w:ascii="仿宋_GB2312" w:hAnsi="仿宋_GB2312" w:eastAsia="仿宋_GB2312" w:cs="仿宋_GB2312"/>
          <w:sz w:val="32"/>
          <w:szCs w:val="32"/>
          <w:lang w:bidi="ar"/>
        </w:rPr>
        <w:t>二季度</w:t>
      </w:r>
      <w:r>
        <w:rPr>
          <w:rFonts w:hint="eastAsia" w:ascii="仿宋_GB2312" w:hAnsi="仿宋_GB2312" w:eastAsia="仿宋_GB2312" w:cs="仿宋_GB2312"/>
          <w:sz w:val="32"/>
          <w:szCs w:val="32"/>
          <w:lang w:val="en-US" w:eastAsia="zh-CN" w:bidi="ar"/>
        </w:rPr>
        <w:t>进行</w:t>
      </w:r>
      <w:r>
        <w:rPr>
          <w:rFonts w:hint="eastAsia" w:ascii="仿宋_GB2312" w:hAnsi="仿宋_GB2312" w:eastAsia="仿宋_GB2312" w:cs="仿宋_GB2312"/>
          <w:sz w:val="32"/>
          <w:szCs w:val="32"/>
          <w:lang w:bidi="ar"/>
        </w:rPr>
        <w:t>出资。</w:t>
      </w:r>
    </w:p>
    <w:p w14:paraId="6814177D">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highlight w:val="yellow"/>
          <w:lang w:eastAsia="zh-CN" w:bidi="ar"/>
        </w:rPr>
      </w:pPr>
      <w:r>
        <w:rPr>
          <w:rFonts w:hint="eastAsia" w:ascii="仿宋_GB2312" w:hAnsi="仿宋_GB2312" w:eastAsia="仿宋_GB2312" w:cs="仿宋_GB2312"/>
          <w:sz w:val="32"/>
          <w:szCs w:val="32"/>
          <w:lang w:bidi="ar"/>
        </w:rPr>
        <w:t>（</w:t>
      </w:r>
      <w:r>
        <w:rPr>
          <w:rFonts w:hint="eastAsia" w:ascii="仿宋_GB2312" w:hAnsi="仿宋_GB2312" w:eastAsia="仿宋_GB2312" w:cs="仿宋_GB2312"/>
          <w:sz w:val="32"/>
          <w:szCs w:val="32"/>
          <w:lang w:val="en-US" w:eastAsia="zh-CN" w:bidi="ar"/>
        </w:rPr>
        <w:t>14</w:t>
      </w:r>
      <w:r>
        <w:rPr>
          <w:rFonts w:hint="eastAsia" w:ascii="仿宋_GB2312" w:hAnsi="仿宋_GB2312" w:eastAsia="仿宋_GB2312" w:cs="仿宋_GB2312"/>
          <w:sz w:val="32"/>
          <w:szCs w:val="32"/>
          <w:lang w:bidi="ar"/>
        </w:rPr>
        <w:t>）收购建发公司持有的信恒银通股权项目</w:t>
      </w:r>
    </w:p>
    <w:p w14:paraId="22140AED">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为更好配合后续PPP项目融资、资金投放，加强PPP项目投后管理，公司拟以评估值1,228.91万元收购建发公司持有的信恒银通100%股权。根据债权人向法院申请强制执行进度，预计2025年第四季度</w:t>
      </w:r>
      <w:r>
        <w:rPr>
          <w:rFonts w:hint="eastAsia" w:ascii="仿宋_GB2312" w:hAnsi="仿宋_GB2312" w:eastAsia="仿宋_GB2312" w:cs="仿宋_GB2312"/>
          <w:sz w:val="32"/>
          <w:szCs w:val="32"/>
          <w:lang w:val="en-US" w:eastAsia="zh-CN" w:bidi="ar"/>
        </w:rPr>
        <w:t>进行</w:t>
      </w:r>
      <w:r>
        <w:rPr>
          <w:rFonts w:hint="eastAsia" w:ascii="仿宋_GB2312" w:hAnsi="仿宋_GB2312" w:eastAsia="仿宋_GB2312" w:cs="仿宋_GB2312"/>
          <w:sz w:val="32"/>
          <w:szCs w:val="32"/>
          <w:lang w:bidi="ar"/>
        </w:rPr>
        <w:t>收购。</w:t>
      </w:r>
    </w:p>
    <w:p w14:paraId="590B73C1">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2.预算外项目</w:t>
      </w:r>
    </w:p>
    <w:p w14:paraId="28F23D58">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highlight w:val="yellow"/>
          <w:lang w:eastAsia="zh-CN" w:bidi="ar"/>
        </w:rPr>
      </w:pPr>
      <w:r>
        <w:rPr>
          <w:rFonts w:hint="eastAsia" w:ascii="仿宋_GB2312" w:hAnsi="仿宋_GB2312" w:eastAsia="仿宋_GB2312" w:cs="仿宋_GB2312"/>
          <w:sz w:val="32"/>
          <w:szCs w:val="32"/>
          <w:lang w:eastAsia="zh-CN" w:bidi="ar"/>
        </w:rPr>
        <w:t>（</w:t>
      </w:r>
      <w:r>
        <w:rPr>
          <w:rFonts w:hint="eastAsia" w:ascii="仿宋_GB2312" w:hAnsi="仿宋_GB2312" w:eastAsia="仿宋_GB2312" w:cs="仿宋_GB2312"/>
          <w:sz w:val="32"/>
          <w:szCs w:val="32"/>
          <w:lang w:val="en-US" w:eastAsia="zh-CN" w:bidi="ar"/>
        </w:rPr>
        <w:t>1</w:t>
      </w:r>
      <w:r>
        <w:rPr>
          <w:rFonts w:hint="eastAsia" w:ascii="仿宋_GB2312" w:hAnsi="仿宋_GB2312" w:eastAsia="仿宋_GB2312" w:cs="仿宋_GB2312"/>
          <w:sz w:val="32"/>
          <w:szCs w:val="32"/>
          <w:lang w:eastAsia="zh-CN" w:bidi="ar"/>
        </w:rPr>
        <w:t>）</w:t>
      </w:r>
      <w:r>
        <w:rPr>
          <w:rFonts w:hint="eastAsia" w:ascii="仿宋_GB2312" w:hAnsi="仿宋_GB2312" w:eastAsia="仿宋_GB2312" w:cs="仿宋_GB2312"/>
          <w:sz w:val="32"/>
          <w:szCs w:val="32"/>
          <w:lang w:bidi="ar"/>
        </w:rPr>
        <w:t>投资四川省成果转化投资引导基金</w:t>
      </w:r>
      <w:r>
        <w:rPr>
          <w:rFonts w:hint="eastAsia" w:ascii="仿宋_GB2312" w:hAnsi="仿宋_GB2312" w:eastAsia="仿宋_GB2312" w:cs="仿宋_GB2312"/>
          <w:sz w:val="32"/>
          <w:szCs w:val="32"/>
          <w:highlight w:val="yellow"/>
          <w:lang w:eastAsia="zh-CN" w:bidi="ar"/>
        </w:rPr>
        <w:t>（</w:t>
      </w:r>
      <w:r>
        <w:rPr>
          <w:rFonts w:hint="eastAsia" w:ascii="仿宋_GB2312" w:hAnsi="仿宋_GB2312" w:eastAsia="仿宋_GB2312" w:cs="仿宋_GB2312"/>
          <w:sz w:val="32"/>
          <w:szCs w:val="32"/>
          <w:highlight w:val="yellow"/>
          <w:lang w:val="en-US" w:eastAsia="zh-CN" w:bidi="ar"/>
        </w:rPr>
        <w:t>PPP事业部</w:t>
      </w:r>
      <w:r>
        <w:rPr>
          <w:rFonts w:hint="eastAsia" w:ascii="仿宋_GB2312" w:hAnsi="仿宋_GB2312" w:eastAsia="仿宋_GB2312" w:cs="仿宋_GB2312"/>
          <w:sz w:val="32"/>
          <w:szCs w:val="32"/>
          <w:highlight w:val="yellow"/>
          <w:lang w:eastAsia="zh-CN" w:bidi="ar"/>
        </w:rPr>
        <w:t>）</w:t>
      </w:r>
    </w:p>
    <w:p w14:paraId="4F420752">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川省建筑市场广阔，且为中信建设国内深耕市场区域，为推动中信建设主营业务发展，形成川渝地区市场开拓重要抓手，并满足中信建设对资阳PPP项目合同关于设立5亿产业投资基金事宜的履约要求，中信建设拟与中信建投资本开展业务协同</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投资四川省成果转化投资引导基金，中信建设以不高于0元的价格受让中信建投资本持有的2亿元基金认缴份额，成为基金有限合伙人</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color w:val="auto"/>
          <w:sz w:val="32"/>
          <w:szCs w:val="32"/>
          <w:lang w:eastAsia="zh-CN" w:bidi="ar"/>
        </w:rPr>
        <w:t>项目计划报请集团审批后</w:t>
      </w:r>
      <w:r>
        <w:rPr>
          <w:rFonts w:hint="eastAsia" w:ascii="仿宋_GB2312" w:hAnsi="仿宋_GB2312" w:eastAsia="仿宋_GB2312" w:cs="仿宋_GB2312"/>
          <w:color w:val="auto"/>
          <w:sz w:val="32"/>
          <w:szCs w:val="32"/>
          <w:lang w:val="en-US" w:eastAsia="zh-CN" w:bidi="ar"/>
        </w:rPr>
        <w:t>完成基金认购相关程序，并计划于</w:t>
      </w:r>
      <w:r>
        <w:rPr>
          <w:rFonts w:hint="eastAsia" w:ascii="仿宋_GB2312" w:hAnsi="仿宋_GB2312" w:eastAsia="仿宋_GB2312" w:cs="仿宋_GB2312"/>
          <w:sz w:val="32"/>
          <w:szCs w:val="32"/>
        </w:rPr>
        <w:t>二季度实缴基金份额6</w:t>
      </w:r>
      <w:r>
        <w:rPr>
          <w:rFonts w:hint="eastAsia" w:ascii="仿宋_GB2312" w:hAnsi="仿宋_GB2312" w:eastAsia="仿宋_GB2312" w:cs="仿宋_GB2312"/>
          <w:sz w:val="32"/>
          <w:szCs w:val="32"/>
          <w:lang w:val="en-US" w:eastAsia="zh-CN"/>
        </w:rPr>
        <w:t>,</w:t>
      </w:r>
      <w:r>
        <w:rPr>
          <w:rFonts w:ascii="仿宋_GB2312" w:hAnsi="仿宋_GB2312" w:eastAsia="仿宋_GB2312" w:cs="仿宋_GB2312"/>
          <w:sz w:val="32"/>
          <w:szCs w:val="32"/>
        </w:rPr>
        <w:t>000</w:t>
      </w:r>
      <w:r>
        <w:rPr>
          <w:rFonts w:hint="eastAsia" w:ascii="仿宋_GB2312" w:hAnsi="仿宋_GB2312" w:eastAsia="仿宋_GB2312" w:cs="仿宋_GB2312"/>
          <w:sz w:val="32"/>
          <w:szCs w:val="32"/>
        </w:rPr>
        <w:t>万元。</w:t>
      </w:r>
    </w:p>
    <w:p w14:paraId="5DE8D472">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auto"/>
          <w:sz w:val="32"/>
          <w:szCs w:val="32"/>
          <w:lang w:eastAsia="zh-CN" w:bidi="ar"/>
        </w:rPr>
      </w:pPr>
      <w:r>
        <w:rPr>
          <w:rFonts w:hint="eastAsia" w:ascii="仿宋_GB2312" w:hAnsi="仿宋_GB2312" w:eastAsia="仿宋_GB2312" w:cs="仿宋_GB2312"/>
          <w:color w:val="auto"/>
          <w:sz w:val="32"/>
          <w:szCs w:val="32"/>
          <w:lang w:eastAsia="zh-CN" w:bidi="ar"/>
        </w:rPr>
        <w:t>（</w:t>
      </w:r>
      <w:r>
        <w:rPr>
          <w:rFonts w:hint="eastAsia" w:ascii="仿宋_GB2312" w:hAnsi="仿宋_GB2312" w:eastAsia="仿宋_GB2312" w:cs="仿宋_GB2312"/>
          <w:color w:val="auto"/>
          <w:sz w:val="32"/>
          <w:szCs w:val="32"/>
          <w:lang w:val="en-US" w:eastAsia="zh-CN" w:bidi="ar"/>
        </w:rPr>
        <w:t>2</w:t>
      </w:r>
      <w:r>
        <w:rPr>
          <w:rFonts w:hint="eastAsia" w:ascii="仿宋_GB2312" w:hAnsi="仿宋_GB2312" w:eastAsia="仿宋_GB2312" w:cs="仿宋_GB2312"/>
          <w:color w:val="auto"/>
          <w:sz w:val="32"/>
          <w:szCs w:val="32"/>
          <w:lang w:eastAsia="zh-CN" w:bidi="ar"/>
        </w:rPr>
        <w:t>）投资阿拉山口边民互市投资管理有限公司</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农业事业部</w:t>
      </w:r>
      <w:r>
        <w:rPr>
          <w:rFonts w:hint="eastAsia" w:ascii="仿宋_GB2312" w:hAnsi="仿宋_GB2312" w:eastAsia="仿宋_GB2312" w:cs="仿宋_GB2312"/>
          <w:sz w:val="32"/>
          <w:szCs w:val="32"/>
          <w:highlight w:val="yellow"/>
          <w:lang w:eastAsia="zh-CN"/>
        </w:rPr>
        <w:t>）</w:t>
      </w:r>
    </w:p>
    <w:p w14:paraId="625EDB98">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auto"/>
          <w:sz w:val="32"/>
          <w:szCs w:val="32"/>
          <w:lang w:eastAsia="zh-CN" w:bidi="ar"/>
        </w:rPr>
      </w:pPr>
      <w:r>
        <w:rPr>
          <w:rFonts w:hint="eastAsia" w:ascii="仿宋_GB2312" w:hAnsi="仿宋_GB2312" w:eastAsia="仿宋_GB2312" w:cs="仿宋_GB2312"/>
          <w:color w:val="auto"/>
          <w:sz w:val="32"/>
          <w:szCs w:val="32"/>
          <w:lang w:eastAsia="zh-CN" w:bidi="ar"/>
        </w:rPr>
        <w:t>2022年集团批复同意中信建设投资参股阿拉山口边民互市投资管理有限责任公司，受让阿拉山口哈粮进出口有限公司占有边民互市公司的22.5%的股权。边民互市注册资本金4</w:t>
      </w:r>
      <w:r>
        <w:rPr>
          <w:rFonts w:hint="eastAsia" w:ascii="仿宋_GB2312" w:hAnsi="仿宋_GB2312" w:eastAsia="仿宋_GB2312" w:cs="仿宋_GB2312"/>
          <w:color w:val="auto"/>
          <w:sz w:val="32"/>
          <w:szCs w:val="32"/>
          <w:lang w:val="en-US" w:eastAsia="zh-CN" w:bidi="ar"/>
        </w:rPr>
        <w:t>,</w:t>
      </w:r>
      <w:r>
        <w:rPr>
          <w:rFonts w:hint="eastAsia" w:ascii="仿宋_GB2312" w:hAnsi="仿宋_GB2312" w:eastAsia="仿宋_GB2312" w:cs="仿宋_GB2312"/>
          <w:color w:val="auto"/>
          <w:sz w:val="32"/>
          <w:szCs w:val="32"/>
          <w:lang w:eastAsia="zh-CN" w:bidi="ar"/>
        </w:rPr>
        <w:t>000万元，我</w:t>
      </w:r>
      <w:r>
        <w:rPr>
          <w:rFonts w:hint="eastAsia" w:ascii="仿宋_GB2312" w:hAnsi="仿宋_GB2312" w:eastAsia="仿宋_GB2312" w:cs="仿宋_GB2312"/>
          <w:color w:val="auto"/>
          <w:sz w:val="32"/>
          <w:szCs w:val="32"/>
          <w:lang w:val="en-US" w:eastAsia="zh-CN" w:bidi="ar"/>
        </w:rPr>
        <w:t>公司</w:t>
      </w:r>
      <w:r>
        <w:rPr>
          <w:rFonts w:hint="eastAsia" w:ascii="仿宋_GB2312" w:hAnsi="仿宋_GB2312" w:eastAsia="仿宋_GB2312" w:cs="仿宋_GB2312"/>
          <w:color w:val="auto"/>
          <w:sz w:val="32"/>
          <w:szCs w:val="32"/>
          <w:lang w:eastAsia="zh-CN" w:bidi="ar"/>
        </w:rPr>
        <w:t>拟出资900万元。现正进行工商变更和资产评估备案前置工作，预计2025年</w:t>
      </w:r>
      <w:r>
        <w:rPr>
          <w:rFonts w:hint="eastAsia" w:ascii="仿宋_GB2312" w:hAnsi="仿宋_GB2312" w:eastAsia="仿宋_GB2312" w:cs="仿宋_GB2312"/>
          <w:color w:val="auto"/>
          <w:sz w:val="32"/>
          <w:szCs w:val="32"/>
          <w:lang w:val="en-US" w:eastAsia="zh-CN" w:bidi="ar"/>
        </w:rPr>
        <w:t>二</w:t>
      </w:r>
      <w:r>
        <w:rPr>
          <w:rFonts w:hint="eastAsia" w:ascii="仿宋_GB2312" w:hAnsi="仿宋_GB2312" w:eastAsia="仿宋_GB2312" w:cs="仿宋_GB2312"/>
          <w:color w:val="auto"/>
          <w:sz w:val="32"/>
          <w:szCs w:val="32"/>
          <w:lang w:eastAsia="zh-CN" w:bidi="ar"/>
        </w:rPr>
        <w:t>季度完成工商变更，如各股东同意全部实缴，我公司将在2025年</w:t>
      </w:r>
      <w:r>
        <w:rPr>
          <w:rFonts w:hint="eastAsia" w:ascii="仿宋_GB2312" w:hAnsi="仿宋_GB2312" w:eastAsia="仿宋_GB2312" w:cs="仿宋_GB2312"/>
          <w:color w:val="auto"/>
          <w:sz w:val="32"/>
          <w:szCs w:val="32"/>
          <w:lang w:val="en-US" w:eastAsia="zh-CN" w:bidi="ar"/>
        </w:rPr>
        <w:t>二</w:t>
      </w:r>
      <w:r>
        <w:rPr>
          <w:rFonts w:hint="eastAsia" w:ascii="仿宋_GB2312" w:hAnsi="仿宋_GB2312" w:eastAsia="仿宋_GB2312" w:cs="仿宋_GB2312"/>
          <w:color w:val="auto"/>
          <w:sz w:val="32"/>
          <w:szCs w:val="32"/>
          <w:lang w:eastAsia="zh-CN" w:bidi="ar"/>
        </w:rPr>
        <w:t>季度出资900万元。</w:t>
      </w:r>
    </w:p>
    <w:p w14:paraId="7406A3A5">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auto"/>
          <w:sz w:val="32"/>
          <w:szCs w:val="32"/>
          <w:lang w:eastAsia="zh-CN" w:bidi="ar"/>
        </w:rPr>
      </w:pPr>
      <w:r>
        <w:rPr>
          <w:rFonts w:hint="eastAsia" w:ascii="仿宋_GB2312" w:hAnsi="仿宋_GB2312" w:eastAsia="仿宋_GB2312" w:cs="仿宋_GB2312"/>
          <w:color w:val="auto"/>
          <w:sz w:val="32"/>
          <w:szCs w:val="32"/>
          <w:lang w:eastAsia="zh-CN" w:bidi="ar"/>
        </w:rPr>
        <w:t>（</w:t>
      </w:r>
      <w:r>
        <w:rPr>
          <w:rFonts w:hint="eastAsia" w:ascii="仿宋_GB2312" w:hAnsi="仿宋_GB2312" w:eastAsia="仿宋_GB2312" w:cs="仿宋_GB2312"/>
          <w:color w:val="auto"/>
          <w:sz w:val="32"/>
          <w:szCs w:val="32"/>
          <w:lang w:val="en-US" w:eastAsia="zh-CN" w:bidi="ar"/>
        </w:rPr>
        <w:t>3</w:t>
      </w:r>
      <w:r>
        <w:rPr>
          <w:rFonts w:hint="eastAsia" w:ascii="仿宋_GB2312" w:hAnsi="仿宋_GB2312" w:eastAsia="仿宋_GB2312" w:cs="仿宋_GB2312"/>
          <w:color w:val="auto"/>
          <w:sz w:val="32"/>
          <w:szCs w:val="32"/>
          <w:lang w:eastAsia="zh-CN" w:bidi="ar"/>
        </w:rPr>
        <w:t>）增资中亚国信动植物隔离检验检疫服务有限公司</w:t>
      </w:r>
      <w:r>
        <w:rPr>
          <w:rFonts w:hint="eastAsia" w:ascii="仿宋_GB2312" w:hAnsi="仿宋_GB2312" w:eastAsia="仿宋_GB2312" w:cs="仿宋_GB2312"/>
          <w:sz w:val="32"/>
          <w:szCs w:val="32"/>
          <w:highlight w:val="yellow"/>
          <w:lang w:eastAsia="zh-CN"/>
        </w:rPr>
        <w:t>（</w:t>
      </w:r>
      <w:r>
        <w:rPr>
          <w:rFonts w:hint="eastAsia" w:ascii="仿宋_GB2312" w:hAnsi="仿宋_GB2312" w:eastAsia="仿宋_GB2312" w:cs="仿宋_GB2312"/>
          <w:sz w:val="32"/>
          <w:szCs w:val="32"/>
          <w:highlight w:val="yellow"/>
          <w:lang w:val="en-US" w:eastAsia="zh-CN"/>
        </w:rPr>
        <w:t>农业事业部</w:t>
      </w:r>
      <w:r>
        <w:rPr>
          <w:rFonts w:hint="eastAsia" w:ascii="仿宋_GB2312" w:hAnsi="仿宋_GB2312" w:eastAsia="仿宋_GB2312" w:cs="仿宋_GB2312"/>
          <w:sz w:val="32"/>
          <w:szCs w:val="32"/>
          <w:highlight w:val="yellow"/>
          <w:lang w:eastAsia="zh-CN"/>
        </w:rPr>
        <w:t>）</w:t>
      </w:r>
    </w:p>
    <w:p w14:paraId="123F88D5">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auto"/>
          <w:sz w:val="32"/>
          <w:szCs w:val="32"/>
          <w:lang w:eastAsia="zh-CN" w:bidi="ar"/>
        </w:rPr>
      </w:pPr>
      <w:r>
        <w:rPr>
          <w:rFonts w:hint="eastAsia" w:ascii="仿宋_GB2312" w:hAnsi="仿宋_GB2312" w:eastAsia="仿宋_GB2312" w:cs="仿宋_GB2312"/>
          <w:color w:val="auto"/>
          <w:sz w:val="32"/>
          <w:szCs w:val="32"/>
          <w:lang w:eastAsia="zh-CN" w:bidi="ar"/>
        </w:rPr>
        <w:t>为推进中亚国信风险化解和运营，中信建设拟协同阿拉山口综合保税区金港开发有限责任公司和中新建农牧有限责任公司共同增资中亚国信公司，增资金额1.1亿元，其中中信建设拟增资3</w:t>
      </w:r>
      <w:r>
        <w:rPr>
          <w:rFonts w:hint="eastAsia" w:ascii="仿宋_GB2312" w:hAnsi="仿宋_GB2312" w:eastAsia="仿宋_GB2312" w:cs="仿宋_GB2312"/>
          <w:color w:val="auto"/>
          <w:sz w:val="32"/>
          <w:szCs w:val="32"/>
          <w:lang w:val="en-US" w:eastAsia="zh-CN" w:bidi="ar"/>
        </w:rPr>
        <w:t>,</w:t>
      </w:r>
      <w:r>
        <w:rPr>
          <w:rFonts w:hint="eastAsia" w:ascii="仿宋_GB2312" w:hAnsi="仿宋_GB2312" w:eastAsia="仿宋_GB2312" w:cs="仿宋_GB2312"/>
          <w:color w:val="auto"/>
          <w:sz w:val="32"/>
          <w:szCs w:val="32"/>
          <w:lang w:eastAsia="zh-CN" w:bidi="ar"/>
        </w:rPr>
        <w:t>000万元，阿拉山口金港公司拟增资1</w:t>
      </w:r>
      <w:r>
        <w:rPr>
          <w:rFonts w:hint="eastAsia" w:ascii="仿宋_GB2312" w:hAnsi="仿宋_GB2312" w:eastAsia="仿宋_GB2312" w:cs="仿宋_GB2312"/>
          <w:color w:val="auto"/>
          <w:sz w:val="32"/>
          <w:szCs w:val="32"/>
          <w:lang w:val="en-US" w:eastAsia="zh-CN" w:bidi="ar"/>
        </w:rPr>
        <w:t>,</w:t>
      </w:r>
      <w:r>
        <w:rPr>
          <w:rFonts w:hint="eastAsia" w:ascii="仿宋_GB2312" w:hAnsi="仿宋_GB2312" w:eastAsia="仿宋_GB2312" w:cs="仿宋_GB2312"/>
          <w:color w:val="auto"/>
          <w:sz w:val="32"/>
          <w:szCs w:val="32"/>
          <w:lang w:eastAsia="zh-CN" w:bidi="ar"/>
        </w:rPr>
        <w:t>000万元，中新建农牧有限责任公司增资不低于7</w:t>
      </w:r>
      <w:r>
        <w:rPr>
          <w:rFonts w:hint="eastAsia" w:ascii="仿宋_GB2312" w:hAnsi="仿宋_GB2312" w:eastAsia="仿宋_GB2312" w:cs="仿宋_GB2312"/>
          <w:color w:val="auto"/>
          <w:sz w:val="32"/>
          <w:szCs w:val="32"/>
          <w:lang w:val="en-US" w:eastAsia="zh-CN" w:bidi="ar"/>
        </w:rPr>
        <w:t>,</w:t>
      </w:r>
      <w:r>
        <w:rPr>
          <w:rFonts w:hint="eastAsia" w:ascii="仿宋_GB2312" w:hAnsi="仿宋_GB2312" w:eastAsia="仿宋_GB2312" w:cs="仿宋_GB2312"/>
          <w:color w:val="auto"/>
          <w:sz w:val="32"/>
          <w:szCs w:val="32"/>
          <w:lang w:eastAsia="zh-CN" w:bidi="ar"/>
        </w:rPr>
        <w:t>000万元。现已完成财务尽调，正进行对中亚国信公司的在建工程造价评估和资产评估。项目计划报请集团审批后，预计2025年</w:t>
      </w:r>
      <w:r>
        <w:rPr>
          <w:rFonts w:hint="eastAsia" w:ascii="仿宋_GB2312" w:hAnsi="仿宋_GB2312" w:eastAsia="仿宋_GB2312" w:cs="仿宋_GB2312"/>
          <w:color w:val="auto"/>
          <w:sz w:val="32"/>
          <w:szCs w:val="32"/>
          <w:lang w:val="en-US" w:eastAsia="zh-CN" w:bidi="ar"/>
        </w:rPr>
        <w:t>二</w:t>
      </w:r>
      <w:r>
        <w:rPr>
          <w:rFonts w:hint="eastAsia" w:ascii="仿宋_GB2312" w:hAnsi="仿宋_GB2312" w:eastAsia="仿宋_GB2312" w:cs="仿宋_GB2312"/>
          <w:color w:val="auto"/>
          <w:sz w:val="32"/>
          <w:szCs w:val="32"/>
          <w:lang w:eastAsia="zh-CN" w:bidi="ar"/>
        </w:rPr>
        <w:t>季度出资3</w:t>
      </w:r>
      <w:r>
        <w:rPr>
          <w:rFonts w:hint="eastAsia" w:ascii="仿宋_GB2312" w:hAnsi="仿宋_GB2312" w:eastAsia="仿宋_GB2312" w:cs="仿宋_GB2312"/>
          <w:color w:val="auto"/>
          <w:sz w:val="32"/>
          <w:szCs w:val="32"/>
          <w:lang w:val="en-US" w:eastAsia="zh-CN" w:bidi="ar"/>
        </w:rPr>
        <w:t>,</w:t>
      </w:r>
      <w:r>
        <w:rPr>
          <w:rFonts w:hint="eastAsia" w:ascii="仿宋_GB2312" w:hAnsi="仿宋_GB2312" w:eastAsia="仿宋_GB2312" w:cs="仿宋_GB2312"/>
          <w:color w:val="auto"/>
          <w:sz w:val="32"/>
          <w:szCs w:val="32"/>
          <w:lang w:eastAsia="zh-CN" w:bidi="ar"/>
        </w:rPr>
        <w:t>000万元。</w:t>
      </w:r>
    </w:p>
    <w:p w14:paraId="44DC5177">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auto"/>
          <w:sz w:val="32"/>
          <w:szCs w:val="32"/>
          <w:highlight w:val="yellow"/>
          <w:lang w:eastAsia="zh-CN" w:bidi="ar"/>
        </w:rPr>
      </w:pPr>
      <w:r>
        <w:rPr>
          <w:rFonts w:hint="eastAsia" w:ascii="仿宋_GB2312" w:hAnsi="仿宋_GB2312" w:eastAsia="仿宋_GB2312" w:cs="仿宋_GB2312"/>
          <w:color w:val="auto"/>
          <w:sz w:val="32"/>
          <w:szCs w:val="32"/>
          <w:lang w:eastAsia="zh-CN" w:bidi="ar"/>
        </w:rPr>
        <w:t>（</w:t>
      </w:r>
      <w:r>
        <w:rPr>
          <w:rFonts w:hint="eastAsia" w:ascii="仿宋_GB2312" w:hAnsi="仿宋_GB2312" w:eastAsia="仿宋_GB2312" w:cs="仿宋_GB2312"/>
          <w:color w:val="auto"/>
          <w:sz w:val="32"/>
          <w:szCs w:val="32"/>
          <w:lang w:val="en-US" w:eastAsia="zh-CN" w:bidi="ar"/>
        </w:rPr>
        <w:t>4</w:t>
      </w:r>
      <w:r>
        <w:rPr>
          <w:rFonts w:hint="eastAsia" w:ascii="仿宋_GB2312" w:hAnsi="仿宋_GB2312" w:eastAsia="仿宋_GB2312" w:cs="仿宋_GB2312"/>
          <w:color w:val="auto"/>
          <w:sz w:val="32"/>
          <w:szCs w:val="32"/>
          <w:lang w:eastAsia="zh-CN" w:bidi="ar"/>
        </w:rPr>
        <w:t>）平谷区农业中关村项目</w:t>
      </w:r>
      <w:r>
        <w:rPr>
          <w:rFonts w:hint="eastAsia" w:ascii="仿宋_GB2312" w:hAnsi="仿宋_GB2312" w:eastAsia="仿宋_GB2312" w:cs="仿宋_GB2312"/>
          <w:color w:val="auto"/>
          <w:sz w:val="32"/>
          <w:szCs w:val="32"/>
          <w:highlight w:val="yellow"/>
          <w:lang w:eastAsia="zh-CN" w:bidi="ar"/>
        </w:rPr>
        <w:t>（</w:t>
      </w:r>
      <w:r>
        <w:rPr>
          <w:rFonts w:hint="eastAsia" w:ascii="仿宋_GB2312" w:hAnsi="仿宋_GB2312" w:eastAsia="仿宋_GB2312" w:cs="仿宋_GB2312"/>
          <w:color w:val="auto"/>
          <w:sz w:val="32"/>
          <w:szCs w:val="32"/>
          <w:highlight w:val="yellow"/>
          <w:lang w:val="en-US" w:eastAsia="zh-CN" w:bidi="ar"/>
        </w:rPr>
        <w:t>业务二组</w:t>
      </w:r>
      <w:r>
        <w:rPr>
          <w:rFonts w:hint="eastAsia" w:ascii="仿宋_GB2312" w:hAnsi="仿宋_GB2312" w:eastAsia="仿宋_GB2312" w:cs="仿宋_GB2312"/>
          <w:color w:val="auto"/>
          <w:sz w:val="32"/>
          <w:szCs w:val="32"/>
          <w:highlight w:val="yellow"/>
          <w:lang w:eastAsia="zh-CN" w:bidi="ar"/>
        </w:rPr>
        <w:t>）</w:t>
      </w:r>
    </w:p>
    <w:p w14:paraId="7BA72AC1">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auto"/>
          <w:sz w:val="32"/>
          <w:szCs w:val="32"/>
          <w:lang w:eastAsia="zh-CN" w:bidi="ar"/>
        </w:rPr>
      </w:pPr>
      <w:r>
        <w:rPr>
          <w:rFonts w:hint="eastAsia" w:ascii="仿宋_GB2312" w:hAnsi="仿宋_GB2312" w:eastAsia="仿宋_GB2312" w:cs="仿宋_GB2312"/>
          <w:color w:val="auto"/>
          <w:sz w:val="32"/>
          <w:szCs w:val="32"/>
          <w:lang w:eastAsia="zh-CN" w:bidi="ar"/>
        </w:rPr>
        <w:t>项目位于平谷区“农业中关村”核心区，毗邻北京地铁22号线国农港站。项目围绕中国农业大学（平谷校区），通过统筹联动开发建设，打造科技创新与农业发展深度融合的新格局，促进区域内校区、园区、街区、社区、景区“五区联动”。项目首期开发地块用地面积约3.34公顷，建筑面积约6万平方米。项目总投资约为</w:t>
      </w:r>
      <w:r>
        <w:rPr>
          <w:rFonts w:hint="eastAsia" w:ascii="仿宋_GB2312" w:hAnsi="仿宋_GB2312" w:eastAsia="仿宋_GB2312" w:cs="仿宋_GB2312"/>
          <w:color w:val="auto"/>
          <w:sz w:val="32"/>
          <w:szCs w:val="32"/>
          <w:lang w:val="en-US" w:eastAsia="zh-CN" w:bidi="ar"/>
        </w:rPr>
        <w:t>120</w:t>
      </w:r>
      <w:r>
        <w:rPr>
          <w:rFonts w:hint="eastAsia" w:ascii="仿宋_GB2312" w:hAnsi="仿宋_GB2312" w:eastAsia="仿宋_GB2312" w:cs="仿宋_GB2312"/>
          <w:color w:val="auto"/>
          <w:sz w:val="32"/>
          <w:szCs w:val="32"/>
          <w:lang w:eastAsia="zh-CN" w:bidi="ar"/>
        </w:rPr>
        <w:t>亿元，资本金约7亿元，剩余资金由银行贷款解决。项目拟由中信建设在当地设立项目公司并负责项目的投资、建设、运营。项目计划报请集团审批后，2025年完成7亿元出资，其中三季度计划出资1</w:t>
      </w:r>
      <w:r>
        <w:rPr>
          <w:rFonts w:hint="eastAsia" w:ascii="仿宋_GB2312" w:hAnsi="仿宋_GB2312" w:eastAsia="仿宋_GB2312" w:cs="仿宋_GB2312"/>
          <w:color w:val="auto"/>
          <w:sz w:val="32"/>
          <w:szCs w:val="32"/>
          <w:lang w:val="en-US" w:eastAsia="zh-CN" w:bidi="ar"/>
        </w:rPr>
        <w:t>,</w:t>
      </w:r>
      <w:r>
        <w:rPr>
          <w:rFonts w:hint="eastAsia" w:ascii="仿宋_GB2312" w:hAnsi="仿宋_GB2312" w:eastAsia="仿宋_GB2312" w:cs="仿宋_GB2312"/>
          <w:color w:val="auto"/>
          <w:sz w:val="32"/>
          <w:szCs w:val="32"/>
          <w:lang w:eastAsia="zh-CN" w:bidi="ar"/>
        </w:rPr>
        <w:t>000万元，四季度完成剩余</w:t>
      </w:r>
      <w:r>
        <w:rPr>
          <w:rFonts w:hint="eastAsia" w:ascii="仿宋_GB2312" w:hAnsi="仿宋_GB2312" w:eastAsia="仿宋_GB2312" w:cs="仿宋_GB2312"/>
          <w:color w:val="auto"/>
          <w:sz w:val="32"/>
          <w:szCs w:val="32"/>
          <w:lang w:val="en-US" w:eastAsia="zh-CN" w:bidi="ar"/>
        </w:rPr>
        <w:t>69,</w:t>
      </w:r>
      <w:r>
        <w:rPr>
          <w:rFonts w:hint="eastAsia" w:ascii="仿宋_GB2312" w:hAnsi="仿宋_GB2312" w:eastAsia="仿宋_GB2312" w:cs="仿宋_GB2312"/>
          <w:color w:val="auto"/>
          <w:sz w:val="32"/>
          <w:szCs w:val="32"/>
          <w:lang w:eastAsia="zh-CN" w:bidi="ar"/>
        </w:rPr>
        <w:t>00</w:t>
      </w:r>
      <w:r>
        <w:rPr>
          <w:rFonts w:hint="eastAsia" w:ascii="仿宋_GB2312" w:hAnsi="仿宋_GB2312" w:eastAsia="仿宋_GB2312" w:cs="仿宋_GB2312"/>
          <w:color w:val="auto"/>
          <w:sz w:val="32"/>
          <w:szCs w:val="32"/>
          <w:lang w:val="en-US" w:eastAsia="zh-CN" w:bidi="ar"/>
        </w:rPr>
        <w:t>0万元</w:t>
      </w:r>
      <w:r>
        <w:rPr>
          <w:rFonts w:hint="eastAsia" w:ascii="仿宋_GB2312" w:hAnsi="仿宋_GB2312" w:eastAsia="仿宋_GB2312" w:cs="仿宋_GB2312"/>
          <w:color w:val="auto"/>
          <w:sz w:val="32"/>
          <w:szCs w:val="32"/>
          <w:lang w:eastAsia="zh-CN" w:bidi="ar"/>
        </w:rPr>
        <w:t>出资。</w:t>
      </w:r>
    </w:p>
    <w:p w14:paraId="7A3D2C4C">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0000FF"/>
          <w:sz w:val="32"/>
          <w:szCs w:val="32"/>
          <w:lang w:eastAsia="zh-CN" w:bidi="ar"/>
        </w:rPr>
      </w:pPr>
      <w:r>
        <w:rPr>
          <w:rFonts w:hint="eastAsia" w:ascii="仿宋_GB2312" w:eastAsia="仿宋_GB2312" w:cs="仿宋_GB2312" w:hAnsiTheme="minorEastAsia"/>
          <w:sz w:val="32"/>
          <w:szCs w:val="32"/>
          <w:lang w:val="en-US" w:eastAsia="zh-CN" w:bidi="ar"/>
        </w:rPr>
        <w:t>3.</w:t>
      </w:r>
      <w:r>
        <w:rPr>
          <w:rFonts w:hint="eastAsia" w:ascii="仿宋_GB2312" w:eastAsia="仿宋_GB2312" w:cs="仿宋_GB2312" w:hAnsiTheme="minorEastAsia"/>
          <w:sz w:val="32"/>
          <w:szCs w:val="32"/>
          <w:lang w:bidi="ar"/>
        </w:rPr>
        <w:t>预计延后</w:t>
      </w:r>
      <w:r>
        <w:rPr>
          <w:rFonts w:hint="eastAsia" w:ascii="仿宋_GB2312" w:eastAsia="仿宋_GB2312" w:cs="仿宋_GB2312" w:hAnsiTheme="minorEastAsia"/>
          <w:sz w:val="32"/>
          <w:szCs w:val="32"/>
          <w:lang w:val="en-US" w:eastAsia="zh-CN" w:bidi="ar"/>
        </w:rPr>
        <w:t>或取消</w:t>
      </w:r>
      <w:r>
        <w:rPr>
          <w:rFonts w:hint="eastAsia" w:ascii="仿宋_GB2312" w:eastAsia="仿宋_GB2312" w:cs="仿宋_GB2312" w:hAnsiTheme="minorEastAsia"/>
          <w:sz w:val="32"/>
          <w:szCs w:val="32"/>
          <w:lang w:bidi="ar"/>
        </w:rPr>
        <w:t>投资项目</w:t>
      </w:r>
    </w:p>
    <w:p w14:paraId="26EB8F95">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highlight w:val="yellow"/>
          <w:lang w:eastAsia="zh-CN" w:bidi="ar"/>
        </w:rPr>
      </w:pPr>
      <w:r>
        <w:rPr>
          <w:rFonts w:hint="eastAsia" w:ascii="仿宋_GB2312" w:hAnsi="仿宋_GB2312" w:eastAsia="仿宋_GB2312" w:cs="仿宋_GB2312"/>
          <w:sz w:val="32"/>
          <w:szCs w:val="32"/>
          <w:lang w:bidi="ar"/>
        </w:rPr>
        <w:t>（</w:t>
      </w:r>
      <w:r>
        <w:rPr>
          <w:rFonts w:hint="eastAsia" w:ascii="仿宋_GB2312" w:hAnsi="仿宋_GB2312" w:eastAsia="仿宋_GB2312" w:cs="仿宋_GB2312"/>
          <w:sz w:val="32"/>
          <w:szCs w:val="32"/>
          <w:lang w:val="en-US" w:eastAsia="zh-CN" w:bidi="ar"/>
        </w:rPr>
        <w:t>1</w:t>
      </w:r>
      <w:r>
        <w:rPr>
          <w:rFonts w:hint="eastAsia" w:ascii="仿宋_GB2312" w:hAnsi="仿宋_GB2312" w:eastAsia="仿宋_GB2312" w:cs="仿宋_GB2312"/>
          <w:sz w:val="32"/>
          <w:szCs w:val="32"/>
          <w:lang w:bidi="ar"/>
        </w:rPr>
        <w:t>）中信建设国际（缅甸）有限责任公司增资项目</w:t>
      </w:r>
    </w:p>
    <w:p w14:paraId="40999E65">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
        </w:rPr>
        <w:t>根据</w:t>
      </w:r>
      <w:r>
        <w:rPr>
          <w:rFonts w:hint="eastAsia" w:ascii="仿宋_GB2312" w:hAnsi="仿宋_GB2312" w:eastAsia="仿宋_GB2312" w:cs="仿宋_GB2312"/>
          <w:sz w:val="32"/>
          <w:szCs w:val="32"/>
          <w:lang w:bidi="ar"/>
        </w:rPr>
        <w:t>缅甸子公司</w:t>
      </w:r>
      <w:r>
        <w:rPr>
          <w:rFonts w:hint="eastAsia" w:ascii="仿宋_GB2312" w:hAnsi="仿宋_GB2312" w:eastAsia="仿宋_GB2312" w:cs="仿宋_GB2312"/>
          <w:sz w:val="32"/>
          <w:szCs w:val="32"/>
          <w:lang w:val="en-US" w:eastAsia="zh-CN" w:bidi="ar"/>
        </w:rPr>
        <w:t>目前</w:t>
      </w:r>
      <w:r>
        <w:rPr>
          <w:rFonts w:hint="eastAsia" w:ascii="仿宋_GB2312" w:hAnsi="仿宋_GB2312" w:eastAsia="仿宋_GB2312" w:cs="仿宋_GB2312"/>
          <w:sz w:val="32"/>
          <w:szCs w:val="32"/>
          <w:lang w:bidi="ar"/>
        </w:rPr>
        <w:t>实际经营情况，</w:t>
      </w:r>
      <w:r>
        <w:rPr>
          <w:rFonts w:hint="eastAsia" w:ascii="仿宋_GB2312" w:hAnsi="仿宋_GB2312" w:eastAsia="仿宋_GB2312" w:cs="仿宋_GB2312"/>
          <w:sz w:val="32"/>
          <w:szCs w:val="32"/>
          <w:lang w:val="en-US" w:eastAsia="zh-CN" w:bidi="ar"/>
        </w:rPr>
        <w:t>取消本年增资计划。</w:t>
      </w:r>
    </w:p>
    <w:p w14:paraId="624F586B">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jc w:val="left"/>
        <w:textAlignment w:val="auto"/>
        <w:outlineLvl w:val="2"/>
        <w:rPr>
          <w:rFonts w:hint="eastAsia" w:ascii="仿宋_GB2312" w:hAnsi="仿宋_GB2312" w:eastAsia="仿宋_GB2312" w:cs="仿宋_GB2312"/>
          <w:sz w:val="32"/>
          <w:szCs w:val="32"/>
          <w:highlight w:val="yellow"/>
          <w:lang w:eastAsia="zh-CN"/>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）收购建发公司所持内江项目公司股权项目</w:t>
      </w:r>
    </w:p>
    <w:p w14:paraId="2DAF5BAC">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val="en-US" w:eastAsia="zh-CN"/>
        </w:rPr>
        <w:t>关于</w:t>
      </w:r>
      <w:r>
        <w:rPr>
          <w:rFonts w:hint="eastAsia" w:ascii="仿宋_GB2312" w:hAnsi="仿宋_GB2312" w:eastAsia="仿宋_GB2312" w:cs="仿宋_GB2312"/>
          <w:sz w:val="32"/>
          <w:szCs w:val="32"/>
        </w:rPr>
        <w:t>建发公司持有内江项目公司8%股权的司法拍卖，中信建设暂不参与法拍，</w:t>
      </w:r>
      <w:r>
        <w:rPr>
          <w:rFonts w:hint="eastAsia" w:ascii="仿宋_GB2312" w:hAnsi="仿宋_GB2312" w:eastAsia="仿宋_GB2312" w:cs="仿宋_GB2312"/>
          <w:sz w:val="32"/>
          <w:szCs w:val="32"/>
          <w:lang w:val="en-US" w:eastAsia="zh-CN"/>
        </w:rPr>
        <w:t>取消出资计划。</w:t>
      </w:r>
    </w:p>
    <w:p w14:paraId="0FE56F53">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outlineLvl w:val="2"/>
        <w:rPr>
          <w:rFonts w:hint="eastAsia" w:ascii="仿宋_GB2312" w:hAnsi="仿宋_GB2312" w:eastAsia="仿宋_GB2312" w:cs="仿宋_GB2312"/>
          <w:sz w:val="32"/>
          <w:szCs w:val="32"/>
          <w:lang w:bidi="ar"/>
        </w:rPr>
      </w:pPr>
      <w:r>
        <w:rPr>
          <w:rFonts w:hint="eastAsia" w:ascii="仿宋_GB2312" w:hAnsi="仿宋_GB2312" w:eastAsia="仿宋_GB2312" w:cs="仿宋_GB2312"/>
          <w:sz w:val="32"/>
          <w:szCs w:val="32"/>
          <w:lang w:bidi="ar"/>
        </w:rPr>
        <w:t>（</w:t>
      </w:r>
      <w:r>
        <w:rPr>
          <w:rFonts w:hint="eastAsia" w:ascii="仿宋_GB2312" w:hAnsi="仿宋_GB2312" w:eastAsia="仿宋_GB2312" w:cs="仿宋_GB2312"/>
          <w:sz w:val="32"/>
          <w:szCs w:val="32"/>
          <w:lang w:val="en-US" w:eastAsia="zh-CN" w:bidi="ar"/>
        </w:rPr>
        <w:t>3</w:t>
      </w:r>
      <w:r>
        <w:rPr>
          <w:rFonts w:hint="eastAsia" w:ascii="仿宋_GB2312" w:hAnsi="仿宋_GB2312" w:eastAsia="仿宋_GB2312" w:cs="仿宋_GB2312"/>
          <w:sz w:val="32"/>
          <w:szCs w:val="32"/>
          <w:lang w:bidi="ar"/>
        </w:rPr>
        <w:t>）收购</w:t>
      </w:r>
      <w:r>
        <w:rPr>
          <w:rFonts w:hint="eastAsia" w:ascii="仿宋_GB2312" w:hAnsi="仿宋_GB2312" w:eastAsia="仿宋_GB2312" w:cs="仿宋_GB2312"/>
          <w:sz w:val="32"/>
          <w:szCs w:val="32"/>
        </w:rPr>
        <w:t>建发公司所持</w:t>
      </w:r>
      <w:r>
        <w:rPr>
          <w:rFonts w:hint="eastAsia" w:ascii="仿宋_GB2312" w:hAnsi="仿宋_GB2312" w:eastAsia="仿宋_GB2312" w:cs="仿宋_GB2312"/>
          <w:sz w:val="32"/>
          <w:szCs w:val="32"/>
          <w:lang w:bidi="ar"/>
        </w:rPr>
        <w:t>信创投资公司股权项目</w:t>
      </w:r>
      <w:bookmarkStart w:id="1" w:name="_Hlk173160910"/>
    </w:p>
    <w:bookmarkEnd w:id="1"/>
    <w:p w14:paraId="37878507">
      <w:pPr>
        <w:keepNext w:val="0"/>
        <w:keepLines w:val="0"/>
        <w:pageBreakBefore w:val="0"/>
        <w:widowControl w:val="0"/>
        <w:kinsoku/>
        <w:wordWrap/>
        <w:overflowPunct/>
        <w:topLinePunct w:val="0"/>
        <w:autoSpaceDE/>
        <w:autoSpaceDN/>
        <w:bidi w:val="0"/>
        <w:adjustRightInd w:val="0"/>
        <w:snapToGrid w:val="0"/>
        <w:spacing w:line="620" w:lineRule="exact"/>
        <w:ind w:left="0" w:leftChars="0" w:firstLine="640" w:firstLineChars="200"/>
        <w:textAlignment w:val="auto"/>
        <w:rPr>
          <w:rFonts w:hint="eastAsia" w:ascii="仿宋_GB2312" w:hAnsi="仿宋_GB2312" w:eastAsia="仿宋_GB2312" w:cs="仿宋_GB2312"/>
          <w:color w:val="0000FF"/>
          <w:sz w:val="32"/>
          <w:szCs w:val="32"/>
          <w:lang w:val="en-US" w:eastAsia="zh-CN" w:bidi="ar"/>
        </w:rPr>
      </w:pPr>
      <w:r>
        <w:rPr>
          <w:rFonts w:hint="eastAsia" w:ascii="仿宋_GB2312" w:hAnsi="仿宋_GB2312" w:eastAsia="仿宋_GB2312" w:cs="仿宋_GB2312"/>
          <w:sz w:val="32"/>
          <w:szCs w:val="32"/>
          <w:lang w:val="en-US" w:eastAsia="zh-CN" w:bidi="ar"/>
        </w:rPr>
        <w:t>关于</w:t>
      </w:r>
      <w:r>
        <w:rPr>
          <w:rFonts w:hint="eastAsia" w:ascii="仿宋_GB2312" w:hAnsi="仿宋_GB2312" w:eastAsia="仿宋_GB2312" w:cs="仿宋_GB2312"/>
          <w:sz w:val="32"/>
          <w:szCs w:val="32"/>
          <w:lang w:bidi="ar"/>
        </w:rPr>
        <w:t>建发公司持有信创投资21%股权的司法拍卖，</w:t>
      </w:r>
      <w:r>
        <w:rPr>
          <w:rFonts w:hint="eastAsia" w:ascii="仿宋_GB2312" w:hAnsi="仿宋_GB2312" w:eastAsia="仿宋_GB2312" w:cs="仿宋_GB2312"/>
          <w:sz w:val="32"/>
          <w:szCs w:val="32"/>
          <w:lang w:val="en-US" w:eastAsia="zh-CN" w:bidi="ar"/>
        </w:rPr>
        <w:t>中信建设暂不参与法拍，取消出资计划。</w:t>
      </w:r>
    </w:p>
    <w:p w14:paraId="01C77CDC">
      <w:pPr>
        <w:keepNext w:val="0"/>
        <w:keepLines w:val="0"/>
        <w:pageBreakBefore w:val="0"/>
        <w:widowControl w:val="0"/>
        <w:kinsoku/>
        <w:wordWrap/>
        <w:overflowPunct/>
        <w:topLinePunct w:val="0"/>
        <w:autoSpaceDE/>
        <w:autoSpaceDN/>
        <w:bidi w:val="0"/>
        <w:adjustRightInd w:val="0"/>
        <w:snapToGrid w:val="0"/>
        <w:spacing w:line="620" w:lineRule="exact"/>
        <w:ind w:left="0" w:leftChars="0" w:right="0" w:firstLine="640" w:firstLineChars="200"/>
        <w:jc w:val="left"/>
        <w:textAlignment w:val="auto"/>
        <w:rPr>
          <w:rFonts w:hint="eastAsia" w:ascii="仿宋_GB2312" w:eastAsia="仿宋_GB2312" w:cs="仿宋_GB2312" w:hAnsiTheme="minorEastAsia"/>
          <w:sz w:val="32"/>
          <w:szCs w:val="32"/>
          <w:lang w:bidi="ar"/>
        </w:rPr>
      </w:pPr>
      <w:r>
        <w:rPr>
          <w:rFonts w:hint="eastAsia" w:ascii="仿宋_GB2312" w:eastAsia="仿宋_GB2312" w:cs="仿宋_GB2312" w:hAnsiTheme="minorEastAsia"/>
          <w:sz w:val="32"/>
          <w:szCs w:val="32"/>
          <w:lang w:val="en-US" w:eastAsia="zh-CN" w:bidi="ar"/>
        </w:rPr>
        <w:t>4</w:t>
      </w:r>
      <w:r>
        <w:rPr>
          <w:rFonts w:hint="eastAsia" w:ascii="仿宋_GB2312" w:eastAsia="仿宋_GB2312" w:cs="仿宋_GB2312" w:hAnsiTheme="minorEastAsia"/>
          <w:sz w:val="32"/>
          <w:szCs w:val="32"/>
          <w:lang w:bidi="ar"/>
        </w:rPr>
        <w:t>.权益类投资全年预计与年度预算的差异及主要原因</w:t>
      </w:r>
    </w:p>
    <w:sectPr>
      <w:footerReference r:id="rId3" w:type="default"/>
      <w:pgSz w:w="11907" w:h="16840"/>
      <w:pgMar w:top="1588" w:right="1701" w:bottom="156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8369939"/>
    </w:sdtPr>
    <w:sdtContent>
      <w:p w14:paraId="59F0B24E">
        <w:pPr>
          <w:pStyle w:val="8"/>
          <w:jc w:val="center"/>
        </w:pPr>
        <w:r>
          <w:fldChar w:fldCharType="begin"/>
        </w:r>
        <w:r>
          <w:instrText xml:space="preserve">PAGE   \* MERGEFORMAT</w:instrText>
        </w:r>
        <w:r>
          <w:fldChar w:fldCharType="separate"/>
        </w:r>
        <w:r>
          <w:rPr>
            <w:lang w:val="zh-CN"/>
          </w:rPr>
          <w:t>13</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ZhNzgzYTA2OTBlODVmMTNkN2RlYjU1NzQwNGRlOWUifQ=="/>
  </w:docVars>
  <w:rsids>
    <w:rsidRoot w:val="00B3784F"/>
    <w:rsid w:val="00000038"/>
    <w:rsid w:val="00005812"/>
    <w:rsid w:val="000064CB"/>
    <w:rsid w:val="00007D88"/>
    <w:rsid w:val="00010415"/>
    <w:rsid w:val="00013EF5"/>
    <w:rsid w:val="00015B94"/>
    <w:rsid w:val="00035FCB"/>
    <w:rsid w:val="00053A3E"/>
    <w:rsid w:val="00060293"/>
    <w:rsid w:val="00075589"/>
    <w:rsid w:val="0007674B"/>
    <w:rsid w:val="00093FF0"/>
    <w:rsid w:val="00094064"/>
    <w:rsid w:val="0009681E"/>
    <w:rsid w:val="000A043B"/>
    <w:rsid w:val="000A1255"/>
    <w:rsid w:val="000A64ED"/>
    <w:rsid w:val="000A698F"/>
    <w:rsid w:val="000B6A90"/>
    <w:rsid w:val="000C651B"/>
    <w:rsid w:val="000D3C11"/>
    <w:rsid w:val="000E0F3A"/>
    <w:rsid w:val="000E344B"/>
    <w:rsid w:val="000E5832"/>
    <w:rsid w:val="00104DA0"/>
    <w:rsid w:val="00117CB4"/>
    <w:rsid w:val="00124E6E"/>
    <w:rsid w:val="001274C5"/>
    <w:rsid w:val="00132D92"/>
    <w:rsid w:val="00137474"/>
    <w:rsid w:val="001412C4"/>
    <w:rsid w:val="001449E3"/>
    <w:rsid w:val="00150521"/>
    <w:rsid w:val="00150AFA"/>
    <w:rsid w:val="00155212"/>
    <w:rsid w:val="00156A5B"/>
    <w:rsid w:val="001709BB"/>
    <w:rsid w:val="001711A4"/>
    <w:rsid w:val="00185474"/>
    <w:rsid w:val="00185524"/>
    <w:rsid w:val="00186ADB"/>
    <w:rsid w:val="00193E58"/>
    <w:rsid w:val="00196F36"/>
    <w:rsid w:val="001A33B3"/>
    <w:rsid w:val="001A72F4"/>
    <w:rsid w:val="001B26FF"/>
    <w:rsid w:val="001B32F1"/>
    <w:rsid w:val="001B678D"/>
    <w:rsid w:val="001B6D1A"/>
    <w:rsid w:val="001B7612"/>
    <w:rsid w:val="001C53A7"/>
    <w:rsid w:val="001C7750"/>
    <w:rsid w:val="001D7FDE"/>
    <w:rsid w:val="001E052A"/>
    <w:rsid w:val="001E26F1"/>
    <w:rsid w:val="001F7EB8"/>
    <w:rsid w:val="0021162B"/>
    <w:rsid w:val="00212D3E"/>
    <w:rsid w:val="00231C67"/>
    <w:rsid w:val="0023422F"/>
    <w:rsid w:val="0024702F"/>
    <w:rsid w:val="00252AE6"/>
    <w:rsid w:val="002536C9"/>
    <w:rsid w:val="002536EF"/>
    <w:rsid w:val="002607DE"/>
    <w:rsid w:val="00260F1F"/>
    <w:rsid w:val="002637CB"/>
    <w:rsid w:val="00264C87"/>
    <w:rsid w:val="0026559B"/>
    <w:rsid w:val="00270469"/>
    <w:rsid w:val="00271954"/>
    <w:rsid w:val="00271D9A"/>
    <w:rsid w:val="002754E8"/>
    <w:rsid w:val="00280D8E"/>
    <w:rsid w:val="00295B28"/>
    <w:rsid w:val="002A41CD"/>
    <w:rsid w:val="002A4AF6"/>
    <w:rsid w:val="002A5900"/>
    <w:rsid w:val="002A68E8"/>
    <w:rsid w:val="002B37F2"/>
    <w:rsid w:val="002B58BF"/>
    <w:rsid w:val="002C3702"/>
    <w:rsid w:val="002E2F41"/>
    <w:rsid w:val="002E3FCF"/>
    <w:rsid w:val="002E4151"/>
    <w:rsid w:val="002F0AAA"/>
    <w:rsid w:val="0030362C"/>
    <w:rsid w:val="00305EC3"/>
    <w:rsid w:val="00306FF0"/>
    <w:rsid w:val="00314DB2"/>
    <w:rsid w:val="003154FD"/>
    <w:rsid w:val="00316E5F"/>
    <w:rsid w:val="003213AF"/>
    <w:rsid w:val="003368EC"/>
    <w:rsid w:val="0034398F"/>
    <w:rsid w:val="00343F89"/>
    <w:rsid w:val="00345D1E"/>
    <w:rsid w:val="00351148"/>
    <w:rsid w:val="00353E27"/>
    <w:rsid w:val="00354657"/>
    <w:rsid w:val="00354D97"/>
    <w:rsid w:val="003640E9"/>
    <w:rsid w:val="003660F7"/>
    <w:rsid w:val="00370F14"/>
    <w:rsid w:val="00372191"/>
    <w:rsid w:val="0037335A"/>
    <w:rsid w:val="00374BD9"/>
    <w:rsid w:val="003765FF"/>
    <w:rsid w:val="003822C1"/>
    <w:rsid w:val="00397B5D"/>
    <w:rsid w:val="003A3728"/>
    <w:rsid w:val="003A3EAE"/>
    <w:rsid w:val="003A57B2"/>
    <w:rsid w:val="003A6BAC"/>
    <w:rsid w:val="003B1422"/>
    <w:rsid w:val="003B3C3A"/>
    <w:rsid w:val="003B6D84"/>
    <w:rsid w:val="003C4857"/>
    <w:rsid w:val="003D4715"/>
    <w:rsid w:val="003E0D02"/>
    <w:rsid w:val="003F2EA9"/>
    <w:rsid w:val="003F6564"/>
    <w:rsid w:val="004000B6"/>
    <w:rsid w:val="00401328"/>
    <w:rsid w:val="00406D39"/>
    <w:rsid w:val="004107EA"/>
    <w:rsid w:val="00413E6F"/>
    <w:rsid w:val="00417624"/>
    <w:rsid w:val="00425C58"/>
    <w:rsid w:val="004410AE"/>
    <w:rsid w:val="0045769E"/>
    <w:rsid w:val="004666C1"/>
    <w:rsid w:val="004760E2"/>
    <w:rsid w:val="00483FE2"/>
    <w:rsid w:val="004877FE"/>
    <w:rsid w:val="004903AA"/>
    <w:rsid w:val="00496303"/>
    <w:rsid w:val="004A3233"/>
    <w:rsid w:val="004A64A8"/>
    <w:rsid w:val="004B3C6D"/>
    <w:rsid w:val="004B5560"/>
    <w:rsid w:val="004C07C8"/>
    <w:rsid w:val="004D162C"/>
    <w:rsid w:val="004D2FE4"/>
    <w:rsid w:val="004E2614"/>
    <w:rsid w:val="004E7630"/>
    <w:rsid w:val="004F4387"/>
    <w:rsid w:val="0050081E"/>
    <w:rsid w:val="00501ECF"/>
    <w:rsid w:val="005023ED"/>
    <w:rsid w:val="005105D7"/>
    <w:rsid w:val="00510FF8"/>
    <w:rsid w:val="00520993"/>
    <w:rsid w:val="005213A9"/>
    <w:rsid w:val="00521754"/>
    <w:rsid w:val="005228D8"/>
    <w:rsid w:val="00524B14"/>
    <w:rsid w:val="00535A1C"/>
    <w:rsid w:val="00536240"/>
    <w:rsid w:val="00544326"/>
    <w:rsid w:val="00545F3F"/>
    <w:rsid w:val="0055022A"/>
    <w:rsid w:val="00555B69"/>
    <w:rsid w:val="00556608"/>
    <w:rsid w:val="00563EC5"/>
    <w:rsid w:val="0056567A"/>
    <w:rsid w:val="005676A3"/>
    <w:rsid w:val="00573F28"/>
    <w:rsid w:val="005755CD"/>
    <w:rsid w:val="00577B83"/>
    <w:rsid w:val="00584087"/>
    <w:rsid w:val="005863AF"/>
    <w:rsid w:val="005925F6"/>
    <w:rsid w:val="005A0FA9"/>
    <w:rsid w:val="005A1C32"/>
    <w:rsid w:val="005A1ED9"/>
    <w:rsid w:val="005A265A"/>
    <w:rsid w:val="005A35E8"/>
    <w:rsid w:val="005A69CD"/>
    <w:rsid w:val="005C0976"/>
    <w:rsid w:val="005C42B7"/>
    <w:rsid w:val="005D2571"/>
    <w:rsid w:val="005D4E10"/>
    <w:rsid w:val="005D5DCE"/>
    <w:rsid w:val="005E7DA2"/>
    <w:rsid w:val="005F2E1B"/>
    <w:rsid w:val="005F72F0"/>
    <w:rsid w:val="00606FB7"/>
    <w:rsid w:val="006107DE"/>
    <w:rsid w:val="0061186B"/>
    <w:rsid w:val="00616A73"/>
    <w:rsid w:val="00620195"/>
    <w:rsid w:val="006207CB"/>
    <w:rsid w:val="00622857"/>
    <w:rsid w:val="00641C25"/>
    <w:rsid w:val="00641C94"/>
    <w:rsid w:val="00644E4E"/>
    <w:rsid w:val="006508E0"/>
    <w:rsid w:val="00655D8F"/>
    <w:rsid w:val="00656BCB"/>
    <w:rsid w:val="00664D1D"/>
    <w:rsid w:val="006656F1"/>
    <w:rsid w:val="00675E03"/>
    <w:rsid w:val="0068446A"/>
    <w:rsid w:val="00684A79"/>
    <w:rsid w:val="00691A62"/>
    <w:rsid w:val="00695944"/>
    <w:rsid w:val="00697991"/>
    <w:rsid w:val="006A414F"/>
    <w:rsid w:val="006B46B3"/>
    <w:rsid w:val="006B65B6"/>
    <w:rsid w:val="006B674C"/>
    <w:rsid w:val="006C39F6"/>
    <w:rsid w:val="006C55B4"/>
    <w:rsid w:val="006C7EF5"/>
    <w:rsid w:val="006D5B8F"/>
    <w:rsid w:val="006D61D0"/>
    <w:rsid w:val="00703118"/>
    <w:rsid w:val="007214F2"/>
    <w:rsid w:val="00721B9D"/>
    <w:rsid w:val="00726A1C"/>
    <w:rsid w:val="00730059"/>
    <w:rsid w:val="00736B4D"/>
    <w:rsid w:val="00737C22"/>
    <w:rsid w:val="00752481"/>
    <w:rsid w:val="00780679"/>
    <w:rsid w:val="007823C4"/>
    <w:rsid w:val="00786831"/>
    <w:rsid w:val="00787C1D"/>
    <w:rsid w:val="007A081D"/>
    <w:rsid w:val="007B14A0"/>
    <w:rsid w:val="007B7088"/>
    <w:rsid w:val="007C0D61"/>
    <w:rsid w:val="007C105B"/>
    <w:rsid w:val="007C54AB"/>
    <w:rsid w:val="007D1D96"/>
    <w:rsid w:val="007D2EC7"/>
    <w:rsid w:val="007D4727"/>
    <w:rsid w:val="007E765D"/>
    <w:rsid w:val="007E7F97"/>
    <w:rsid w:val="007F192A"/>
    <w:rsid w:val="007F3FD0"/>
    <w:rsid w:val="00807C1B"/>
    <w:rsid w:val="0081411D"/>
    <w:rsid w:val="008144A3"/>
    <w:rsid w:val="00814D3F"/>
    <w:rsid w:val="00824774"/>
    <w:rsid w:val="00827082"/>
    <w:rsid w:val="008403FC"/>
    <w:rsid w:val="008427AA"/>
    <w:rsid w:val="00855B9B"/>
    <w:rsid w:val="008609D9"/>
    <w:rsid w:val="00866CD5"/>
    <w:rsid w:val="008709AB"/>
    <w:rsid w:val="00873617"/>
    <w:rsid w:val="00874573"/>
    <w:rsid w:val="008758D4"/>
    <w:rsid w:val="00877683"/>
    <w:rsid w:val="00877E86"/>
    <w:rsid w:val="00884F1F"/>
    <w:rsid w:val="00886EF8"/>
    <w:rsid w:val="008A366F"/>
    <w:rsid w:val="008A6869"/>
    <w:rsid w:val="008A6E28"/>
    <w:rsid w:val="008B4FE6"/>
    <w:rsid w:val="008B576A"/>
    <w:rsid w:val="008D0ECC"/>
    <w:rsid w:val="008D4346"/>
    <w:rsid w:val="008D5F61"/>
    <w:rsid w:val="008D7D1E"/>
    <w:rsid w:val="008E5F18"/>
    <w:rsid w:val="008F524D"/>
    <w:rsid w:val="008F563D"/>
    <w:rsid w:val="008F5F0F"/>
    <w:rsid w:val="008F6A93"/>
    <w:rsid w:val="00900708"/>
    <w:rsid w:val="00905DD1"/>
    <w:rsid w:val="00910B2A"/>
    <w:rsid w:val="0091290E"/>
    <w:rsid w:val="009158AE"/>
    <w:rsid w:val="00916EAC"/>
    <w:rsid w:val="00920A48"/>
    <w:rsid w:val="00921DB6"/>
    <w:rsid w:val="00921FFF"/>
    <w:rsid w:val="0092261E"/>
    <w:rsid w:val="009306FB"/>
    <w:rsid w:val="009331F6"/>
    <w:rsid w:val="009414D1"/>
    <w:rsid w:val="009459E5"/>
    <w:rsid w:val="009506A1"/>
    <w:rsid w:val="009567C8"/>
    <w:rsid w:val="009573B0"/>
    <w:rsid w:val="0096187E"/>
    <w:rsid w:val="00965CF0"/>
    <w:rsid w:val="00966DAE"/>
    <w:rsid w:val="0097398F"/>
    <w:rsid w:val="009746BA"/>
    <w:rsid w:val="00983C81"/>
    <w:rsid w:val="0099359A"/>
    <w:rsid w:val="009A3A16"/>
    <w:rsid w:val="009B5906"/>
    <w:rsid w:val="009D1288"/>
    <w:rsid w:val="009D1CD6"/>
    <w:rsid w:val="009D49AB"/>
    <w:rsid w:val="009E1261"/>
    <w:rsid w:val="009E454E"/>
    <w:rsid w:val="009E5B9D"/>
    <w:rsid w:val="009E62DE"/>
    <w:rsid w:val="009E6D06"/>
    <w:rsid w:val="009F10E2"/>
    <w:rsid w:val="00A1433E"/>
    <w:rsid w:val="00A156DF"/>
    <w:rsid w:val="00A21473"/>
    <w:rsid w:val="00A21DB6"/>
    <w:rsid w:val="00A350F6"/>
    <w:rsid w:val="00A4298E"/>
    <w:rsid w:val="00A44F7E"/>
    <w:rsid w:val="00A47713"/>
    <w:rsid w:val="00A50DC6"/>
    <w:rsid w:val="00A53F8E"/>
    <w:rsid w:val="00A67433"/>
    <w:rsid w:val="00A707F4"/>
    <w:rsid w:val="00A72245"/>
    <w:rsid w:val="00A737BE"/>
    <w:rsid w:val="00A84B50"/>
    <w:rsid w:val="00A85F62"/>
    <w:rsid w:val="00A860AC"/>
    <w:rsid w:val="00AA6A2F"/>
    <w:rsid w:val="00AB10B0"/>
    <w:rsid w:val="00AB2A46"/>
    <w:rsid w:val="00AB4F92"/>
    <w:rsid w:val="00AB6A20"/>
    <w:rsid w:val="00AB79D8"/>
    <w:rsid w:val="00AC1B01"/>
    <w:rsid w:val="00AC3D31"/>
    <w:rsid w:val="00AC7630"/>
    <w:rsid w:val="00AD4477"/>
    <w:rsid w:val="00AD7A5B"/>
    <w:rsid w:val="00AE2041"/>
    <w:rsid w:val="00AE573A"/>
    <w:rsid w:val="00AF5498"/>
    <w:rsid w:val="00AF7955"/>
    <w:rsid w:val="00B0295D"/>
    <w:rsid w:val="00B07D06"/>
    <w:rsid w:val="00B07E01"/>
    <w:rsid w:val="00B3262A"/>
    <w:rsid w:val="00B33CCE"/>
    <w:rsid w:val="00B3784F"/>
    <w:rsid w:val="00B607C6"/>
    <w:rsid w:val="00B62EB3"/>
    <w:rsid w:val="00B65630"/>
    <w:rsid w:val="00B67206"/>
    <w:rsid w:val="00B77222"/>
    <w:rsid w:val="00B822AA"/>
    <w:rsid w:val="00B82BBA"/>
    <w:rsid w:val="00B8345A"/>
    <w:rsid w:val="00B83DFB"/>
    <w:rsid w:val="00B8479A"/>
    <w:rsid w:val="00B91DD5"/>
    <w:rsid w:val="00B952E5"/>
    <w:rsid w:val="00BB15C8"/>
    <w:rsid w:val="00BB31C3"/>
    <w:rsid w:val="00BC4258"/>
    <w:rsid w:val="00BC633F"/>
    <w:rsid w:val="00BC675C"/>
    <w:rsid w:val="00BD75BF"/>
    <w:rsid w:val="00BD7D36"/>
    <w:rsid w:val="00BE2F26"/>
    <w:rsid w:val="00BE32EC"/>
    <w:rsid w:val="00BE4095"/>
    <w:rsid w:val="00BE4E51"/>
    <w:rsid w:val="00BE54D0"/>
    <w:rsid w:val="00BE5598"/>
    <w:rsid w:val="00BF03C4"/>
    <w:rsid w:val="00BF3D6A"/>
    <w:rsid w:val="00BF5C9B"/>
    <w:rsid w:val="00C02824"/>
    <w:rsid w:val="00C02B07"/>
    <w:rsid w:val="00C164FF"/>
    <w:rsid w:val="00C20110"/>
    <w:rsid w:val="00C26B82"/>
    <w:rsid w:val="00C30B6E"/>
    <w:rsid w:val="00C352CD"/>
    <w:rsid w:val="00C36B8B"/>
    <w:rsid w:val="00C37B80"/>
    <w:rsid w:val="00C4047D"/>
    <w:rsid w:val="00C4289C"/>
    <w:rsid w:val="00C43426"/>
    <w:rsid w:val="00C45E7C"/>
    <w:rsid w:val="00C478BA"/>
    <w:rsid w:val="00C51274"/>
    <w:rsid w:val="00C57F64"/>
    <w:rsid w:val="00C7108F"/>
    <w:rsid w:val="00C7228A"/>
    <w:rsid w:val="00C7273D"/>
    <w:rsid w:val="00C73CB7"/>
    <w:rsid w:val="00C75479"/>
    <w:rsid w:val="00C7567E"/>
    <w:rsid w:val="00C803BA"/>
    <w:rsid w:val="00C80433"/>
    <w:rsid w:val="00C86B5D"/>
    <w:rsid w:val="00C86E6D"/>
    <w:rsid w:val="00C90FE4"/>
    <w:rsid w:val="00C9485B"/>
    <w:rsid w:val="00CA6527"/>
    <w:rsid w:val="00CB0ABB"/>
    <w:rsid w:val="00CB1A41"/>
    <w:rsid w:val="00CB3C26"/>
    <w:rsid w:val="00CB473A"/>
    <w:rsid w:val="00CB54B3"/>
    <w:rsid w:val="00CC077C"/>
    <w:rsid w:val="00CC7272"/>
    <w:rsid w:val="00CC7ABE"/>
    <w:rsid w:val="00CD5C96"/>
    <w:rsid w:val="00CD6981"/>
    <w:rsid w:val="00CD7E29"/>
    <w:rsid w:val="00CE76BB"/>
    <w:rsid w:val="00CF52C1"/>
    <w:rsid w:val="00CF70CC"/>
    <w:rsid w:val="00D04570"/>
    <w:rsid w:val="00D04700"/>
    <w:rsid w:val="00D07151"/>
    <w:rsid w:val="00D1239A"/>
    <w:rsid w:val="00D12F08"/>
    <w:rsid w:val="00D15749"/>
    <w:rsid w:val="00D16182"/>
    <w:rsid w:val="00D23568"/>
    <w:rsid w:val="00D2558D"/>
    <w:rsid w:val="00D37369"/>
    <w:rsid w:val="00D373D8"/>
    <w:rsid w:val="00D46417"/>
    <w:rsid w:val="00D47F6F"/>
    <w:rsid w:val="00D50E9B"/>
    <w:rsid w:val="00D539AA"/>
    <w:rsid w:val="00D55B0A"/>
    <w:rsid w:val="00D66CFD"/>
    <w:rsid w:val="00D66D17"/>
    <w:rsid w:val="00D72070"/>
    <w:rsid w:val="00D907B4"/>
    <w:rsid w:val="00D9775B"/>
    <w:rsid w:val="00DA04A0"/>
    <w:rsid w:val="00DA635B"/>
    <w:rsid w:val="00DA6933"/>
    <w:rsid w:val="00DB04EB"/>
    <w:rsid w:val="00DB7A6C"/>
    <w:rsid w:val="00DC0112"/>
    <w:rsid w:val="00DC0DD4"/>
    <w:rsid w:val="00DC761B"/>
    <w:rsid w:val="00DD234F"/>
    <w:rsid w:val="00DE3F3D"/>
    <w:rsid w:val="00DF0348"/>
    <w:rsid w:val="00E01993"/>
    <w:rsid w:val="00E02814"/>
    <w:rsid w:val="00E07FDD"/>
    <w:rsid w:val="00E1638B"/>
    <w:rsid w:val="00E243FF"/>
    <w:rsid w:val="00E25BD3"/>
    <w:rsid w:val="00E31A34"/>
    <w:rsid w:val="00E354EF"/>
    <w:rsid w:val="00E3640F"/>
    <w:rsid w:val="00E36C63"/>
    <w:rsid w:val="00E3792D"/>
    <w:rsid w:val="00E37F74"/>
    <w:rsid w:val="00E46564"/>
    <w:rsid w:val="00E50966"/>
    <w:rsid w:val="00E51A00"/>
    <w:rsid w:val="00E522F4"/>
    <w:rsid w:val="00E54606"/>
    <w:rsid w:val="00E639B8"/>
    <w:rsid w:val="00E704DE"/>
    <w:rsid w:val="00E75DBA"/>
    <w:rsid w:val="00E76D7C"/>
    <w:rsid w:val="00E7792D"/>
    <w:rsid w:val="00E80B4A"/>
    <w:rsid w:val="00E84C44"/>
    <w:rsid w:val="00E92004"/>
    <w:rsid w:val="00EA0CBE"/>
    <w:rsid w:val="00EA2AC3"/>
    <w:rsid w:val="00EA51A2"/>
    <w:rsid w:val="00EA5438"/>
    <w:rsid w:val="00EB2113"/>
    <w:rsid w:val="00EC791A"/>
    <w:rsid w:val="00EE1D82"/>
    <w:rsid w:val="00EE4763"/>
    <w:rsid w:val="00EE5575"/>
    <w:rsid w:val="00EF13D6"/>
    <w:rsid w:val="00F03C45"/>
    <w:rsid w:val="00F043F2"/>
    <w:rsid w:val="00F11A17"/>
    <w:rsid w:val="00F15055"/>
    <w:rsid w:val="00F16F8D"/>
    <w:rsid w:val="00F20BF9"/>
    <w:rsid w:val="00F22C7E"/>
    <w:rsid w:val="00F36B01"/>
    <w:rsid w:val="00F501FC"/>
    <w:rsid w:val="00F53456"/>
    <w:rsid w:val="00F55A75"/>
    <w:rsid w:val="00F572BC"/>
    <w:rsid w:val="00F6430F"/>
    <w:rsid w:val="00F72E8F"/>
    <w:rsid w:val="00F74624"/>
    <w:rsid w:val="00F75204"/>
    <w:rsid w:val="00F80DF8"/>
    <w:rsid w:val="00F8165F"/>
    <w:rsid w:val="00F82419"/>
    <w:rsid w:val="00F92051"/>
    <w:rsid w:val="00F93142"/>
    <w:rsid w:val="00F93EEB"/>
    <w:rsid w:val="00F954B9"/>
    <w:rsid w:val="00F95DDA"/>
    <w:rsid w:val="00FA5BC8"/>
    <w:rsid w:val="00FE53E4"/>
    <w:rsid w:val="00FF4E8A"/>
    <w:rsid w:val="01A249C3"/>
    <w:rsid w:val="03D86289"/>
    <w:rsid w:val="048E122E"/>
    <w:rsid w:val="06E710CA"/>
    <w:rsid w:val="07A9273F"/>
    <w:rsid w:val="082C0603"/>
    <w:rsid w:val="08AF0B2B"/>
    <w:rsid w:val="09B0547D"/>
    <w:rsid w:val="09C32C91"/>
    <w:rsid w:val="0A242B44"/>
    <w:rsid w:val="0A64444D"/>
    <w:rsid w:val="0B154457"/>
    <w:rsid w:val="0B2621C1"/>
    <w:rsid w:val="0B725845"/>
    <w:rsid w:val="0C287B2A"/>
    <w:rsid w:val="0D0A7187"/>
    <w:rsid w:val="0D912594"/>
    <w:rsid w:val="0D935B07"/>
    <w:rsid w:val="0DD73B2E"/>
    <w:rsid w:val="0DF625B5"/>
    <w:rsid w:val="0DFD3E92"/>
    <w:rsid w:val="0E9B1118"/>
    <w:rsid w:val="0F0547E3"/>
    <w:rsid w:val="0F39391B"/>
    <w:rsid w:val="0F8021FE"/>
    <w:rsid w:val="0FB77790"/>
    <w:rsid w:val="104906FF"/>
    <w:rsid w:val="105B6CE8"/>
    <w:rsid w:val="10C23BC0"/>
    <w:rsid w:val="10FE15C8"/>
    <w:rsid w:val="1131601E"/>
    <w:rsid w:val="11B55F64"/>
    <w:rsid w:val="11BA02F0"/>
    <w:rsid w:val="123E24E6"/>
    <w:rsid w:val="13640AD6"/>
    <w:rsid w:val="13FD7798"/>
    <w:rsid w:val="14E061A2"/>
    <w:rsid w:val="157B5DCD"/>
    <w:rsid w:val="1585182D"/>
    <w:rsid w:val="16AE3C46"/>
    <w:rsid w:val="16FC471D"/>
    <w:rsid w:val="18B01C06"/>
    <w:rsid w:val="19856C4C"/>
    <w:rsid w:val="1A4D68BD"/>
    <w:rsid w:val="1AA17AB6"/>
    <w:rsid w:val="1B636B19"/>
    <w:rsid w:val="1B9273FE"/>
    <w:rsid w:val="1BD71243"/>
    <w:rsid w:val="1BDE2644"/>
    <w:rsid w:val="1C0F7089"/>
    <w:rsid w:val="1C2E1479"/>
    <w:rsid w:val="1D0E6F59"/>
    <w:rsid w:val="1DC75107"/>
    <w:rsid w:val="1E4075E6"/>
    <w:rsid w:val="1E480F24"/>
    <w:rsid w:val="1F1C54F5"/>
    <w:rsid w:val="214073EF"/>
    <w:rsid w:val="21ED7D2C"/>
    <w:rsid w:val="223236E9"/>
    <w:rsid w:val="22380440"/>
    <w:rsid w:val="2331077B"/>
    <w:rsid w:val="23971A56"/>
    <w:rsid w:val="23E206B7"/>
    <w:rsid w:val="26232D49"/>
    <w:rsid w:val="28EB2D30"/>
    <w:rsid w:val="2901270B"/>
    <w:rsid w:val="2A412A68"/>
    <w:rsid w:val="2AB27175"/>
    <w:rsid w:val="2B0C6F3A"/>
    <w:rsid w:val="2B5D3585"/>
    <w:rsid w:val="2B9306EE"/>
    <w:rsid w:val="2C1C4B55"/>
    <w:rsid w:val="2C8E70D0"/>
    <w:rsid w:val="2D1B3E35"/>
    <w:rsid w:val="2D1C2FCC"/>
    <w:rsid w:val="2D407BB4"/>
    <w:rsid w:val="2D411016"/>
    <w:rsid w:val="2D6C1676"/>
    <w:rsid w:val="30817D16"/>
    <w:rsid w:val="31124E12"/>
    <w:rsid w:val="312D1C4B"/>
    <w:rsid w:val="320F78B0"/>
    <w:rsid w:val="32677AFF"/>
    <w:rsid w:val="328C29A2"/>
    <w:rsid w:val="32A412FD"/>
    <w:rsid w:val="333472C1"/>
    <w:rsid w:val="344E34D3"/>
    <w:rsid w:val="345E3ECA"/>
    <w:rsid w:val="36132D9A"/>
    <w:rsid w:val="36177989"/>
    <w:rsid w:val="362A056A"/>
    <w:rsid w:val="37077F08"/>
    <w:rsid w:val="37BA2E7B"/>
    <w:rsid w:val="383876A3"/>
    <w:rsid w:val="38C912C4"/>
    <w:rsid w:val="38D8249D"/>
    <w:rsid w:val="3A5B2D2A"/>
    <w:rsid w:val="3C716C78"/>
    <w:rsid w:val="3C910430"/>
    <w:rsid w:val="3C984168"/>
    <w:rsid w:val="3C98754B"/>
    <w:rsid w:val="3CB5751C"/>
    <w:rsid w:val="3CC50D1B"/>
    <w:rsid w:val="3D136199"/>
    <w:rsid w:val="3DD80620"/>
    <w:rsid w:val="3DFE33E4"/>
    <w:rsid w:val="3F1F2E86"/>
    <w:rsid w:val="3F275F2C"/>
    <w:rsid w:val="3FC361AF"/>
    <w:rsid w:val="409749EB"/>
    <w:rsid w:val="4104731D"/>
    <w:rsid w:val="418670FF"/>
    <w:rsid w:val="42A04B03"/>
    <w:rsid w:val="434D1CD9"/>
    <w:rsid w:val="43610406"/>
    <w:rsid w:val="438C45B0"/>
    <w:rsid w:val="46016864"/>
    <w:rsid w:val="467C3821"/>
    <w:rsid w:val="46AB5977"/>
    <w:rsid w:val="46B43C28"/>
    <w:rsid w:val="47013507"/>
    <w:rsid w:val="478C0312"/>
    <w:rsid w:val="479427FD"/>
    <w:rsid w:val="482A6858"/>
    <w:rsid w:val="484E148D"/>
    <w:rsid w:val="498A06A3"/>
    <w:rsid w:val="49A95C3B"/>
    <w:rsid w:val="4A163063"/>
    <w:rsid w:val="4A347CC7"/>
    <w:rsid w:val="4B9B54C8"/>
    <w:rsid w:val="4BB71367"/>
    <w:rsid w:val="4BEA6D10"/>
    <w:rsid w:val="4CD82614"/>
    <w:rsid w:val="4D671BE9"/>
    <w:rsid w:val="4EA53DD6"/>
    <w:rsid w:val="4F6E572D"/>
    <w:rsid w:val="50501F54"/>
    <w:rsid w:val="506F5E8A"/>
    <w:rsid w:val="50A0169A"/>
    <w:rsid w:val="51C5558F"/>
    <w:rsid w:val="526C2374"/>
    <w:rsid w:val="5294522F"/>
    <w:rsid w:val="5395174F"/>
    <w:rsid w:val="53C51418"/>
    <w:rsid w:val="5429409D"/>
    <w:rsid w:val="5438608E"/>
    <w:rsid w:val="548E0C37"/>
    <w:rsid w:val="54B51D17"/>
    <w:rsid w:val="54E61FED"/>
    <w:rsid w:val="55254BBF"/>
    <w:rsid w:val="55CA25F6"/>
    <w:rsid w:val="56211F73"/>
    <w:rsid w:val="579932E7"/>
    <w:rsid w:val="5846521D"/>
    <w:rsid w:val="592F0018"/>
    <w:rsid w:val="5A56726E"/>
    <w:rsid w:val="5B5E564E"/>
    <w:rsid w:val="5B744020"/>
    <w:rsid w:val="5B8B557C"/>
    <w:rsid w:val="5C130D0F"/>
    <w:rsid w:val="5C3F025C"/>
    <w:rsid w:val="5C5D0D87"/>
    <w:rsid w:val="5CD47295"/>
    <w:rsid w:val="5DC60FED"/>
    <w:rsid w:val="5ECC48F0"/>
    <w:rsid w:val="5F85487D"/>
    <w:rsid w:val="5F954472"/>
    <w:rsid w:val="5FBF0671"/>
    <w:rsid w:val="5FFC0181"/>
    <w:rsid w:val="6067462D"/>
    <w:rsid w:val="60A30530"/>
    <w:rsid w:val="60B7311E"/>
    <w:rsid w:val="60FB0307"/>
    <w:rsid w:val="61461951"/>
    <w:rsid w:val="61681C4A"/>
    <w:rsid w:val="61A556D5"/>
    <w:rsid w:val="637C5F97"/>
    <w:rsid w:val="638C790B"/>
    <w:rsid w:val="64305294"/>
    <w:rsid w:val="64477849"/>
    <w:rsid w:val="647B3F47"/>
    <w:rsid w:val="650D3C56"/>
    <w:rsid w:val="654951DD"/>
    <w:rsid w:val="65E772EB"/>
    <w:rsid w:val="668379E2"/>
    <w:rsid w:val="66AA2128"/>
    <w:rsid w:val="66F23519"/>
    <w:rsid w:val="678A7D28"/>
    <w:rsid w:val="678E50F4"/>
    <w:rsid w:val="68733725"/>
    <w:rsid w:val="69580698"/>
    <w:rsid w:val="6A2D7FEB"/>
    <w:rsid w:val="6A85272E"/>
    <w:rsid w:val="6BB11900"/>
    <w:rsid w:val="6C761090"/>
    <w:rsid w:val="6D371181"/>
    <w:rsid w:val="6F274808"/>
    <w:rsid w:val="6F5C75B5"/>
    <w:rsid w:val="717007BD"/>
    <w:rsid w:val="71D53F0D"/>
    <w:rsid w:val="72DF4669"/>
    <w:rsid w:val="731335EB"/>
    <w:rsid w:val="73885616"/>
    <w:rsid w:val="73D92A6D"/>
    <w:rsid w:val="741A79D0"/>
    <w:rsid w:val="75FF0C10"/>
    <w:rsid w:val="76D027E1"/>
    <w:rsid w:val="774A5402"/>
    <w:rsid w:val="777515DD"/>
    <w:rsid w:val="77C70FE5"/>
    <w:rsid w:val="78836657"/>
    <w:rsid w:val="79666685"/>
    <w:rsid w:val="7A2F78F2"/>
    <w:rsid w:val="7AE30252"/>
    <w:rsid w:val="7B4670F3"/>
    <w:rsid w:val="7B56407B"/>
    <w:rsid w:val="7BA7652D"/>
    <w:rsid w:val="7CBF4C28"/>
    <w:rsid w:val="7D40412D"/>
    <w:rsid w:val="7D6A4C5A"/>
    <w:rsid w:val="7DD8226F"/>
    <w:rsid w:val="7E377960"/>
    <w:rsid w:val="7F761695"/>
    <w:rsid w:val="7FFB4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3"/>
    <w:autoRedefine/>
    <w:qFormat/>
    <w:uiPriority w:val="0"/>
    <w:pPr>
      <w:keepNext/>
      <w:keepLines/>
      <w:spacing w:before="260" w:after="260" w:line="416" w:lineRule="auto"/>
      <w:outlineLvl w:val="1"/>
    </w:pPr>
    <w:rPr>
      <w:rFonts w:ascii="Arial" w:hAnsi="Arial" w:eastAsia="黑体"/>
      <w:b/>
      <w:sz w:val="32"/>
    </w:rPr>
  </w:style>
  <w:style w:type="character" w:default="1" w:styleId="14">
    <w:name w:val="Default Paragraph Font"/>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semiHidden/>
    <w:qFormat/>
    <w:uiPriority w:val="0"/>
    <w:pPr>
      <w:ind w:firstLine="420"/>
    </w:pPr>
  </w:style>
  <w:style w:type="paragraph" w:styleId="4">
    <w:name w:val="annotation text"/>
    <w:basedOn w:val="1"/>
    <w:link w:val="20"/>
    <w:autoRedefine/>
    <w:semiHidden/>
    <w:unhideWhenUsed/>
    <w:qFormat/>
    <w:uiPriority w:val="99"/>
    <w:rPr>
      <w:sz w:val="20"/>
    </w:rPr>
  </w:style>
  <w:style w:type="paragraph" w:styleId="5">
    <w:name w:val="Body Text Indent"/>
    <w:basedOn w:val="1"/>
    <w:autoRedefine/>
    <w:semiHidden/>
    <w:qFormat/>
    <w:uiPriority w:val="0"/>
    <w:pPr>
      <w:spacing w:line="520" w:lineRule="exact"/>
      <w:ind w:firstLine="601"/>
    </w:pPr>
    <w:rPr>
      <w:rFonts w:ascii="仿宋_GB2312" w:eastAsia="仿宋_GB2312"/>
      <w:sz w:val="30"/>
      <w:szCs w:val="30"/>
    </w:rPr>
  </w:style>
  <w:style w:type="paragraph" w:styleId="6">
    <w:name w:val="Body Text Indent 2"/>
    <w:basedOn w:val="1"/>
    <w:autoRedefine/>
    <w:semiHidden/>
    <w:qFormat/>
    <w:uiPriority w:val="0"/>
    <w:pPr>
      <w:spacing w:after="120" w:line="460" w:lineRule="exact"/>
      <w:ind w:firstLine="525"/>
    </w:pPr>
    <w:rPr>
      <w:rFonts w:ascii="仿宋_GB2312" w:eastAsia="仿宋_GB2312"/>
      <w:sz w:val="28"/>
    </w:rPr>
  </w:style>
  <w:style w:type="paragraph" w:styleId="7">
    <w:name w:val="Balloon Text"/>
    <w:basedOn w:val="1"/>
    <w:link w:val="19"/>
    <w:autoRedefine/>
    <w:semiHidden/>
    <w:unhideWhenUsed/>
    <w:qFormat/>
    <w:uiPriority w:val="99"/>
    <w:rPr>
      <w:rFonts w:ascii="Segoe UI" w:hAnsi="Segoe UI"/>
      <w:sz w:val="18"/>
      <w:szCs w:val="18"/>
    </w:rPr>
  </w:style>
  <w:style w:type="paragraph" w:styleId="8">
    <w:name w:val="footer"/>
    <w:basedOn w:val="1"/>
    <w:link w:val="22"/>
    <w:autoRedefine/>
    <w:qFormat/>
    <w:uiPriority w:val="99"/>
    <w:pPr>
      <w:tabs>
        <w:tab w:val="center" w:pos="4153"/>
        <w:tab w:val="right" w:pos="8306"/>
      </w:tabs>
      <w:snapToGrid w:val="0"/>
      <w:jc w:val="left"/>
    </w:pPr>
    <w:rPr>
      <w:sz w:val="18"/>
      <w:szCs w:val="18"/>
    </w:rPr>
  </w:style>
  <w:style w:type="paragraph" w:styleId="9">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Body Text Indent 3"/>
    <w:basedOn w:val="1"/>
    <w:autoRedefine/>
    <w:semiHidden/>
    <w:qFormat/>
    <w:uiPriority w:val="0"/>
    <w:pPr>
      <w:spacing w:after="120" w:line="560" w:lineRule="exact"/>
      <w:ind w:firstLine="601"/>
    </w:pPr>
    <w:rPr>
      <w:rFonts w:ascii="仿宋_GB2312" w:eastAsia="仿宋_GB2312"/>
      <w:sz w:val="30"/>
    </w:rPr>
  </w:style>
  <w:style w:type="paragraph" w:styleId="11">
    <w:name w:val="annotation subject"/>
    <w:basedOn w:val="4"/>
    <w:next w:val="4"/>
    <w:link w:val="21"/>
    <w:autoRedefine/>
    <w:semiHidden/>
    <w:unhideWhenUsed/>
    <w:qFormat/>
    <w:uiPriority w:val="99"/>
    <w:rPr>
      <w:b/>
      <w:bCs/>
    </w:rPr>
  </w:style>
  <w:style w:type="table" w:styleId="13">
    <w:name w:val="Table Grid"/>
    <w:basedOn w:val="12"/>
    <w:autoRedefine/>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autoRedefine/>
    <w:semiHidden/>
    <w:qFormat/>
    <w:uiPriority w:val="0"/>
  </w:style>
  <w:style w:type="character" w:styleId="16">
    <w:name w:val="Hyperlink"/>
    <w:autoRedefine/>
    <w:semiHidden/>
    <w:qFormat/>
    <w:uiPriority w:val="0"/>
    <w:rPr>
      <w:color w:val="0000FF"/>
      <w:u w:val="single"/>
    </w:rPr>
  </w:style>
  <w:style w:type="character" w:styleId="17">
    <w:name w:val="annotation reference"/>
    <w:autoRedefine/>
    <w:semiHidden/>
    <w:unhideWhenUsed/>
    <w:qFormat/>
    <w:uiPriority w:val="99"/>
    <w:rPr>
      <w:sz w:val="16"/>
      <w:szCs w:val="16"/>
    </w:rPr>
  </w:style>
  <w:style w:type="character" w:customStyle="1" w:styleId="18">
    <w:name w:val="页眉 字符"/>
    <w:link w:val="9"/>
    <w:autoRedefine/>
    <w:qFormat/>
    <w:uiPriority w:val="99"/>
    <w:rPr>
      <w:kern w:val="2"/>
      <w:sz w:val="18"/>
      <w:szCs w:val="18"/>
    </w:rPr>
  </w:style>
  <w:style w:type="character" w:customStyle="1" w:styleId="19">
    <w:name w:val="批注框文本 字符"/>
    <w:link w:val="7"/>
    <w:autoRedefine/>
    <w:semiHidden/>
    <w:qFormat/>
    <w:uiPriority w:val="99"/>
    <w:rPr>
      <w:rFonts w:ascii="Segoe UI" w:hAnsi="Segoe UI" w:cs="Segoe UI"/>
      <w:kern w:val="2"/>
      <w:sz w:val="18"/>
      <w:szCs w:val="18"/>
    </w:rPr>
  </w:style>
  <w:style w:type="character" w:customStyle="1" w:styleId="20">
    <w:name w:val="批注文字 字符"/>
    <w:link w:val="4"/>
    <w:autoRedefine/>
    <w:semiHidden/>
    <w:qFormat/>
    <w:uiPriority w:val="99"/>
    <w:rPr>
      <w:kern w:val="2"/>
    </w:rPr>
  </w:style>
  <w:style w:type="character" w:customStyle="1" w:styleId="21">
    <w:name w:val="批注主题 字符"/>
    <w:link w:val="11"/>
    <w:autoRedefine/>
    <w:semiHidden/>
    <w:qFormat/>
    <w:uiPriority w:val="99"/>
    <w:rPr>
      <w:b/>
      <w:bCs/>
      <w:kern w:val="2"/>
    </w:rPr>
  </w:style>
  <w:style w:type="character" w:customStyle="1" w:styleId="22">
    <w:name w:val="页脚 字符"/>
    <w:basedOn w:val="14"/>
    <w:link w:val="8"/>
    <w:autoRedefine/>
    <w:qFormat/>
    <w:uiPriority w:val="99"/>
    <w:rPr>
      <w:kern w:val="2"/>
      <w:sz w:val="18"/>
      <w:szCs w:val="18"/>
    </w:rPr>
  </w:style>
  <w:style w:type="paragraph" w:styleId="23">
    <w:name w:val="List Paragraph"/>
    <w:basedOn w:val="1"/>
    <w:autoRedefine/>
    <w:qFormat/>
    <w:uiPriority w:val="34"/>
    <w:pPr>
      <w:ind w:firstLine="420" w:firstLineChars="200"/>
    </w:pPr>
  </w:style>
  <w:style w:type="paragraph" w:customStyle="1" w:styleId="24">
    <w:name w:val="修订1"/>
    <w:autoRedefine/>
    <w:hidden/>
    <w:semiHidden/>
    <w:qFormat/>
    <w:uiPriority w:val="99"/>
    <w:rPr>
      <w:rFonts w:ascii="Times New Roman" w:hAnsi="Times New Roman" w:eastAsia="宋体" w:cs="Times New Roman"/>
      <w:kern w:val="2"/>
      <w:sz w:val="21"/>
      <w:lang w:val="en-US" w:eastAsia="zh-CN" w:bidi="ar-SA"/>
    </w:rPr>
  </w:style>
  <w:style w:type="table" w:customStyle="1" w:styleId="25">
    <w:name w:val="网格型2"/>
    <w:basedOn w:val="12"/>
    <w:autoRedefine/>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AD5D3-1530-44A6-A3B3-5FAF1F5B6A82}">
  <ds:schemaRefs/>
</ds:datastoreItem>
</file>

<file path=docProps/app.xml><?xml version="1.0" encoding="utf-8"?>
<Properties xmlns="http://schemas.openxmlformats.org/officeDocument/2006/extended-properties" xmlns:vt="http://schemas.openxmlformats.org/officeDocument/2006/docPropsVTypes">
  <Template>Normal.dotm</Template>
  <Pages>9</Pages>
  <Words>4870</Words>
  <Characters>5950</Characters>
  <Lines>49</Lines>
  <Paragraphs>14</Paragraphs>
  <TotalTime>50</TotalTime>
  <ScaleCrop>false</ScaleCrop>
  <LinksUpToDate>false</LinksUpToDate>
  <CharactersWithSpaces>5987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2022-04-13T00:52:00Z</dcterms:created>
  <dc:creator>刘红</dc:creator>
  <cp:lastModifiedBy>匿名</cp:lastModifiedBy>
  <cp:lastPrinted>2023-04-10T01:52:00Z</cp:lastPrinted>
  <dcterms:modified xsi:type="dcterms:W3CDTF">2025-06-17T02:28:44Z</dcterms:modified>
  <dc:title>中国中信集团公司</dc:title>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B301DD3111634909A320FBC11C994430_13</vt:lpwstr>
  </property>
  <property fmtid="{D5CDD505-2E9C-101B-9397-08002B2CF9AE}" pid="4" name="KSOTemplateDocerSaveRecord">
    <vt:lpwstr>eyJoZGlkIjoiZjM1NTYxMjA3Mzk2NjhlNTZkMzNmNjg2MjM0M2I1NDIiLCJ1c2VySWQiOiIyNDg3MTg3MjcifQ==</vt:lpwstr>
  </property>
</Properties>
</file>