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44A77A" w14:textId="12643D73" w:rsidR="00297C08" w:rsidRDefault="003D555D">
      <w:pPr>
        <w:pStyle w:val="4"/>
        <w:rPr>
          <w:rFonts w:ascii="仿宋" w:eastAsia="仿宋" w:hAnsi="仿宋" w:cs="仿宋"/>
        </w:rPr>
      </w:pPr>
      <w:r>
        <w:rPr>
          <w:rFonts w:ascii="仿宋" w:eastAsia="仿宋" w:hAnsi="仿宋" w:cs="仿宋" w:hint="eastAsia"/>
        </w:rPr>
        <w:t>1、</w:t>
      </w:r>
    </w:p>
    <w:p w14:paraId="56D9AF30" w14:textId="77777777" w:rsidR="00297C08" w:rsidRDefault="00297C08">
      <w:pPr>
        <w:spacing w:line="360" w:lineRule="auto"/>
        <w:ind w:right="-290" w:firstLine="560"/>
        <w:rPr>
          <w:rFonts w:ascii="仿宋" w:eastAsia="仿宋" w:hAnsi="仿宋" w:cs="仿宋"/>
          <w:b/>
          <w:sz w:val="28"/>
          <w:szCs w:val="28"/>
        </w:rPr>
      </w:pPr>
    </w:p>
    <w:p w14:paraId="7822A34B" w14:textId="77777777" w:rsidR="00297C08" w:rsidRDefault="00297C08">
      <w:pPr>
        <w:spacing w:line="360" w:lineRule="auto"/>
        <w:ind w:right="-290" w:firstLine="560"/>
        <w:rPr>
          <w:rFonts w:ascii="仿宋" w:eastAsia="仿宋" w:hAnsi="仿宋" w:cs="仿宋"/>
        </w:rPr>
      </w:pPr>
    </w:p>
    <w:p w14:paraId="63DF72CC" w14:textId="77777777" w:rsidR="00297C08" w:rsidRDefault="00297C08">
      <w:pPr>
        <w:spacing w:line="360" w:lineRule="auto"/>
        <w:ind w:firstLine="560"/>
        <w:rPr>
          <w:rFonts w:ascii="仿宋" w:eastAsia="仿宋" w:hAnsi="仿宋" w:cs="仿宋"/>
        </w:rPr>
      </w:pPr>
    </w:p>
    <w:p w14:paraId="0E43F45F" w14:textId="77777777" w:rsidR="00297C08" w:rsidRDefault="00297C08">
      <w:pPr>
        <w:spacing w:line="360" w:lineRule="auto"/>
        <w:ind w:firstLine="142"/>
        <w:jc w:val="center"/>
        <w:rPr>
          <w:rFonts w:ascii="仿宋" w:eastAsia="仿宋" w:hAnsi="仿宋" w:cs="仿宋"/>
          <w:sz w:val="44"/>
          <w:szCs w:val="44"/>
        </w:rPr>
      </w:pPr>
    </w:p>
    <w:p w14:paraId="6002A871" w14:textId="22124E8F" w:rsidR="00297C08" w:rsidRDefault="00136885">
      <w:pPr>
        <w:jc w:val="center"/>
        <w:rPr>
          <w:rFonts w:ascii="方正小标宋简体" w:eastAsia="方正小标宋简体" w:hAnsi="Arial" w:cs="Arial"/>
          <w:b/>
          <w:sz w:val="44"/>
          <w:szCs w:val="44"/>
        </w:rPr>
      </w:pPr>
      <w:r>
        <w:rPr>
          <w:rFonts w:ascii="方正小标宋简体" w:eastAsia="方正小标宋简体" w:hAnsi="Arial" w:cs="Arial" w:hint="eastAsia"/>
          <w:b/>
          <w:sz w:val="44"/>
          <w:szCs w:val="44"/>
        </w:rPr>
        <w:t>关于</w:t>
      </w:r>
      <w:r w:rsidR="00910DC3">
        <w:rPr>
          <w:rFonts w:ascii="方正小标宋简体" w:eastAsia="方正小标宋简体" w:hAnsi="Arial" w:cs="Arial" w:hint="eastAsia"/>
          <w:b/>
          <w:sz w:val="44"/>
          <w:szCs w:val="44"/>
        </w:rPr>
        <w:t>摘牌</w:t>
      </w:r>
      <w:bookmarkStart w:id="0" w:name="OLE_LINK1"/>
      <w:bookmarkStart w:id="1" w:name="OLE_LINK2"/>
      <w:r w:rsidR="00910DC3">
        <w:rPr>
          <w:rFonts w:ascii="方正小标宋简体" w:eastAsia="方正小标宋简体" w:hAnsi="Arial" w:cs="Arial" w:hint="eastAsia"/>
          <w:b/>
          <w:sz w:val="44"/>
          <w:szCs w:val="44"/>
        </w:rPr>
        <w:t>霍尔果斯</w:t>
      </w:r>
      <w:r w:rsidRPr="00136885">
        <w:rPr>
          <w:rFonts w:ascii="方正小标宋简体" w:eastAsia="方正小标宋简体" w:hAnsi="Arial" w:cs="Arial"/>
          <w:b/>
          <w:sz w:val="44"/>
          <w:szCs w:val="44"/>
        </w:rPr>
        <w:t>边民互市</w:t>
      </w:r>
      <w:r w:rsidR="00910DC3">
        <w:rPr>
          <w:rFonts w:ascii="方正小标宋简体" w:eastAsia="方正小标宋简体" w:hAnsi="Arial" w:cs="Arial" w:hint="eastAsia"/>
          <w:b/>
          <w:sz w:val="44"/>
          <w:szCs w:val="44"/>
        </w:rPr>
        <w:t>区运营有限公司</w:t>
      </w:r>
      <w:bookmarkEnd w:id="0"/>
      <w:bookmarkEnd w:id="1"/>
      <w:r w:rsidR="00910DC3">
        <w:rPr>
          <w:rFonts w:ascii="方正小标宋简体" w:eastAsia="方正小标宋简体" w:hAnsi="Arial" w:cs="Arial" w:hint="eastAsia"/>
          <w:b/>
          <w:sz w:val="44"/>
          <w:szCs w:val="44"/>
        </w:rPr>
        <w:t>股权的</w:t>
      </w:r>
    </w:p>
    <w:p w14:paraId="6104DF46" w14:textId="77777777" w:rsidR="00297C08" w:rsidRDefault="00297C08">
      <w:pPr>
        <w:jc w:val="center"/>
        <w:rPr>
          <w:rFonts w:ascii="方正小标宋简体" w:eastAsia="方正小标宋简体" w:hAnsi="Arial" w:cs="Arial"/>
          <w:b/>
          <w:sz w:val="44"/>
          <w:szCs w:val="44"/>
        </w:rPr>
      </w:pPr>
    </w:p>
    <w:p w14:paraId="12F673AC" w14:textId="77777777" w:rsidR="00297C08" w:rsidRDefault="00297C08">
      <w:pPr>
        <w:jc w:val="center"/>
        <w:rPr>
          <w:b/>
          <w:sz w:val="48"/>
          <w:szCs w:val="48"/>
        </w:rPr>
      </w:pPr>
    </w:p>
    <w:p w14:paraId="13C04EE6" w14:textId="77777777" w:rsidR="00297C08" w:rsidRDefault="00DC6CB7">
      <w:pPr>
        <w:jc w:val="center"/>
        <w:rPr>
          <w:rFonts w:ascii="方正小标宋简体" w:eastAsia="方正小标宋简体" w:hAnsi="Arial" w:cs="Arial"/>
          <w:b/>
          <w:sz w:val="44"/>
          <w:szCs w:val="44"/>
        </w:rPr>
      </w:pPr>
      <w:r>
        <w:rPr>
          <w:rFonts w:ascii="方正小标宋简体" w:eastAsia="方正小标宋简体" w:hAnsi="Arial" w:cs="Arial" w:hint="eastAsia"/>
          <w:b/>
          <w:sz w:val="44"/>
          <w:szCs w:val="44"/>
        </w:rPr>
        <w:t>可行性研究报告</w:t>
      </w:r>
    </w:p>
    <w:p w14:paraId="539F96FC" w14:textId="77777777" w:rsidR="00297C08" w:rsidRDefault="00297C08">
      <w:pPr>
        <w:spacing w:after="156"/>
        <w:ind w:firstLine="420"/>
        <w:rPr>
          <w:rFonts w:ascii="Arial" w:eastAsia="楷体_GB2312" w:hAnsi="Arial" w:cs="Arial"/>
        </w:rPr>
      </w:pPr>
    </w:p>
    <w:p w14:paraId="2C701BB0" w14:textId="77777777" w:rsidR="00297C08" w:rsidRDefault="00297C08">
      <w:pPr>
        <w:spacing w:after="156"/>
        <w:ind w:firstLine="420"/>
        <w:rPr>
          <w:rFonts w:ascii="Arial" w:eastAsia="楷体_GB2312" w:hAnsi="Arial" w:cs="Arial"/>
        </w:rPr>
      </w:pPr>
    </w:p>
    <w:p w14:paraId="63E2F61E" w14:textId="77777777" w:rsidR="00297C08" w:rsidRDefault="00297C08">
      <w:pPr>
        <w:spacing w:after="156"/>
        <w:ind w:firstLine="420"/>
        <w:rPr>
          <w:rFonts w:ascii="Arial" w:eastAsia="楷体_GB2312" w:hAnsi="Arial" w:cs="Arial"/>
        </w:rPr>
      </w:pPr>
    </w:p>
    <w:p w14:paraId="1508CC2B" w14:textId="77777777" w:rsidR="00297C08" w:rsidRDefault="00297C08">
      <w:pPr>
        <w:spacing w:after="156"/>
        <w:ind w:firstLine="420"/>
        <w:rPr>
          <w:rFonts w:ascii="Arial" w:eastAsia="楷体_GB2312" w:hAnsi="Arial" w:cs="Arial"/>
        </w:rPr>
      </w:pPr>
    </w:p>
    <w:p w14:paraId="0D8D5D59" w14:textId="77777777" w:rsidR="00297C08" w:rsidRDefault="00297C08">
      <w:pPr>
        <w:spacing w:after="156"/>
        <w:ind w:firstLine="420"/>
        <w:rPr>
          <w:rFonts w:ascii="Arial" w:eastAsia="楷体_GB2312" w:hAnsi="Arial" w:cs="Arial"/>
        </w:rPr>
      </w:pPr>
    </w:p>
    <w:p w14:paraId="0342DD01" w14:textId="77777777" w:rsidR="00297C08" w:rsidRDefault="00297C08">
      <w:pPr>
        <w:spacing w:after="156"/>
        <w:ind w:firstLine="420"/>
        <w:rPr>
          <w:rFonts w:ascii="Arial" w:eastAsia="楷体_GB2312" w:hAnsi="Arial" w:cs="Arial"/>
        </w:rPr>
      </w:pPr>
    </w:p>
    <w:p w14:paraId="37250F49" w14:textId="77777777" w:rsidR="00297C08" w:rsidRDefault="00297C08">
      <w:pPr>
        <w:spacing w:after="156"/>
        <w:ind w:firstLine="420"/>
        <w:rPr>
          <w:rFonts w:ascii="Arial" w:eastAsia="楷体_GB2312" w:hAnsi="Arial" w:cs="Arial"/>
        </w:rPr>
      </w:pPr>
    </w:p>
    <w:p w14:paraId="23C82589" w14:textId="77777777" w:rsidR="00297C08" w:rsidRDefault="00297C08">
      <w:pPr>
        <w:spacing w:after="156"/>
        <w:ind w:firstLine="420"/>
        <w:rPr>
          <w:rFonts w:ascii="Arial" w:eastAsia="楷体_GB2312" w:hAnsi="Arial" w:cs="Arial"/>
        </w:rPr>
      </w:pPr>
    </w:p>
    <w:p w14:paraId="5054C439" w14:textId="77777777" w:rsidR="00297C08" w:rsidRDefault="00297C08">
      <w:pPr>
        <w:spacing w:after="156"/>
        <w:ind w:firstLine="420"/>
        <w:rPr>
          <w:rFonts w:ascii="Arial" w:eastAsia="楷体_GB2312" w:hAnsi="Arial" w:cs="Arial"/>
        </w:rPr>
      </w:pPr>
    </w:p>
    <w:p w14:paraId="5EF8952C" w14:textId="77777777" w:rsidR="00297C08" w:rsidRDefault="00297C08" w:rsidP="00136885">
      <w:pPr>
        <w:spacing w:after="156"/>
        <w:rPr>
          <w:rFonts w:ascii="Arial" w:eastAsia="楷体_GB2312" w:hAnsi="Arial" w:cs="Arial"/>
        </w:rPr>
      </w:pPr>
    </w:p>
    <w:p w14:paraId="017FAA5B" w14:textId="6B70F39D" w:rsidR="00297C08" w:rsidRDefault="00DC6CB7">
      <w:pPr>
        <w:spacing w:after="156"/>
        <w:ind w:firstLine="643"/>
        <w:jc w:val="center"/>
        <w:rPr>
          <w:rFonts w:ascii="方正小标宋简体" w:eastAsia="方正小标宋简体" w:hAnsi="Arial" w:cs="Arial"/>
          <w:b/>
          <w:sz w:val="32"/>
          <w:szCs w:val="32"/>
        </w:rPr>
      </w:pPr>
      <w:r>
        <w:rPr>
          <w:rFonts w:ascii="方正小标宋简体" w:eastAsia="方正小标宋简体" w:hAnsi="Arial" w:cs="Arial" w:hint="eastAsia"/>
          <w:b/>
          <w:sz w:val="32"/>
          <w:szCs w:val="32"/>
        </w:rPr>
        <w:t>二</w:t>
      </w:r>
      <w:r>
        <w:rPr>
          <w:rFonts w:ascii="宋体" w:hAnsi="宋体" w:cs="宋体" w:hint="eastAsia"/>
          <w:b/>
          <w:sz w:val="32"/>
          <w:szCs w:val="32"/>
        </w:rPr>
        <w:t>〇</w:t>
      </w:r>
      <w:r>
        <w:rPr>
          <w:rFonts w:ascii="方正小标宋简体" w:eastAsia="方正小标宋简体" w:hAnsi="Arial" w:cs="Arial" w:hint="eastAsia"/>
          <w:b/>
          <w:sz w:val="32"/>
          <w:szCs w:val="32"/>
        </w:rPr>
        <w:t>二</w:t>
      </w:r>
      <w:r w:rsidR="00A75AAD">
        <w:rPr>
          <w:rFonts w:ascii="方正小标宋简体" w:eastAsia="方正小标宋简体" w:hAnsi="Arial" w:cs="Arial" w:hint="eastAsia"/>
          <w:b/>
          <w:sz w:val="32"/>
          <w:szCs w:val="32"/>
        </w:rPr>
        <w:t>五</w:t>
      </w:r>
      <w:r>
        <w:rPr>
          <w:rFonts w:ascii="方正小标宋简体" w:eastAsia="方正小标宋简体" w:hAnsi="Arial" w:cs="Arial" w:hint="eastAsia"/>
          <w:b/>
          <w:sz w:val="32"/>
          <w:szCs w:val="32"/>
        </w:rPr>
        <w:t>年</w:t>
      </w:r>
      <w:r w:rsidR="00A75AAD">
        <w:rPr>
          <w:rFonts w:ascii="方正小标宋简体" w:eastAsia="方正小标宋简体" w:hAnsi="Arial" w:cs="Arial" w:hint="eastAsia"/>
          <w:b/>
          <w:sz w:val="32"/>
          <w:szCs w:val="32"/>
        </w:rPr>
        <w:t>十二</w:t>
      </w:r>
      <w:r>
        <w:rPr>
          <w:rFonts w:ascii="方正小标宋简体" w:eastAsia="方正小标宋简体" w:hAnsi="Arial" w:cs="Arial" w:hint="eastAsia"/>
          <w:b/>
          <w:sz w:val="32"/>
          <w:szCs w:val="32"/>
        </w:rPr>
        <w:t>月</w:t>
      </w:r>
    </w:p>
    <w:p w14:paraId="19B711B8" w14:textId="77777777" w:rsidR="00297C08" w:rsidRPr="00136885" w:rsidRDefault="00297C08">
      <w:pPr>
        <w:rPr>
          <w:rFonts w:asciiTheme="minorEastAsia" w:eastAsia="等线" w:hAnsiTheme="minorEastAsia"/>
          <w:sz w:val="24"/>
          <w:szCs w:val="24"/>
        </w:rPr>
      </w:pPr>
    </w:p>
    <w:p w14:paraId="7760F247" w14:textId="77777777" w:rsidR="00297C08" w:rsidRDefault="00DC6CB7">
      <w:pPr>
        <w:rPr>
          <w:rFonts w:ascii="仿宋" w:eastAsia="仿宋" w:hAnsi="仿宋"/>
          <w:b/>
          <w:sz w:val="28"/>
          <w:szCs w:val="28"/>
        </w:rPr>
      </w:pPr>
      <w:r>
        <w:rPr>
          <w:rFonts w:ascii="仿宋" w:eastAsia="仿宋" w:hAnsi="仿宋"/>
          <w:b/>
          <w:sz w:val="28"/>
          <w:szCs w:val="28"/>
        </w:rPr>
        <w:lastRenderedPageBreak/>
        <w:t>1</w:t>
      </w:r>
      <w:r>
        <w:rPr>
          <w:rFonts w:ascii="仿宋" w:eastAsia="仿宋" w:hAnsi="仿宋" w:hint="eastAsia"/>
          <w:b/>
          <w:sz w:val="28"/>
          <w:szCs w:val="28"/>
        </w:rPr>
        <w:t>.</w:t>
      </w:r>
      <w:r>
        <w:rPr>
          <w:rFonts w:ascii="仿宋" w:eastAsia="仿宋" w:hAnsi="仿宋"/>
          <w:b/>
          <w:sz w:val="28"/>
          <w:szCs w:val="28"/>
        </w:rPr>
        <w:t>项目</w:t>
      </w:r>
      <w:r>
        <w:rPr>
          <w:rFonts w:ascii="仿宋" w:eastAsia="仿宋" w:hAnsi="仿宋" w:hint="eastAsia"/>
          <w:b/>
          <w:sz w:val="28"/>
          <w:szCs w:val="28"/>
        </w:rPr>
        <w:t>成立</w:t>
      </w:r>
      <w:r>
        <w:rPr>
          <w:rFonts w:ascii="仿宋" w:eastAsia="仿宋" w:hAnsi="仿宋"/>
          <w:b/>
          <w:sz w:val="28"/>
          <w:szCs w:val="28"/>
        </w:rPr>
        <w:t>背景</w:t>
      </w:r>
    </w:p>
    <w:p w14:paraId="5D3B806F" w14:textId="77777777" w:rsidR="00297C08" w:rsidRDefault="00DC6CB7">
      <w:pPr>
        <w:rPr>
          <w:rFonts w:ascii="仿宋" w:eastAsia="仿宋" w:hAnsi="仿宋"/>
          <w:b/>
          <w:sz w:val="28"/>
          <w:szCs w:val="28"/>
        </w:rPr>
      </w:pPr>
      <w:r>
        <w:rPr>
          <w:rFonts w:ascii="仿宋" w:eastAsia="仿宋" w:hAnsi="仿宋" w:hint="eastAsia"/>
          <w:b/>
          <w:sz w:val="28"/>
          <w:szCs w:val="28"/>
        </w:rPr>
        <w:t>1</w:t>
      </w:r>
      <w:r>
        <w:rPr>
          <w:rFonts w:ascii="仿宋" w:eastAsia="仿宋" w:hAnsi="仿宋"/>
          <w:b/>
          <w:sz w:val="28"/>
          <w:szCs w:val="28"/>
        </w:rPr>
        <w:t>.1</w:t>
      </w:r>
      <w:r>
        <w:rPr>
          <w:rFonts w:ascii="仿宋" w:eastAsia="仿宋" w:hAnsi="仿宋" w:hint="eastAsia"/>
          <w:b/>
          <w:sz w:val="28"/>
          <w:szCs w:val="28"/>
        </w:rPr>
        <w:t>边民互市简介</w:t>
      </w:r>
    </w:p>
    <w:p w14:paraId="4EBAF8DE" w14:textId="65536ACF" w:rsidR="00A42000" w:rsidRDefault="00A42000">
      <w:pPr>
        <w:ind w:firstLine="560"/>
        <w:rPr>
          <w:rFonts w:ascii="仿宋" w:eastAsia="仿宋" w:hAnsi="仿宋"/>
          <w:sz w:val="28"/>
          <w:szCs w:val="28"/>
        </w:rPr>
      </w:pPr>
      <w:r w:rsidRPr="00A42000">
        <w:rPr>
          <w:rFonts w:ascii="仿宋" w:eastAsia="仿宋" w:hAnsi="仿宋" w:hint="eastAsia"/>
          <w:sz w:val="28"/>
          <w:szCs w:val="28"/>
        </w:rPr>
        <w:t>边民互市指的是边民互市贸易，是指边境地区边民在我国陆路边境二十公里以内，经政府批准的开放点或指定的集市上、在不超过规定的金额或数量范围内边境两地当地居民进行商品交换活动地点，海关对其采取限额和限量的办法进行</w:t>
      </w:r>
      <w:r w:rsidR="00DD1843">
        <w:rPr>
          <w:rFonts w:ascii="仿宋" w:eastAsia="仿宋" w:hAnsi="仿宋" w:hint="eastAsia"/>
          <w:sz w:val="28"/>
          <w:szCs w:val="28"/>
        </w:rPr>
        <w:t>管理</w:t>
      </w:r>
      <w:r w:rsidRPr="00A42000">
        <w:rPr>
          <w:rFonts w:ascii="仿宋" w:eastAsia="仿宋" w:hAnsi="仿宋" w:hint="eastAsia"/>
          <w:sz w:val="28"/>
          <w:szCs w:val="28"/>
        </w:rPr>
        <w:t>。边民互市可看作是取代了部分海关功能的“海关”，边民每人每天可购买</w:t>
      </w:r>
      <w:r w:rsidRPr="00A42000">
        <w:rPr>
          <w:rFonts w:ascii="仿宋" w:eastAsia="仿宋" w:hAnsi="仿宋"/>
          <w:sz w:val="28"/>
          <w:szCs w:val="28"/>
        </w:rPr>
        <w:t>8000元以内的进口货品，</w:t>
      </w:r>
      <w:r>
        <w:rPr>
          <w:rFonts w:ascii="仿宋" w:eastAsia="仿宋" w:hAnsi="仿宋" w:hint="eastAsia"/>
          <w:sz w:val="28"/>
          <w:szCs w:val="28"/>
        </w:rPr>
        <w:t>以</w:t>
      </w:r>
      <w:r w:rsidR="00C41293">
        <w:rPr>
          <w:rFonts w:ascii="仿宋" w:eastAsia="仿宋" w:hAnsi="仿宋" w:hint="eastAsia"/>
          <w:sz w:val="28"/>
          <w:szCs w:val="28"/>
        </w:rPr>
        <w:t>李子干</w:t>
      </w:r>
      <w:r>
        <w:rPr>
          <w:rFonts w:ascii="仿宋" w:eastAsia="仿宋" w:hAnsi="仿宋" w:hint="eastAsia"/>
          <w:sz w:val="28"/>
          <w:szCs w:val="28"/>
        </w:rPr>
        <w:t>为例，冻肉</w:t>
      </w:r>
      <w:r w:rsidRPr="00A42000">
        <w:rPr>
          <w:rFonts w:ascii="仿宋" w:eastAsia="仿宋" w:hAnsi="仿宋"/>
          <w:sz w:val="28"/>
          <w:szCs w:val="28"/>
        </w:rPr>
        <w:t>从边民互市通过需向边民互市公司交</w:t>
      </w:r>
      <w:r w:rsidR="00C41293">
        <w:rPr>
          <w:rFonts w:ascii="仿宋" w:eastAsia="仿宋" w:hAnsi="仿宋" w:hint="eastAsia"/>
          <w:sz w:val="28"/>
          <w:szCs w:val="28"/>
        </w:rPr>
        <w:t>4.06</w:t>
      </w:r>
      <w:r w:rsidRPr="00A42000">
        <w:rPr>
          <w:rFonts w:ascii="仿宋" w:eastAsia="仿宋" w:hAnsi="仿宋"/>
          <w:sz w:val="28"/>
          <w:szCs w:val="28"/>
        </w:rPr>
        <w:t>%服务费，但可免交2</w:t>
      </w:r>
      <w:r w:rsidR="00C41293">
        <w:rPr>
          <w:rFonts w:ascii="仿宋" w:eastAsia="仿宋" w:hAnsi="仿宋" w:hint="eastAsia"/>
          <w:sz w:val="28"/>
          <w:szCs w:val="28"/>
        </w:rPr>
        <w:t>5</w:t>
      </w:r>
      <w:r w:rsidRPr="00A42000">
        <w:rPr>
          <w:rFonts w:ascii="仿宋" w:eastAsia="仿宋" w:hAnsi="仿宋"/>
          <w:sz w:val="28"/>
          <w:szCs w:val="28"/>
        </w:rPr>
        <w:t>%关税与</w:t>
      </w:r>
      <w:r w:rsidR="00C41293">
        <w:rPr>
          <w:rFonts w:ascii="仿宋" w:eastAsia="仿宋" w:hAnsi="仿宋" w:hint="eastAsia"/>
          <w:sz w:val="28"/>
          <w:szCs w:val="28"/>
        </w:rPr>
        <w:t>9%</w:t>
      </w:r>
      <w:r w:rsidRPr="00A42000">
        <w:rPr>
          <w:rFonts w:ascii="仿宋" w:eastAsia="仿宋" w:hAnsi="仿宋"/>
          <w:sz w:val="28"/>
          <w:szCs w:val="28"/>
        </w:rPr>
        <w:t>增值税，即减免关税增值税</w:t>
      </w:r>
      <w:r w:rsidR="00C41293">
        <w:rPr>
          <w:rFonts w:ascii="仿宋" w:eastAsia="仿宋" w:hAnsi="仿宋" w:hint="eastAsia"/>
          <w:sz w:val="28"/>
          <w:szCs w:val="28"/>
        </w:rPr>
        <w:t>32</w:t>
      </w:r>
      <w:r w:rsidRPr="00A42000">
        <w:rPr>
          <w:rFonts w:ascii="仿宋" w:eastAsia="仿宋" w:hAnsi="仿宋"/>
          <w:sz w:val="28"/>
          <w:szCs w:val="28"/>
        </w:rPr>
        <w:t>%。</w:t>
      </w:r>
    </w:p>
    <w:p w14:paraId="75EA2E9E" w14:textId="11EB3EAF" w:rsidR="00A42000" w:rsidRDefault="00A42000">
      <w:pPr>
        <w:ind w:firstLine="560"/>
        <w:rPr>
          <w:rFonts w:ascii="仿宋" w:eastAsia="仿宋" w:hAnsi="仿宋"/>
          <w:sz w:val="28"/>
          <w:szCs w:val="28"/>
        </w:rPr>
      </w:pPr>
      <w:r w:rsidRPr="002C72FB">
        <w:rPr>
          <w:rFonts w:ascii="仿宋" w:eastAsia="仿宋" w:hAnsi="仿宋"/>
          <w:sz w:val="28"/>
          <w:szCs w:val="28"/>
        </w:rPr>
        <w:t>本项目位于</w:t>
      </w:r>
      <w:r w:rsidR="00526B08">
        <w:rPr>
          <w:rFonts w:ascii="仿宋" w:eastAsia="仿宋" w:hAnsi="仿宋" w:hint="eastAsia"/>
          <w:sz w:val="28"/>
          <w:szCs w:val="28"/>
        </w:rPr>
        <w:t>霍尔果斯中哈边境</w:t>
      </w:r>
      <w:r w:rsidRPr="002C72FB">
        <w:rPr>
          <w:rFonts w:ascii="仿宋" w:eastAsia="仿宋" w:hAnsi="仿宋"/>
          <w:sz w:val="28"/>
          <w:szCs w:val="28"/>
        </w:rPr>
        <w:t>，</w:t>
      </w:r>
      <w:r w:rsidR="00526B08">
        <w:rPr>
          <w:rFonts w:ascii="仿宋" w:eastAsia="仿宋" w:hAnsi="仿宋" w:hint="eastAsia"/>
          <w:sz w:val="28"/>
          <w:szCs w:val="28"/>
        </w:rPr>
        <w:t>紧邻霍尔果斯国际客运站。区位优势明显。</w:t>
      </w:r>
      <w:r w:rsidR="00526B08" w:rsidRPr="00526B08">
        <w:rPr>
          <w:rFonts w:ascii="仿宋" w:eastAsia="仿宋" w:hAnsi="仿宋"/>
          <w:sz w:val="28"/>
          <w:szCs w:val="28"/>
        </w:rPr>
        <w:t>互市区建筑面积达4.1万平方米</w:t>
      </w:r>
      <w:r w:rsidR="00526B08">
        <w:rPr>
          <w:rFonts w:ascii="仿宋" w:eastAsia="仿宋" w:hAnsi="仿宋" w:hint="eastAsia"/>
          <w:sz w:val="28"/>
          <w:szCs w:val="28"/>
        </w:rPr>
        <w:t>，</w:t>
      </w:r>
      <w:r w:rsidR="00526B08" w:rsidRPr="00526B08">
        <w:rPr>
          <w:rFonts w:ascii="仿宋" w:eastAsia="仿宋" w:hAnsi="仿宋"/>
          <w:sz w:val="28"/>
          <w:szCs w:val="28"/>
        </w:rPr>
        <w:t>分为一线海关监管区和二级交易市场，提供一站式采购、申报、结算服务，支持全流程电子化支付</w:t>
      </w:r>
      <w:r w:rsidRPr="002C72FB">
        <w:rPr>
          <w:rFonts w:ascii="仿宋" w:eastAsia="仿宋" w:hAnsi="仿宋"/>
          <w:sz w:val="28"/>
          <w:szCs w:val="28"/>
        </w:rPr>
        <w:t>。</w:t>
      </w:r>
    </w:p>
    <w:p w14:paraId="340B58AA" w14:textId="77777777" w:rsidR="00FB75AA" w:rsidRDefault="00FB75AA" w:rsidP="00FB75AA">
      <w:pPr>
        <w:rPr>
          <w:rFonts w:ascii="仿宋" w:eastAsia="仿宋" w:hAnsi="仿宋"/>
          <w:b/>
          <w:sz w:val="28"/>
          <w:szCs w:val="28"/>
        </w:rPr>
      </w:pPr>
      <w:r>
        <w:rPr>
          <w:rFonts w:ascii="仿宋" w:eastAsia="仿宋" w:hAnsi="仿宋" w:hint="eastAsia"/>
          <w:b/>
          <w:sz w:val="28"/>
          <w:szCs w:val="28"/>
        </w:rPr>
        <w:t>1</w:t>
      </w:r>
      <w:r>
        <w:rPr>
          <w:rFonts w:ascii="仿宋" w:eastAsia="仿宋" w:hAnsi="仿宋"/>
          <w:b/>
          <w:sz w:val="28"/>
          <w:szCs w:val="28"/>
        </w:rPr>
        <w:t xml:space="preserve">.2 </w:t>
      </w:r>
      <w:r>
        <w:rPr>
          <w:rFonts w:ascii="仿宋" w:eastAsia="仿宋" w:hAnsi="仿宋" w:hint="eastAsia"/>
          <w:b/>
          <w:sz w:val="28"/>
          <w:szCs w:val="28"/>
        </w:rPr>
        <w:t>政策环境</w:t>
      </w:r>
    </w:p>
    <w:p w14:paraId="32552F93" w14:textId="77777777" w:rsidR="00FB75AA" w:rsidRDefault="00FB75AA" w:rsidP="00FB75AA">
      <w:pPr>
        <w:ind w:firstLine="420"/>
        <w:rPr>
          <w:rFonts w:ascii="仿宋" w:eastAsia="仿宋" w:hAnsi="仿宋"/>
          <w:sz w:val="28"/>
          <w:szCs w:val="28"/>
        </w:rPr>
      </w:pPr>
      <w:r w:rsidRPr="00FB75AA">
        <w:rPr>
          <w:rFonts w:ascii="仿宋" w:eastAsia="仿宋" w:hAnsi="仿宋"/>
          <w:sz w:val="28"/>
          <w:szCs w:val="28"/>
        </w:rPr>
        <w:t>随着全面建成小康社会进入决胜阶段，“一带一路”建设加快推进，区域协调发展不断深化，脱贫攻坚深入展开，国家对边境地区全方位扶持力度进一步加大，先后出台了一系列指导意见与优惠政策，深入推进兴边富民面临难得的机遇。</w:t>
      </w:r>
    </w:p>
    <w:p w14:paraId="090EEEA0" w14:textId="77777777" w:rsidR="00FB75AA" w:rsidRDefault="00FB75AA" w:rsidP="00FB75AA">
      <w:pPr>
        <w:ind w:firstLine="420"/>
        <w:rPr>
          <w:rFonts w:ascii="仿宋" w:eastAsia="仿宋" w:hAnsi="仿宋"/>
          <w:sz w:val="28"/>
          <w:szCs w:val="28"/>
        </w:rPr>
      </w:pPr>
      <w:r>
        <w:rPr>
          <w:rFonts w:ascii="仿宋" w:eastAsia="仿宋" w:hAnsi="仿宋"/>
          <w:sz w:val="28"/>
          <w:szCs w:val="28"/>
        </w:rPr>
        <w:t>200</w:t>
      </w:r>
      <w:r>
        <w:rPr>
          <w:rFonts w:ascii="仿宋" w:eastAsia="仿宋" w:hAnsi="仿宋" w:hint="eastAsia"/>
          <w:sz w:val="28"/>
          <w:szCs w:val="28"/>
        </w:rPr>
        <w:t>8</w:t>
      </w:r>
      <w:r w:rsidRPr="00FB75AA">
        <w:rPr>
          <w:rFonts w:ascii="仿宋" w:eastAsia="仿宋" w:hAnsi="仿宋"/>
          <w:sz w:val="28"/>
          <w:szCs w:val="28"/>
        </w:rPr>
        <w:t>年《国务院关于促进边境地区经济贸易发展问题的批复》（国函〔2008〕92号），提高了边境地区边民互市进口免税额度，将边民互市进口的生活用品免税额度提高到每人每日人民币8000元。由财政部会同有关部门研究制定边民互市进出口商品不予免税的清单。</w:t>
      </w:r>
    </w:p>
    <w:p w14:paraId="1CE529E6" w14:textId="77777777" w:rsidR="00FB75AA" w:rsidRDefault="00FB75AA" w:rsidP="00FB75AA">
      <w:pPr>
        <w:ind w:firstLine="420"/>
        <w:rPr>
          <w:rFonts w:ascii="仿宋" w:eastAsia="仿宋" w:hAnsi="仿宋"/>
          <w:sz w:val="28"/>
          <w:szCs w:val="28"/>
        </w:rPr>
      </w:pPr>
      <w:r w:rsidRPr="00FB75AA">
        <w:rPr>
          <w:rFonts w:ascii="仿宋" w:eastAsia="仿宋" w:hAnsi="仿宋"/>
          <w:sz w:val="28"/>
          <w:szCs w:val="28"/>
        </w:rPr>
        <w:lastRenderedPageBreak/>
        <w:t>2010年《关于边民互市进出口商品不予免税清单的通知》（财关税〔2010〕18号），明确了边民通过互市贸易进口的商品应以满足边民日常生活需要为目的，边民互市贸易进口税收优惠政策的适用范围仅限生活用品。</w:t>
      </w:r>
    </w:p>
    <w:p w14:paraId="1E8511C2" w14:textId="3040B6B6" w:rsidR="00FB75AA" w:rsidRDefault="00264983" w:rsidP="00264983">
      <w:pPr>
        <w:ind w:firstLine="420"/>
        <w:rPr>
          <w:rFonts w:ascii="仿宋" w:eastAsia="仿宋" w:hAnsi="仿宋"/>
          <w:sz w:val="28"/>
          <w:szCs w:val="28"/>
        </w:rPr>
      </w:pPr>
      <w:r w:rsidRPr="00264983">
        <w:rPr>
          <w:rFonts w:ascii="仿宋" w:eastAsia="仿宋" w:hAnsi="仿宋"/>
          <w:sz w:val="28"/>
          <w:szCs w:val="28"/>
        </w:rPr>
        <w:t>2019年国务院出台了促进边境贸易创新发展的相关政策，将进一步释放改革动能。</w:t>
      </w:r>
    </w:p>
    <w:p w14:paraId="7206F19A" w14:textId="77777777" w:rsidR="00E957C2" w:rsidRDefault="00DC6CB7">
      <w:pPr>
        <w:rPr>
          <w:rFonts w:ascii="仿宋" w:eastAsia="仿宋" w:hAnsi="仿宋"/>
          <w:b/>
          <w:sz w:val="28"/>
          <w:szCs w:val="28"/>
        </w:rPr>
      </w:pPr>
      <w:r>
        <w:rPr>
          <w:rFonts w:ascii="仿宋" w:eastAsia="仿宋" w:hAnsi="仿宋" w:hint="eastAsia"/>
          <w:b/>
          <w:sz w:val="28"/>
          <w:szCs w:val="28"/>
        </w:rPr>
        <w:t>1</w:t>
      </w:r>
      <w:r>
        <w:rPr>
          <w:rFonts w:ascii="仿宋" w:eastAsia="仿宋" w:hAnsi="仿宋"/>
          <w:b/>
          <w:sz w:val="28"/>
          <w:szCs w:val="28"/>
        </w:rPr>
        <w:t>.</w:t>
      </w:r>
      <w:r w:rsidR="00264983">
        <w:rPr>
          <w:rFonts w:ascii="仿宋" w:eastAsia="仿宋" w:hAnsi="仿宋" w:hint="eastAsia"/>
          <w:b/>
          <w:sz w:val="28"/>
          <w:szCs w:val="28"/>
        </w:rPr>
        <w:t>3</w:t>
      </w:r>
      <w:r w:rsidR="00E957C2">
        <w:rPr>
          <w:rFonts w:ascii="仿宋" w:eastAsia="仿宋" w:hAnsi="仿宋"/>
          <w:b/>
          <w:sz w:val="28"/>
          <w:szCs w:val="28"/>
        </w:rPr>
        <w:t xml:space="preserve"> </w:t>
      </w:r>
      <w:r w:rsidR="00A42000">
        <w:rPr>
          <w:rFonts w:ascii="仿宋" w:eastAsia="仿宋" w:hAnsi="仿宋" w:hint="eastAsia"/>
          <w:b/>
          <w:sz w:val="28"/>
          <w:szCs w:val="28"/>
        </w:rPr>
        <w:t>地理优势</w:t>
      </w:r>
    </w:p>
    <w:p w14:paraId="2A1FFE65" w14:textId="4CFFB4C1" w:rsidR="00044A85" w:rsidRPr="00044A85" w:rsidRDefault="00044A85" w:rsidP="00044A85">
      <w:pPr>
        <w:ind w:firstLineChars="200" w:firstLine="560"/>
        <w:rPr>
          <w:rFonts w:ascii="仿宋" w:eastAsia="仿宋" w:hAnsi="仿宋"/>
          <w:sz w:val="28"/>
          <w:szCs w:val="28"/>
        </w:rPr>
      </w:pPr>
      <w:r w:rsidRPr="00044A85">
        <w:rPr>
          <w:rFonts w:ascii="仿宋" w:eastAsia="仿宋" w:hAnsi="仿宋"/>
          <w:sz w:val="28"/>
          <w:szCs w:val="28"/>
        </w:rPr>
        <w:t>霍尔果斯口岸位于中国新疆伊犁哈萨克自治州，地处亚欧大陆桥咽喉地带，是连接中国与中亚、俄罗斯及欧洲的关键枢纽，具有突出的战略地位。</w:t>
      </w:r>
      <w:r w:rsidRPr="00044A85">
        <w:rPr>
          <w:rFonts w:ascii="Courier New" w:eastAsia="仿宋" w:hAnsi="Courier New" w:cs="Courier New"/>
          <w:sz w:val="28"/>
          <w:szCs w:val="28"/>
        </w:rPr>
        <w:t>‌</w:t>
      </w:r>
      <w:r w:rsidRPr="00044A85">
        <w:rPr>
          <w:rFonts w:ascii="仿宋" w:eastAsia="仿宋" w:hAnsi="仿宋"/>
          <w:sz w:val="28"/>
          <w:szCs w:val="28"/>
        </w:rPr>
        <w:t>作为国家级一类陆路口岸，它集公路、铁路、管道、航空、光缆和邮件“六位一体”的综合性交通枢纽，始建于1881年，历经恢复开放与升级，现为新疆最大的陆铁联运口岸。</w:t>
      </w:r>
      <w:r w:rsidRPr="00044A85">
        <w:rPr>
          <w:rFonts w:ascii="Courier New" w:eastAsia="仿宋" w:hAnsi="Courier New" w:cs="Courier New"/>
          <w:sz w:val="28"/>
          <w:szCs w:val="28"/>
        </w:rPr>
        <w:t>‌</w:t>
      </w:r>
    </w:p>
    <w:p w14:paraId="5E322758" w14:textId="55583BA7" w:rsidR="00044A85" w:rsidRPr="00044A85" w:rsidRDefault="00044A85" w:rsidP="00044A85">
      <w:pPr>
        <w:ind w:firstLineChars="200" w:firstLine="560"/>
        <w:rPr>
          <w:rFonts w:ascii="仿宋" w:eastAsia="仿宋" w:hAnsi="仿宋"/>
          <w:sz w:val="28"/>
          <w:szCs w:val="28"/>
        </w:rPr>
      </w:pPr>
      <w:r w:rsidRPr="00044A85">
        <w:rPr>
          <w:rFonts w:ascii="仿宋" w:eastAsia="仿宋" w:hAnsi="仿宋" w:hint="eastAsia"/>
          <w:sz w:val="28"/>
          <w:szCs w:val="28"/>
        </w:rPr>
        <w:t>在“一</w:t>
      </w:r>
      <w:r w:rsidRPr="00044A85">
        <w:rPr>
          <w:rFonts w:ascii="仿宋" w:eastAsia="仿宋" w:hAnsi="仿宋"/>
          <w:sz w:val="28"/>
          <w:szCs w:val="28"/>
        </w:rPr>
        <w:t>带一路”倡议框架下，霍尔果斯口岸被视为“丝绸之路经济带”的最前沿，是我国向西开放的重要窗口。</w:t>
      </w:r>
      <w:r w:rsidRPr="00044A85">
        <w:rPr>
          <w:rFonts w:ascii="Courier New" w:eastAsia="仿宋" w:hAnsi="Courier New" w:cs="Courier New"/>
          <w:sz w:val="28"/>
          <w:szCs w:val="28"/>
        </w:rPr>
        <w:t>‌</w:t>
      </w:r>
      <w:r w:rsidRPr="00044A85">
        <w:rPr>
          <w:rFonts w:ascii="仿宋" w:eastAsia="仿宋" w:hAnsi="仿宋"/>
          <w:sz w:val="28"/>
          <w:szCs w:val="28"/>
        </w:rPr>
        <w:t>其区位优势显著，紧邻中亚，联通欧洲，是西北地区最大的陆路一类口岸，承担着我国大部分对哈萨克斯坦及中亚贸易的重任。</w:t>
      </w:r>
      <w:r w:rsidRPr="00044A85">
        <w:rPr>
          <w:rFonts w:ascii="Courier New" w:eastAsia="仿宋" w:hAnsi="Courier New" w:cs="Courier New"/>
          <w:sz w:val="28"/>
          <w:szCs w:val="28"/>
        </w:rPr>
        <w:t>‌</w:t>
      </w:r>
      <w:r w:rsidRPr="00044A85">
        <w:rPr>
          <w:rFonts w:ascii="仿宋" w:eastAsia="仿宋" w:hAnsi="仿宋"/>
          <w:sz w:val="28"/>
          <w:szCs w:val="28"/>
        </w:rPr>
        <w:t>2024年霍尔果斯创新推出多项通关便利化措施，如外籍跨境车辆多口岸互通互认和自驾出口商品车快速通关模式，将从霍尔果斯到哈萨克斯坦阿通科里的往返时间从10小时压缩至7小时，大幅提升贸易效率。</w:t>
      </w:r>
      <w:r w:rsidRPr="00044A85">
        <w:rPr>
          <w:rFonts w:ascii="Courier New" w:eastAsia="仿宋" w:hAnsi="Courier New" w:cs="Courier New"/>
          <w:sz w:val="28"/>
          <w:szCs w:val="28"/>
        </w:rPr>
        <w:t>‌</w:t>
      </w:r>
    </w:p>
    <w:p w14:paraId="1E1D0E39" w14:textId="77777777" w:rsidR="00044A85" w:rsidRPr="00044A85" w:rsidRDefault="00044A85" w:rsidP="00044A85">
      <w:pPr>
        <w:ind w:firstLineChars="200" w:firstLine="560"/>
        <w:rPr>
          <w:rFonts w:ascii="仿宋" w:eastAsia="仿宋" w:hAnsi="仿宋"/>
          <w:sz w:val="28"/>
          <w:szCs w:val="28"/>
        </w:rPr>
      </w:pPr>
      <w:r w:rsidRPr="00044A85">
        <w:rPr>
          <w:rFonts w:ascii="仿宋" w:eastAsia="仿宋" w:hAnsi="仿宋"/>
          <w:sz w:val="28"/>
          <w:szCs w:val="28"/>
        </w:rPr>
        <w:t>经济功能方面，霍尔果斯口岸已成为物流枢纽和对外贸易首选地，尤其在跨境电商领域表现突出。2025年上半年，霍尔果斯市跨境电</w:t>
      </w:r>
      <w:r w:rsidRPr="00044A85">
        <w:rPr>
          <w:rFonts w:ascii="仿宋" w:eastAsia="仿宋" w:hAnsi="仿宋"/>
          <w:sz w:val="28"/>
          <w:szCs w:val="28"/>
        </w:rPr>
        <w:lastRenderedPageBreak/>
        <w:t>商贸易额近290亿元，创历史新高，得益于经济开发区、综合保税区等开放平台的政策支持。</w:t>
      </w:r>
      <w:r w:rsidRPr="00044A85">
        <w:rPr>
          <w:rFonts w:ascii="Courier New" w:eastAsia="仿宋" w:hAnsi="Courier New" w:cs="Courier New"/>
          <w:sz w:val="28"/>
          <w:szCs w:val="28"/>
        </w:rPr>
        <w:t>‌</w:t>
      </w:r>
    </w:p>
    <w:p w14:paraId="786F2C7F" w14:textId="0C1C0430" w:rsidR="0055652B" w:rsidRPr="0055652B" w:rsidRDefault="00044A85" w:rsidP="00044A85">
      <w:pPr>
        <w:rPr>
          <w:rFonts w:ascii="仿宋" w:eastAsia="仿宋" w:hAnsi="仿宋"/>
          <w:sz w:val="28"/>
          <w:szCs w:val="28"/>
        </w:rPr>
      </w:pPr>
      <w:r w:rsidRPr="00044A85">
        <w:rPr>
          <w:rFonts w:ascii="仿宋" w:eastAsia="仿宋" w:hAnsi="仿宋"/>
          <w:sz w:val="28"/>
          <w:szCs w:val="28"/>
        </w:rPr>
        <w:t>同时，中哈霍尔果斯国际边境合作中心作为世界首个跨境自由贸易区，吸引了近30个重点项目和3500余家商户入驻，2023年进出境人次突破500万，成为中哈两国经贸往来和人文交流的重要平台。</w:t>
      </w:r>
      <w:r w:rsidRPr="00044A85">
        <w:rPr>
          <w:rFonts w:ascii="Courier New" w:eastAsia="仿宋" w:hAnsi="Courier New" w:cs="Courier New"/>
          <w:sz w:val="28"/>
          <w:szCs w:val="28"/>
        </w:rPr>
        <w:t>‌</w:t>
      </w:r>
      <w:r w:rsidRPr="00044A85">
        <w:rPr>
          <w:rFonts w:ascii="仿宋" w:eastAsia="仿宋" w:hAnsi="仿宋" w:hint="eastAsia"/>
          <w:sz w:val="28"/>
          <w:szCs w:val="28"/>
        </w:rPr>
        <w:t>此外，</w:t>
      </w:r>
      <w:r w:rsidRPr="00044A85">
        <w:rPr>
          <w:rFonts w:ascii="仿宋" w:eastAsia="仿宋" w:hAnsi="仿宋"/>
          <w:sz w:val="28"/>
          <w:szCs w:val="28"/>
        </w:rPr>
        <w:t>霍尔果斯口岸在促进区域经济一体化和全球贸易畅通中发挥关键作用。随着中欧班列的开行和智慧铁路口岸改革的推进，其作为国际物流枢纽的地位更加稳固，为亚欧大陆的互联互通注入动力。</w:t>
      </w:r>
    </w:p>
    <w:p w14:paraId="5C0AF79A" w14:textId="432E71EE" w:rsidR="00297C08" w:rsidRDefault="00DC6CB7">
      <w:pPr>
        <w:rPr>
          <w:rFonts w:ascii="仿宋" w:eastAsia="仿宋" w:hAnsi="仿宋"/>
          <w:b/>
          <w:sz w:val="28"/>
          <w:szCs w:val="28"/>
        </w:rPr>
      </w:pPr>
      <w:r>
        <w:rPr>
          <w:rFonts w:ascii="仿宋" w:eastAsia="仿宋" w:hAnsi="仿宋" w:hint="eastAsia"/>
          <w:b/>
          <w:sz w:val="28"/>
          <w:szCs w:val="28"/>
        </w:rPr>
        <w:t>1</w:t>
      </w:r>
      <w:r>
        <w:rPr>
          <w:rFonts w:ascii="仿宋" w:eastAsia="仿宋" w:hAnsi="仿宋"/>
          <w:b/>
          <w:sz w:val="28"/>
          <w:szCs w:val="28"/>
        </w:rPr>
        <w:t>.</w:t>
      </w:r>
      <w:r w:rsidR="00044A85">
        <w:rPr>
          <w:rFonts w:ascii="仿宋" w:eastAsia="仿宋" w:hAnsi="仿宋" w:hint="eastAsia"/>
          <w:b/>
          <w:sz w:val="28"/>
          <w:szCs w:val="28"/>
        </w:rPr>
        <w:t>4</w:t>
      </w:r>
      <w:r>
        <w:rPr>
          <w:rFonts w:ascii="仿宋" w:eastAsia="仿宋" w:hAnsi="仿宋" w:hint="eastAsia"/>
          <w:b/>
          <w:sz w:val="28"/>
          <w:szCs w:val="28"/>
        </w:rPr>
        <w:t>边民互市项目意义</w:t>
      </w:r>
    </w:p>
    <w:p w14:paraId="6E6D66A9" w14:textId="77E23F61" w:rsidR="00D2556F" w:rsidRPr="00D2556F" w:rsidRDefault="00D2556F" w:rsidP="00D2556F">
      <w:pPr>
        <w:rPr>
          <w:rFonts w:ascii="仿宋" w:eastAsia="仿宋" w:hAnsi="仿宋"/>
          <w:bCs/>
          <w:sz w:val="28"/>
          <w:szCs w:val="28"/>
        </w:rPr>
      </w:pPr>
      <w:r w:rsidRPr="00D2556F">
        <w:rPr>
          <w:rFonts w:ascii="仿宋" w:eastAsia="仿宋" w:hAnsi="仿宋" w:hint="eastAsia"/>
          <w:bCs/>
          <w:sz w:val="28"/>
          <w:szCs w:val="28"/>
        </w:rPr>
        <w:t>(1)促</w:t>
      </w:r>
      <w:r w:rsidRPr="00D2556F">
        <w:rPr>
          <w:rFonts w:ascii="仿宋" w:eastAsia="仿宋" w:hAnsi="仿宋"/>
          <w:bCs/>
          <w:sz w:val="28"/>
          <w:szCs w:val="28"/>
        </w:rPr>
        <w:t>进边境地区经济发展与边民增收</w:t>
      </w:r>
      <w:r>
        <w:rPr>
          <w:rFonts w:ascii="仿宋" w:eastAsia="仿宋" w:hAnsi="仿宋" w:hint="eastAsia"/>
          <w:bCs/>
          <w:sz w:val="28"/>
          <w:szCs w:val="28"/>
        </w:rPr>
        <w:t>。</w:t>
      </w:r>
      <w:r w:rsidRPr="00D2556F">
        <w:rPr>
          <w:rFonts w:ascii="Courier New" w:eastAsia="仿宋" w:hAnsi="Courier New" w:cs="Courier New"/>
          <w:bCs/>
          <w:sz w:val="28"/>
          <w:szCs w:val="28"/>
        </w:rPr>
        <w:t>‌</w:t>
      </w:r>
    </w:p>
    <w:p w14:paraId="50372BCB" w14:textId="3DA66CA1" w:rsidR="00D2556F" w:rsidRPr="00D2556F" w:rsidRDefault="00D2556F" w:rsidP="00D2556F">
      <w:pPr>
        <w:rPr>
          <w:rFonts w:ascii="仿宋" w:eastAsia="仿宋" w:hAnsi="仿宋"/>
          <w:bCs/>
          <w:sz w:val="28"/>
          <w:szCs w:val="28"/>
        </w:rPr>
      </w:pPr>
      <w:r w:rsidRPr="00D2556F">
        <w:rPr>
          <w:rFonts w:ascii="仿宋" w:eastAsia="仿宋" w:hAnsi="仿宋"/>
          <w:bCs/>
          <w:sz w:val="28"/>
          <w:szCs w:val="28"/>
        </w:rPr>
        <w:t>边民互市贸易是边境地区特有的一种贸易形式，能有效带动当地经济增长和边民收入提升。通过参与互市贸易，边民可以直接销售自产农产品或购买邻国物美价廉的商品，实现“家门口增收”。</w:t>
      </w:r>
      <w:r w:rsidRPr="00D2556F">
        <w:rPr>
          <w:rFonts w:ascii="Courier New" w:eastAsia="仿宋" w:hAnsi="Courier New" w:cs="Courier New"/>
          <w:bCs/>
          <w:sz w:val="28"/>
          <w:szCs w:val="28"/>
        </w:rPr>
        <w:t>‌</w:t>
      </w:r>
      <w:r w:rsidRPr="00D2556F">
        <w:rPr>
          <w:rFonts w:ascii="仿宋" w:eastAsia="仿宋" w:hAnsi="仿宋"/>
          <w:bCs/>
          <w:sz w:val="28"/>
          <w:szCs w:val="28"/>
        </w:rPr>
        <w:t>这种贸易模式尤其有助于探索“边民互市+落地加工”等创新模式，延长产业链，提高产品附加值，从而更深层次地惠及边民。</w:t>
      </w:r>
      <w:r w:rsidRPr="00D2556F">
        <w:rPr>
          <w:rFonts w:ascii="Courier New" w:eastAsia="仿宋" w:hAnsi="Courier New" w:cs="Courier New"/>
          <w:bCs/>
          <w:sz w:val="28"/>
          <w:szCs w:val="28"/>
        </w:rPr>
        <w:t>‌</w:t>
      </w:r>
    </w:p>
    <w:p w14:paraId="34A6A361" w14:textId="23CB711F" w:rsidR="00D2556F" w:rsidRPr="00D2556F" w:rsidRDefault="00D2556F" w:rsidP="00D2556F">
      <w:pPr>
        <w:rPr>
          <w:rFonts w:ascii="仿宋" w:eastAsia="仿宋" w:hAnsi="仿宋"/>
          <w:bCs/>
          <w:sz w:val="28"/>
          <w:szCs w:val="28"/>
        </w:rPr>
      </w:pP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r>
        <w:rPr>
          <w:rFonts w:ascii="Courier New" w:eastAsia="仿宋" w:hAnsi="Courier New" w:cs="Courier New" w:hint="eastAsia"/>
          <w:bCs/>
          <w:sz w:val="28"/>
          <w:szCs w:val="28"/>
        </w:rPr>
        <w:t>2</w:t>
      </w:r>
      <w:r>
        <w:rPr>
          <w:rFonts w:ascii="Courier New" w:eastAsia="仿宋" w:hAnsi="Courier New" w:cs="Courier New" w:hint="eastAsia"/>
          <w:bCs/>
          <w:sz w:val="28"/>
          <w:szCs w:val="28"/>
        </w:rPr>
        <w:t>）</w:t>
      </w:r>
      <w:r w:rsidRPr="00D2556F">
        <w:rPr>
          <w:rFonts w:ascii="仿宋" w:eastAsia="仿宋" w:hAnsi="仿宋" w:hint="eastAsia"/>
          <w:bCs/>
          <w:sz w:val="28"/>
          <w:szCs w:val="28"/>
        </w:rPr>
        <w:t>推</w:t>
      </w:r>
      <w:r w:rsidRPr="00D2556F">
        <w:rPr>
          <w:rFonts w:ascii="仿宋" w:eastAsia="仿宋" w:hAnsi="仿宋"/>
          <w:bCs/>
          <w:sz w:val="28"/>
          <w:szCs w:val="28"/>
        </w:rPr>
        <w:t>动兴边富民与边境稳定</w:t>
      </w:r>
      <w:r>
        <w:rPr>
          <w:rFonts w:ascii="仿宋" w:eastAsia="仿宋" w:hAnsi="仿宋" w:hint="eastAsia"/>
          <w:bCs/>
          <w:sz w:val="28"/>
          <w:szCs w:val="28"/>
        </w:rPr>
        <w:t>。</w:t>
      </w:r>
      <w:r w:rsidRPr="00D2556F">
        <w:rPr>
          <w:rFonts w:ascii="Courier New" w:eastAsia="仿宋" w:hAnsi="Courier New" w:cs="Courier New"/>
          <w:bCs/>
          <w:sz w:val="28"/>
          <w:szCs w:val="28"/>
        </w:rPr>
        <w:t>‌</w:t>
      </w:r>
    </w:p>
    <w:p w14:paraId="526261E1" w14:textId="23ED6473" w:rsidR="00D2556F" w:rsidRPr="00D2556F" w:rsidRDefault="00D2556F" w:rsidP="00D2556F">
      <w:pPr>
        <w:rPr>
          <w:rFonts w:ascii="仿宋" w:eastAsia="仿宋" w:hAnsi="仿宋"/>
          <w:bCs/>
          <w:sz w:val="28"/>
          <w:szCs w:val="28"/>
        </w:rPr>
      </w:pPr>
      <w:r w:rsidRPr="00D2556F">
        <w:rPr>
          <w:rFonts w:ascii="仿宋" w:eastAsia="仿宋" w:hAnsi="仿宋" w:hint="eastAsia"/>
          <w:bCs/>
          <w:sz w:val="28"/>
          <w:szCs w:val="28"/>
        </w:rPr>
        <w:t>作</w:t>
      </w:r>
      <w:r w:rsidRPr="00D2556F">
        <w:rPr>
          <w:rFonts w:ascii="仿宋" w:eastAsia="仿宋" w:hAnsi="仿宋"/>
          <w:bCs/>
          <w:sz w:val="28"/>
          <w:szCs w:val="28"/>
        </w:rPr>
        <w:t>为一项重要的“兴边富民”举措，边民互市贸易对于巩固国防、维护边境稳定具有基础性作用。</w:t>
      </w:r>
      <w:r w:rsidRPr="00D2556F">
        <w:rPr>
          <w:rFonts w:ascii="Courier New" w:eastAsia="仿宋" w:hAnsi="Courier New" w:cs="Courier New"/>
          <w:bCs/>
          <w:sz w:val="28"/>
          <w:szCs w:val="28"/>
        </w:rPr>
        <w:t>‌</w:t>
      </w:r>
      <w:r w:rsidRPr="00D2556F">
        <w:rPr>
          <w:rFonts w:ascii="仿宋" w:eastAsia="仿宋" w:hAnsi="仿宋"/>
          <w:bCs/>
          <w:sz w:val="28"/>
          <w:szCs w:val="28"/>
        </w:rPr>
        <w:t>当边民通过贸易获得稳定收入，生活得到改善，会极大地增强他们对国家的认同感和凝聚力，从而筑牢边境稳定的社会根基。</w:t>
      </w:r>
      <w:r w:rsidRPr="00D2556F">
        <w:rPr>
          <w:rFonts w:ascii="Courier New" w:eastAsia="仿宋" w:hAnsi="Courier New" w:cs="Courier New"/>
          <w:bCs/>
          <w:sz w:val="28"/>
          <w:szCs w:val="28"/>
        </w:rPr>
        <w:t>‌</w:t>
      </w:r>
      <w:r w:rsidRPr="00D2556F">
        <w:rPr>
          <w:rFonts w:ascii="仿宋" w:eastAsia="仿宋" w:hAnsi="仿宋"/>
          <w:bCs/>
          <w:sz w:val="28"/>
          <w:szCs w:val="28"/>
        </w:rPr>
        <w:t>因此，发展边民互市贸易是实现“富民”与“兴边”相结合的有效途径。</w:t>
      </w:r>
    </w:p>
    <w:p w14:paraId="14C51190" w14:textId="3B78711F" w:rsidR="00D2556F" w:rsidRPr="00D2556F" w:rsidRDefault="00D2556F" w:rsidP="00D2556F">
      <w:pPr>
        <w:rPr>
          <w:rFonts w:ascii="仿宋" w:eastAsia="仿宋" w:hAnsi="仿宋"/>
          <w:bCs/>
          <w:sz w:val="28"/>
          <w:szCs w:val="28"/>
        </w:rPr>
      </w:pP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r>
        <w:rPr>
          <w:rFonts w:ascii="Courier New" w:eastAsia="仿宋" w:hAnsi="Courier New" w:cs="Courier New" w:hint="eastAsia"/>
          <w:bCs/>
          <w:sz w:val="28"/>
          <w:szCs w:val="28"/>
        </w:rPr>
        <w:t>3</w:t>
      </w:r>
      <w:r>
        <w:rPr>
          <w:rFonts w:ascii="Courier New" w:eastAsia="仿宋" w:hAnsi="Courier New" w:cs="Courier New" w:hint="eastAsia"/>
          <w:bCs/>
          <w:sz w:val="28"/>
          <w:szCs w:val="28"/>
        </w:rPr>
        <w:t>）</w:t>
      </w:r>
      <w:r w:rsidRPr="00D2556F">
        <w:rPr>
          <w:rFonts w:ascii="仿宋" w:eastAsia="仿宋" w:hAnsi="仿宋" w:hint="eastAsia"/>
          <w:bCs/>
          <w:sz w:val="28"/>
          <w:szCs w:val="28"/>
        </w:rPr>
        <w:t>深化</w:t>
      </w:r>
      <w:r w:rsidRPr="00D2556F">
        <w:rPr>
          <w:rFonts w:ascii="仿宋" w:eastAsia="仿宋" w:hAnsi="仿宋"/>
          <w:bCs/>
          <w:sz w:val="28"/>
          <w:szCs w:val="28"/>
        </w:rPr>
        <w:t>与邻国的睦邻友好与经贸合作</w:t>
      </w: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p>
    <w:p w14:paraId="07174A94" w14:textId="5DB8BBAF" w:rsidR="00D2556F" w:rsidRPr="00D2556F" w:rsidRDefault="00D2556F" w:rsidP="00D2556F">
      <w:pPr>
        <w:rPr>
          <w:rFonts w:ascii="仿宋" w:eastAsia="仿宋" w:hAnsi="仿宋"/>
          <w:bCs/>
          <w:sz w:val="28"/>
          <w:szCs w:val="28"/>
        </w:rPr>
      </w:pPr>
      <w:r w:rsidRPr="00D2556F">
        <w:rPr>
          <w:rFonts w:ascii="仿宋" w:eastAsia="仿宋" w:hAnsi="仿宋"/>
          <w:bCs/>
          <w:sz w:val="28"/>
          <w:szCs w:val="28"/>
        </w:rPr>
        <w:lastRenderedPageBreak/>
        <w:t>边境地区是我国对外开放的重要门户。边民互市贸易作为一种民间经贸往来方式，能够增进与周边国家边民之间的相互了解和信任，巩固与邻国的合作交流。</w:t>
      </w:r>
      <w:r w:rsidRPr="00D2556F">
        <w:rPr>
          <w:rFonts w:ascii="Courier New" w:eastAsia="仿宋" w:hAnsi="Courier New" w:cs="Courier New"/>
          <w:bCs/>
          <w:sz w:val="28"/>
          <w:szCs w:val="28"/>
        </w:rPr>
        <w:t>‌</w:t>
      </w:r>
      <w:r w:rsidRPr="00D2556F">
        <w:rPr>
          <w:rFonts w:ascii="仿宋" w:eastAsia="仿宋" w:hAnsi="仿宋"/>
          <w:bCs/>
          <w:sz w:val="28"/>
          <w:szCs w:val="28"/>
        </w:rPr>
        <w:t>它是推进“一带一路”建设在基层落地生根的生动体现，有助于营造和平、合作的周边环境。</w:t>
      </w:r>
      <w:r w:rsidRPr="00D2556F">
        <w:rPr>
          <w:rFonts w:ascii="Courier New" w:eastAsia="仿宋" w:hAnsi="Courier New" w:cs="Courier New"/>
          <w:bCs/>
          <w:sz w:val="28"/>
          <w:szCs w:val="28"/>
        </w:rPr>
        <w:t>‌</w:t>
      </w:r>
    </w:p>
    <w:p w14:paraId="45FAF955" w14:textId="44FD10C0" w:rsidR="00D2556F" w:rsidRPr="00D2556F" w:rsidRDefault="00D2556F" w:rsidP="00D2556F">
      <w:pPr>
        <w:rPr>
          <w:rFonts w:ascii="仿宋" w:eastAsia="仿宋" w:hAnsi="仿宋"/>
          <w:bCs/>
          <w:sz w:val="28"/>
          <w:szCs w:val="28"/>
        </w:rPr>
      </w:pP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r>
        <w:rPr>
          <w:rFonts w:ascii="Courier New" w:eastAsia="仿宋" w:hAnsi="Courier New" w:cs="Courier New" w:hint="eastAsia"/>
          <w:bCs/>
          <w:sz w:val="28"/>
          <w:szCs w:val="28"/>
        </w:rPr>
        <w:t>4</w:t>
      </w:r>
      <w:r>
        <w:rPr>
          <w:rFonts w:ascii="Courier New" w:eastAsia="仿宋" w:hAnsi="Courier New" w:cs="Courier New" w:hint="eastAsia"/>
          <w:bCs/>
          <w:sz w:val="28"/>
          <w:szCs w:val="28"/>
        </w:rPr>
        <w:t>）</w:t>
      </w:r>
      <w:r w:rsidRPr="00D2556F">
        <w:rPr>
          <w:rFonts w:ascii="仿宋" w:eastAsia="仿宋" w:hAnsi="仿宋" w:hint="eastAsia"/>
          <w:bCs/>
          <w:sz w:val="28"/>
          <w:szCs w:val="28"/>
        </w:rPr>
        <w:t>探索</w:t>
      </w:r>
      <w:r w:rsidRPr="00D2556F">
        <w:rPr>
          <w:rFonts w:ascii="仿宋" w:eastAsia="仿宋" w:hAnsi="仿宋"/>
          <w:bCs/>
          <w:sz w:val="28"/>
          <w:szCs w:val="28"/>
        </w:rPr>
        <w:t>贸易便利化与监管创新</w:t>
      </w: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p>
    <w:p w14:paraId="76D60933" w14:textId="7CF89904" w:rsidR="00D2556F" w:rsidRPr="00D2556F" w:rsidRDefault="00D2556F" w:rsidP="00D2556F">
      <w:pPr>
        <w:rPr>
          <w:rFonts w:ascii="仿宋" w:eastAsia="仿宋" w:hAnsi="仿宋"/>
          <w:bCs/>
          <w:sz w:val="28"/>
          <w:szCs w:val="28"/>
        </w:rPr>
      </w:pPr>
      <w:r w:rsidRPr="00D2556F">
        <w:rPr>
          <w:rFonts w:ascii="仿宋" w:eastAsia="仿宋" w:hAnsi="仿宋" w:hint="eastAsia"/>
          <w:bCs/>
          <w:sz w:val="28"/>
          <w:szCs w:val="28"/>
        </w:rPr>
        <w:t>近年</w:t>
      </w:r>
      <w:r w:rsidRPr="00D2556F">
        <w:rPr>
          <w:rFonts w:ascii="仿宋" w:eastAsia="仿宋" w:hAnsi="仿宋"/>
          <w:bCs/>
          <w:sz w:val="28"/>
          <w:szCs w:val="28"/>
        </w:rPr>
        <w:t>来，国家通过优化监管、推动“互联网+边民互市”等模式创新，不断提升边民互市贸易的便利化、智能化和规范化水平。</w:t>
      </w:r>
      <w:r w:rsidRPr="00D2556F">
        <w:rPr>
          <w:rFonts w:ascii="Courier New" w:eastAsia="仿宋" w:hAnsi="Courier New" w:cs="Courier New"/>
          <w:bCs/>
          <w:sz w:val="28"/>
          <w:szCs w:val="28"/>
        </w:rPr>
        <w:t>‌</w:t>
      </w:r>
      <w:r w:rsidRPr="00D2556F">
        <w:rPr>
          <w:rFonts w:ascii="仿宋" w:eastAsia="仿宋" w:hAnsi="仿宋"/>
          <w:bCs/>
          <w:sz w:val="28"/>
          <w:szCs w:val="28"/>
        </w:rPr>
        <w:t>这些创新举措不仅简化了通关流程，降低了边民的参与成本，也使政策红利能够更精准、更直接地惠及真正有需要的边民，为边境贸易的高质量发展注入新动能。</w:t>
      </w:r>
      <w:r w:rsidRPr="00D2556F">
        <w:rPr>
          <w:rFonts w:ascii="Courier New" w:eastAsia="仿宋" w:hAnsi="Courier New" w:cs="Courier New"/>
          <w:bCs/>
          <w:sz w:val="28"/>
          <w:szCs w:val="28"/>
        </w:rPr>
        <w:t>‌</w:t>
      </w:r>
    </w:p>
    <w:p w14:paraId="40E35E5D" w14:textId="6B1213F2" w:rsidR="00D2556F" w:rsidRPr="00D2556F" w:rsidRDefault="00D2556F" w:rsidP="00D2556F">
      <w:pPr>
        <w:rPr>
          <w:rFonts w:ascii="仿宋" w:eastAsia="仿宋" w:hAnsi="仿宋"/>
          <w:bCs/>
          <w:sz w:val="28"/>
          <w:szCs w:val="28"/>
        </w:rPr>
      </w:pP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r>
        <w:rPr>
          <w:rFonts w:ascii="Courier New" w:eastAsia="仿宋" w:hAnsi="Courier New" w:cs="Courier New" w:hint="eastAsia"/>
          <w:bCs/>
          <w:sz w:val="28"/>
          <w:szCs w:val="28"/>
        </w:rPr>
        <w:t>5</w:t>
      </w:r>
      <w:r>
        <w:rPr>
          <w:rFonts w:ascii="Courier New" w:eastAsia="仿宋" w:hAnsi="Courier New" w:cs="Courier New" w:hint="eastAsia"/>
          <w:bCs/>
          <w:sz w:val="28"/>
          <w:szCs w:val="28"/>
        </w:rPr>
        <w:t>）</w:t>
      </w:r>
      <w:r w:rsidRPr="00D2556F">
        <w:rPr>
          <w:rFonts w:ascii="仿宋" w:eastAsia="仿宋" w:hAnsi="仿宋" w:hint="eastAsia"/>
          <w:bCs/>
          <w:sz w:val="28"/>
          <w:szCs w:val="28"/>
        </w:rPr>
        <w:t>助力</w:t>
      </w:r>
      <w:r w:rsidRPr="00D2556F">
        <w:rPr>
          <w:rFonts w:ascii="仿宋" w:eastAsia="仿宋" w:hAnsi="仿宋"/>
          <w:bCs/>
          <w:sz w:val="28"/>
          <w:szCs w:val="28"/>
        </w:rPr>
        <w:t>乡村振兴与现代化边境小康村建设</w:t>
      </w:r>
      <w:r w:rsidRPr="00D2556F">
        <w:rPr>
          <w:rFonts w:ascii="Courier New" w:eastAsia="仿宋" w:hAnsi="Courier New" w:cs="Courier New"/>
          <w:bCs/>
          <w:sz w:val="28"/>
          <w:szCs w:val="28"/>
        </w:rPr>
        <w:t>‌</w:t>
      </w:r>
      <w:r>
        <w:rPr>
          <w:rFonts w:ascii="Courier New" w:eastAsia="仿宋" w:hAnsi="Courier New" w:cs="Courier New" w:hint="eastAsia"/>
          <w:bCs/>
          <w:sz w:val="28"/>
          <w:szCs w:val="28"/>
        </w:rPr>
        <w:t>。</w:t>
      </w:r>
    </w:p>
    <w:p w14:paraId="096D2F0B" w14:textId="31D29D1D" w:rsidR="00044A85" w:rsidRPr="00D2556F" w:rsidRDefault="00D2556F" w:rsidP="00D2556F">
      <w:pPr>
        <w:rPr>
          <w:rFonts w:ascii="仿宋" w:eastAsia="仿宋" w:hAnsi="仿宋"/>
          <w:bCs/>
          <w:sz w:val="28"/>
          <w:szCs w:val="28"/>
        </w:rPr>
      </w:pPr>
      <w:r w:rsidRPr="00D2556F">
        <w:rPr>
          <w:rFonts w:ascii="仿宋" w:eastAsia="仿宋" w:hAnsi="仿宋"/>
          <w:bCs/>
          <w:sz w:val="28"/>
          <w:szCs w:val="28"/>
        </w:rPr>
        <w:t>在国家政策的引导下，边民互市贸易正与乡村振兴战略紧密结合。通过建立边民合作社、互助组等组织形式，并与村集体利益分配机制挂钩，互市贸易的成果能够更好地反哺乡村建设，成为推动现代化边境小康村建设的新引擎</w:t>
      </w:r>
      <w:r>
        <w:rPr>
          <w:rFonts w:ascii="仿宋" w:eastAsia="仿宋" w:hAnsi="仿宋" w:hint="eastAsia"/>
          <w:bCs/>
          <w:sz w:val="28"/>
          <w:szCs w:val="28"/>
        </w:rPr>
        <w:t>。</w:t>
      </w:r>
    </w:p>
    <w:p w14:paraId="6DC6191A" w14:textId="551DA202" w:rsidR="00297C08" w:rsidRPr="00CE7DE7" w:rsidRDefault="00264983">
      <w:pPr>
        <w:rPr>
          <w:rStyle w:val="aa"/>
        </w:rPr>
      </w:pPr>
      <w:r>
        <w:rPr>
          <w:rFonts w:ascii="仿宋" w:eastAsia="仿宋" w:hAnsi="仿宋" w:hint="eastAsia"/>
          <w:b/>
          <w:sz w:val="28"/>
          <w:szCs w:val="28"/>
        </w:rPr>
        <w:t>2.</w:t>
      </w:r>
      <w:r>
        <w:rPr>
          <w:rFonts w:ascii="仿宋" w:eastAsia="仿宋" w:hAnsi="仿宋"/>
          <w:b/>
          <w:sz w:val="28"/>
          <w:szCs w:val="28"/>
        </w:rPr>
        <w:t xml:space="preserve"> </w:t>
      </w:r>
      <w:r w:rsidR="00464800">
        <w:rPr>
          <w:rFonts w:ascii="仿宋" w:eastAsia="仿宋" w:hAnsi="仿宋" w:hint="eastAsia"/>
          <w:b/>
          <w:sz w:val="28"/>
          <w:szCs w:val="28"/>
        </w:rPr>
        <w:t>霍尔果斯</w:t>
      </w:r>
      <w:r w:rsidR="00DC6CB7">
        <w:rPr>
          <w:rFonts w:ascii="仿宋" w:eastAsia="仿宋" w:hAnsi="仿宋" w:hint="eastAsia"/>
          <w:b/>
          <w:sz w:val="28"/>
          <w:szCs w:val="28"/>
        </w:rPr>
        <w:t>边民互市项目成立必要性</w:t>
      </w:r>
    </w:p>
    <w:p w14:paraId="63BDFEEB" w14:textId="53E6269C" w:rsidR="00297C08" w:rsidRDefault="00264983" w:rsidP="00264983">
      <w:pPr>
        <w:rPr>
          <w:rFonts w:ascii="仿宋" w:eastAsia="仿宋" w:hAnsi="仿宋"/>
          <w:b/>
          <w:sz w:val="28"/>
          <w:szCs w:val="28"/>
        </w:rPr>
      </w:pPr>
      <w:r w:rsidRPr="00264983">
        <w:rPr>
          <w:rFonts w:ascii="仿宋" w:eastAsia="仿宋" w:hAnsi="仿宋" w:hint="eastAsia"/>
          <w:b/>
          <w:sz w:val="28"/>
          <w:szCs w:val="28"/>
        </w:rPr>
        <w:t>2</w:t>
      </w:r>
      <w:r w:rsidR="00DC6CB7" w:rsidRPr="00264983">
        <w:rPr>
          <w:rFonts w:ascii="仿宋" w:eastAsia="仿宋" w:hAnsi="仿宋" w:hint="eastAsia"/>
          <w:b/>
          <w:sz w:val="28"/>
          <w:szCs w:val="28"/>
        </w:rPr>
        <w:t>.1</w:t>
      </w:r>
      <w:r w:rsidR="00D2556F">
        <w:rPr>
          <w:rFonts w:ascii="仿宋" w:eastAsia="仿宋" w:hAnsi="仿宋" w:hint="eastAsia"/>
          <w:b/>
          <w:sz w:val="28"/>
          <w:szCs w:val="28"/>
        </w:rPr>
        <w:t>与阿拉山口边民互市形成互补</w:t>
      </w:r>
    </w:p>
    <w:p w14:paraId="068BA103" w14:textId="0CB884DB" w:rsidR="00D2556F" w:rsidRPr="00464800" w:rsidRDefault="00464800" w:rsidP="00264983">
      <w:pPr>
        <w:rPr>
          <w:rFonts w:ascii="仿宋" w:eastAsia="仿宋" w:hAnsi="仿宋"/>
          <w:bCs/>
          <w:sz w:val="28"/>
          <w:szCs w:val="28"/>
        </w:rPr>
      </w:pPr>
      <w:r w:rsidRPr="00464800">
        <w:rPr>
          <w:rFonts w:ascii="仿宋" w:eastAsia="仿宋" w:hAnsi="仿宋" w:hint="eastAsia"/>
          <w:bCs/>
          <w:sz w:val="28"/>
          <w:szCs w:val="28"/>
        </w:rPr>
        <w:t>霍尔果斯区位优势</w:t>
      </w:r>
      <w:r>
        <w:rPr>
          <w:rFonts w:ascii="仿宋" w:eastAsia="仿宋" w:hAnsi="仿宋" w:hint="eastAsia"/>
          <w:bCs/>
          <w:sz w:val="28"/>
          <w:szCs w:val="28"/>
        </w:rPr>
        <w:t>明显，对哈萨克斯坦及中亚地区人员往来与贸易更加频繁，相较于阿拉山口，其发展边民互市贸易具有独特优势。目前，阿拉山口的边民互市贸易已经相当成熟、稳定，落地加工政策也已经自治区商务厅批复。下一步阿拉山口边民互市将重点发力“整进整出”落地加工业务，相应的产品品类也将从目前的以干果为主转为以粮油</w:t>
      </w:r>
      <w:r>
        <w:rPr>
          <w:rFonts w:ascii="仿宋" w:eastAsia="仿宋" w:hAnsi="仿宋" w:hint="eastAsia"/>
          <w:bCs/>
          <w:sz w:val="28"/>
          <w:szCs w:val="28"/>
        </w:rPr>
        <w:lastRenderedPageBreak/>
        <w:t>大宗原料为主。如果能够顺利摘牌霍尔果斯边民互市区运营公司股权，就会形成阿拉山口+霍尔果斯相互协同的北疆边民互市战略格局，对边民互市业务的把控性、竞争力更强。而当阿拉山口专注落地加工粮油原料贸易时，霍尔果斯正好可以接住干果等产品整进散出带来的巨量订单，也为阿拉山口的业务转型提供腾挪空间，无缝衔接。</w:t>
      </w:r>
    </w:p>
    <w:p w14:paraId="4F84AC66" w14:textId="4456004B" w:rsidR="00297C08" w:rsidRDefault="00264983">
      <w:pPr>
        <w:rPr>
          <w:rFonts w:ascii="仿宋" w:eastAsia="仿宋" w:hAnsi="仿宋"/>
          <w:b/>
          <w:sz w:val="28"/>
          <w:szCs w:val="28"/>
        </w:rPr>
      </w:pPr>
      <w:r>
        <w:rPr>
          <w:rFonts w:ascii="仿宋" w:eastAsia="仿宋" w:hAnsi="仿宋" w:hint="eastAsia"/>
          <w:b/>
          <w:sz w:val="28"/>
          <w:szCs w:val="28"/>
        </w:rPr>
        <w:t>2.2</w:t>
      </w:r>
      <w:r w:rsidR="00DC6CB7">
        <w:rPr>
          <w:rFonts w:ascii="仿宋" w:eastAsia="仿宋" w:hAnsi="仿宋" w:hint="eastAsia"/>
          <w:b/>
          <w:sz w:val="28"/>
          <w:szCs w:val="28"/>
        </w:rPr>
        <w:t xml:space="preserve"> </w:t>
      </w:r>
      <w:r w:rsidR="00D2556F">
        <w:rPr>
          <w:rFonts w:ascii="仿宋" w:eastAsia="仿宋" w:hAnsi="仿宋" w:hint="eastAsia"/>
          <w:b/>
          <w:sz w:val="28"/>
          <w:szCs w:val="28"/>
        </w:rPr>
        <w:t>对冲区域监管政策执行力度不同带来风险</w:t>
      </w:r>
    </w:p>
    <w:p w14:paraId="2A7BA748" w14:textId="79458662" w:rsidR="00D2556F" w:rsidRDefault="00464800">
      <w:pPr>
        <w:rPr>
          <w:rFonts w:ascii="仿宋" w:eastAsia="仿宋" w:hAnsi="仿宋"/>
          <w:bCs/>
          <w:sz w:val="28"/>
          <w:szCs w:val="28"/>
        </w:rPr>
      </w:pPr>
      <w:r w:rsidRPr="00464800">
        <w:rPr>
          <w:rFonts w:ascii="仿宋" w:eastAsia="仿宋" w:hAnsi="仿宋" w:hint="eastAsia"/>
          <w:bCs/>
          <w:sz w:val="28"/>
          <w:szCs w:val="28"/>
        </w:rPr>
        <w:t>边民互市业务</w:t>
      </w:r>
      <w:r>
        <w:rPr>
          <w:rFonts w:ascii="仿宋" w:eastAsia="仿宋" w:hAnsi="仿宋" w:hint="eastAsia"/>
          <w:bCs/>
          <w:sz w:val="28"/>
          <w:szCs w:val="28"/>
        </w:rPr>
        <w:t>新的管理制度在2024年完成征求意见后，仍未正式发布实施，其实际执行的管理制度仍然沿用1996年版本。但边民互市业务实操过程中的基本情况与当时政策制定时已经发生了极大变化。两者的矛盾之处造成海关、海关缉私、商务主管部门和当地政府在实际履职时往往具有不同的视角甚至不同尺度。如2025年下半年，阿拉山口海关在执行果干边民互市贸易进口管理时就坚持从严的原则，还有窗口指导，使得企业的进口便利性与以往相比有所下降。</w:t>
      </w:r>
    </w:p>
    <w:p w14:paraId="13823323" w14:textId="3874EC1D" w:rsidR="00464800" w:rsidRPr="00464800" w:rsidRDefault="00464800">
      <w:pPr>
        <w:rPr>
          <w:rFonts w:ascii="仿宋" w:eastAsia="仿宋" w:hAnsi="仿宋"/>
          <w:bCs/>
          <w:sz w:val="28"/>
          <w:szCs w:val="28"/>
        </w:rPr>
      </w:pPr>
      <w:r>
        <w:rPr>
          <w:rFonts w:ascii="仿宋" w:eastAsia="仿宋" w:hAnsi="仿宋" w:hint="eastAsia"/>
          <w:bCs/>
          <w:sz w:val="28"/>
          <w:szCs w:val="28"/>
        </w:rPr>
        <w:t>如果能够顺利摘牌霍尔果斯边民互市贸易区公司股权，获得霍尔果斯边民互市区运营权，将极大的对冲此类风险，更好的运营边民互市业务，服务边民互市参与主体。</w:t>
      </w:r>
    </w:p>
    <w:p w14:paraId="4334ED8F" w14:textId="77777777" w:rsidR="00297C08" w:rsidRDefault="000F1499">
      <w:pPr>
        <w:rPr>
          <w:rFonts w:ascii="仿宋" w:eastAsia="仿宋" w:hAnsi="仿宋"/>
          <w:b/>
          <w:sz w:val="28"/>
          <w:szCs w:val="28"/>
        </w:rPr>
      </w:pPr>
      <w:bookmarkStart w:id="2" w:name="_Toc475692285"/>
      <w:bookmarkStart w:id="3" w:name="_Toc18602473"/>
      <w:bookmarkStart w:id="4" w:name="_Toc475973625"/>
      <w:r w:rsidRPr="00887462">
        <w:rPr>
          <w:rFonts w:ascii="仿宋" w:eastAsia="仿宋" w:hAnsi="仿宋" w:hint="eastAsia"/>
          <w:b/>
          <w:sz w:val="28"/>
          <w:szCs w:val="28"/>
        </w:rPr>
        <w:t>3</w:t>
      </w:r>
      <w:r w:rsidR="00DC6CB7" w:rsidRPr="00887462">
        <w:rPr>
          <w:rFonts w:ascii="仿宋" w:eastAsia="仿宋" w:hAnsi="仿宋" w:hint="eastAsia"/>
          <w:b/>
          <w:sz w:val="28"/>
          <w:szCs w:val="28"/>
        </w:rPr>
        <w:t>.</w:t>
      </w:r>
      <w:bookmarkEnd w:id="2"/>
      <w:bookmarkEnd w:id="3"/>
      <w:bookmarkEnd w:id="4"/>
      <w:r w:rsidR="00A745EB">
        <w:rPr>
          <w:rFonts w:ascii="仿宋" w:eastAsia="仿宋" w:hAnsi="仿宋"/>
          <w:b/>
          <w:sz w:val="28"/>
          <w:szCs w:val="28"/>
        </w:rPr>
        <w:t xml:space="preserve"> </w:t>
      </w:r>
      <w:r w:rsidR="00887462" w:rsidRPr="00887462">
        <w:rPr>
          <w:rFonts w:ascii="仿宋" w:eastAsia="仿宋" w:hAnsi="仿宋"/>
          <w:b/>
          <w:sz w:val="28"/>
          <w:szCs w:val="28"/>
        </w:rPr>
        <w:t>合作</w:t>
      </w:r>
      <w:r w:rsidR="00887462">
        <w:rPr>
          <w:rFonts w:ascii="仿宋" w:eastAsia="仿宋" w:hAnsi="仿宋" w:hint="eastAsia"/>
          <w:b/>
          <w:sz w:val="28"/>
          <w:szCs w:val="28"/>
        </w:rPr>
        <w:t>方介绍及公司结构</w:t>
      </w:r>
    </w:p>
    <w:p w14:paraId="608A5240" w14:textId="77777777" w:rsidR="0055652B" w:rsidRPr="00887462" w:rsidRDefault="00A745EB" w:rsidP="000F1499">
      <w:pPr>
        <w:rPr>
          <w:rFonts w:ascii="仿宋" w:eastAsia="仿宋" w:hAnsi="仿宋"/>
          <w:b/>
          <w:sz w:val="28"/>
          <w:szCs w:val="28"/>
        </w:rPr>
      </w:pPr>
      <w:r w:rsidRPr="00887462">
        <w:rPr>
          <w:rFonts w:ascii="仿宋" w:eastAsia="仿宋" w:hAnsi="仿宋" w:hint="eastAsia"/>
          <w:b/>
          <w:sz w:val="28"/>
          <w:szCs w:val="28"/>
        </w:rPr>
        <w:t>3</w:t>
      </w:r>
      <w:r w:rsidRPr="00887462">
        <w:rPr>
          <w:rFonts w:ascii="仿宋" w:eastAsia="仿宋" w:hAnsi="仿宋"/>
          <w:b/>
          <w:sz w:val="28"/>
          <w:szCs w:val="28"/>
        </w:rPr>
        <w:t>.1 合作方介绍</w:t>
      </w:r>
    </w:p>
    <w:p w14:paraId="35825025" w14:textId="77777777" w:rsidR="00297C08" w:rsidRPr="00887462" w:rsidRDefault="000F1499" w:rsidP="000F1499">
      <w:pPr>
        <w:rPr>
          <w:rFonts w:ascii="仿宋" w:eastAsia="仿宋" w:hAnsi="仿宋"/>
          <w:b/>
          <w:sz w:val="28"/>
          <w:szCs w:val="28"/>
        </w:rPr>
      </w:pPr>
      <w:r w:rsidRPr="00887462">
        <w:rPr>
          <w:rFonts w:ascii="仿宋" w:eastAsia="仿宋" w:hAnsi="仿宋" w:hint="eastAsia"/>
          <w:b/>
          <w:sz w:val="28"/>
          <w:szCs w:val="28"/>
        </w:rPr>
        <w:t>3</w:t>
      </w:r>
      <w:r w:rsidR="00DC6CB7" w:rsidRPr="00887462">
        <w:rPr>
          <w:rFonts w:ascii="仿宋" w:eastAsia="仿宋" w:hAnsi="仿宋"/>
          <w:b/>
          <w:sz w:val="28"/>
          <w:szCs w:val="28"/>
        </w:rPr>
        <w:t>.1</w:t>
      </w:r>
      <w:r w:rsidR="0055652B" w:rsidRPr="00887462">
        <w:rPr>
          <w:rFonts w:ascii="仿宋" w:eastAsia="仿宋" w:hAnsi="仿宋" w:hint="eastAsia"/>
          <w:b/>
          <w:sz w:val="28"/>
          <w:szCs w:val="28"/>
        </w:rPr>
        <w:t>.1</w:t>
      </w:r>
      <w:r w:rsidR="00DC6CB7" w:rsidRPr="00887462">
        <w:rPr>
          <w:rFonts w:ascii="仿宋" w:eastAsia="仿宋" w:hAnsi="仿宋"/>
          <w:b/>
          <w:sz w:val="28"/>
          <w:szCs w:val="28"/>
        </w:rPr>
        <w:t xml:space="preserve"> </w:t>
      </w:r>
      <w:r w:rsidR="00DC6CB7" w:rsidRPr="00887462">
        <w:rPr>
          <w:rFonts w:ascii="仿宋" w:eastAsia="仿宋" w:hAnsi="仿宋" w:hint="eastAsia"/>
          <w:b/>
          <w:sz w:val="28"/>
          <w:szCs w:val="28"/>
        </w:rPr>
        <w:t>中信建设有限责任公司</w:t>
      </w:r>
    </w:p>
    <w:p w14:paraId="63496EAF" w14:textId="061D9BA0" w:rsidR="00297C08" w:rsidRDefault="0043433F">
      <w:pPr>
        <w:ind w:firstLine="536"/>
        <w:rPr>
          <w:rFonts w:ascii="仿宋" w:eastAsia="仿宋" w:hAnsi="仿宋" w:cs="仿宋"/>
          <w:spacing w:val="-6"/>
          <w:sz w:val="28"/>
          <w:szCs w:val="28"/>
        </w:rPr>
      </w:pPr>
      <w:r w:rsidRPr="0043433F">
        <w:rPr>
          <w:rFonts w:ascii="仿宋" w:eastAsia="仿宋" w:hAnsi="仿宋" w:cs="仿宋"/>
          <w:spacing w:val="-6"/>
          <w:sz w:val="28"/>
          <w:szCs w:val="28"/>
        </w:rPr>
        <w:t>是中国中信股份有限责任公司下属的全资子公司和在国际工程市场上最为活跃的大型综合性服务集团之一，具有国内外大型工程项目投标、融资、设计、施工和工程管理的经验，尤其在非洲、南美洲和中亚</w:t>
      </w:r>
      <w:r w:rsidRPr="0043433F">
        <w:rPr>
          <w:rFonts w:ascii="仿宋" w:eastAsia="仿宋" w:hAnsi="仿宋" w:cs="仿宋"/>
          <w:spacing w:val="-6"/>
          <w:sz w:val="28"/>
          <w:szCs w:val="28"/>
        </w:rPr>
        <w:lastRenderedPageBreak/>
        <w:t>等地区的国家有成功运作和实施大型工程建设项目的案例，并与项目所在国家建立了融洽的上层关系和广泛的人脉资源。自2008年起正式进入农业领域，</w:t>
      </w:r>
      <w:r w:rsidR="002A352B">
        <w:rPr>
          <w:rFonts w:ascii="仿宋" w:eastAsia="仿宋" w:hAnsi="仿宋" w:cs="仿宋" w:hint="eastAsia"/>
          <w:spacing w:val="-6"/>
          <w:sz w:val="28"/>
          <w:szCs w:val="28"/>
        </w:rPr>
        <w:t>中信建设</w:t>
      </w:r>
      <w:r w:rsidRPr="0043433F">
        <w:rPr>
          <w:rFonts w:ascii="仿宋" w:eastAsia="仿宋" w:hAnsi="仿宋" w:cs="仿宋"/>
          <w:spacing w:val="-6"/>
          <w:sz w:val="28"/>
          <w:szCs w:val="28"/>
        </w:rPr>
        <w:t>主导了非洲安哥拉占地面积共2万公顷的两个国有大型农场的建设和运营，在玉米、水稻、大豆、牛肉生产和加工等领域具有丰富的经验。</w:t>
      </w:r>
      <w:r w:rsidR="002A352B">
        <w:rPr>
          <w:rFonts w:ascii="仿宋" w:eastAsia="仿宋" w:hAnsi="仿宋" w:cs="仿宋" w:hint="eastAsia"/>
          <w:spacing w:val="-6"/>
          <w:sz w:val="28"/>
          <w:szCs w:val="28"/>
        </w:rPr>
        <w:t>中信建设在中亚地区的影响力、资源将显著有利于霍尔果斯边民互市业务未来长远发展。</w:t>
      </w:r>
    </w:p>
    <w:p w14:paraId="0C8FEEB1" w14:textId="6D4185DE" w:rsidR="00297C08" w:rsidRPr="00887462" w:rsidRDefault="000F1499" w:rsidP="000F1499">
      <w:pPr>
        <w:rPr>
          <w:rFonts w:ascii="仿宋" w:eastAsia="仿宋" w:hAnsi="仿宋"/>
          <w:b/>
          <w:sz w:val="28"/>
          <w:szCs w:val="28"/>
        </w:rPr>
      </w:pPr>
      <w:r w:rsidRPr="00887462">
        <w:rPr>
          <w:rFonts w:ascii="仿宋" w:eastAsia="仿宋" w:hAnsi="仿宋" w:hint="eastAsia"/>
          <w:b/>
          <w:sz w:val="28"/>
          <w:szCs w:val="28"/>
        </w:rPr>
        <w:t>3</w:t>
      </w:r>
      <w:r w:rsidR="00DC6CB7" w:rsidRPr="00887462">
        <w:rPr>
          <w:rFonts w:ascii="仿宋" w:eastAsia="仿宋" w:hAnsi="仿宋"/>
          <w:b/>
          <w:sz w:val="28"/>
          <w:szCs w:val="28"/>
        </w:rPr>
        <w:t>.</w:t>
      </w:r>
      <w:r w:rsidR="0055652B" w:rsidRPr="00887462">
        <w:rPr>
          <w:rFonts w:ascii="仿宋" w:eastAsia="仿宋" w:hAnsi="仿宋" w:hint="eastAsia"/>
          <w:b/>
          <w:sz w:val="28"/>
          <w:szCs w:val="28"/>
        </w:rPr>
        <w:t>1.</w:t>
      </w:r>
      <w:r w:rsidR="002A352B">
        <w:rPr>
          <w:rFonts w:ascii="仿宋" w:eastAsia="仿宋" w:hAnsi="仿宋" w:hint="eastAsia"/>
          <w:b/>
          <w:sz w:val="28"/>
          <w:szCs w:val="28"/>
        </w:rPr>
        <w:t>2</w:t>
      </w:r>
      <w:r w:rsidR="00DC6CB7" w:rsidRPr="00887462">
        <w:rPr>
          <w:rFonts w:ascii="仿宋" w:eastAsia="仿宋" w:hAnsi="仿宋" w:hint="eastAsia"/>
          <w:b/>
          <w:sz w:val="28"/>
          <w:szCs w:val="28"/>
        </w:rPr>
        <w:t>阿拉山口哈粮进出口有限公司</w:t>
      </w:r>
    </w:p>
    <w:p w14:paraId="08C4AA16" w14:textId="125FFFD7" w:rsidR="00297C08" w:rsidRDefault="00DC6CB7">
      <w:pPr>
        <w:ind w:firstLine="560"/>
        <w:rPr>
          <w:rFonts w:ascii="仿宋" w:eastAsia="仿宋" w:hAnsi="仿宋" w:cs="仿宋"/>
          <w:spacing w:val="-6"/>
          <w:sz w:val="28"/>
          <w:szCs w:val="28"/>
        </w:rPr>
      </w:pPr>
      <w:r>
        <w:rPr>
          <w:rFonts w:ascii="仿宋" w:eastAsia="仿宋" w:hAnsi="仿宋" w:cs="仿宋" w:hint="eastAsia"/>
          <w:spacing w:val="-6"/>
          <w:sz w:val="28"/>
          <w:szCs w:val="28"/>
        </w:rPr>
        <w:t>阿拉山口哈粮进出口有限公司（以下简称“哈粮”）是注册在阿拉山口本地的一家具备肉类进口资质的贸易公司，是博州和阿拉山口市重点外贸企业之一，也是向新疆维吾尔自治区商务厅报备的重点外贸监测企业之一，长期为推动阿拉山口进出口贸易繁荣发展发挥着重要的作用。哈粮公司长年在哈方深入拓展市场关系，具有与哈萨克斯坦主流农副产品供应商合作的丰富经验，主导运作了中哈首批牛肉进口</w:t>
      </w:r>
      <w:r w:rsidR="002A352B">
        <w:rPr>
          <w:rFonts w:ascii="仿宋" w:eastAsia="仿宋" w:hAnsi="仿宋" w:cs="仿宋" w:hint="eastAsia"/>
          <w:spacing w:val="-6"/>
          <w:sz w:val="28"/>
          <w:szCs w:val="28"/>
        </w:rPr>
        <w:t>和阿拉山口边民互市业务的创立和运营</w:t>
      </w:r>
      <w:r>
        <w:rPr>
          <w:rFonts w:ascii="仿宋" w:eastAsia="仿宋" w:hAnsi="仿宋" w:cs="仿宋" w:hint="eastAsia"/>
          <w:spacing w:val="-6"/>
          <w:sz w:val="28"/>
          <w:szCs w:val="28"/>
        </w:rPr>
        <w:t>。公司以深化中哈贸易、推动边民互市市场建设为契机，进一步扩大贸易额，助力地方经济发展，推动外贸优化结构和高质量发展。</w:t>
      </w:r>
    </w:p>
    <w:p w14:paraId="7BBDC0CA" w14:textId="05E65D64" w:rsidR="00297C08" w:rsidRDefault="0055652B" w:rsidP="00887462">
      <w:pPr>
        <w:rPr>
          <w:rFonts w:ascii="仿宋" w:eastAsia="仿宋" w:hAnsi="仿宋"/>
          <w:b/>
          <w:sz w:val="28"/>
          <w:szCs w:val="28"/>
        </w:rPr>
      </w:pPr>
      <w:bookmarkStart w:id="5" w:name="_Toc475692287"/>
      <w:bookmarkStart w:id="6" w:name="_Toc475973627"/>
      <w:bookmarkStart w:id="7" w:name="_Toc18602475"/>
      <w:r w:rsidRPr="00887462">
        <w:rPr>
          <w:rFonts w:ascii="仿宋" w:eastAsia="仿宋" w:hAnsi="仿宋" w:hint="eastAsia"/>
          <w:b/>
          <w:sz w:val="28"/>
          <w:szCs w:val="28"/>
        </w:rPr>
        <w:t>3</w:t>
      </w:r>
      <w:r w:rsidR="00DC6CB7" w:rsidRPr="00887462">
        <w:rPr>
          <w:rFonts w:ascii="仿宋" w:eastAsia="仿宋" w:hAnsi="仿宋"/>
          <w:b/>
          <w:sz w:val="28"/>
          <w:szCs w:val="28"/>
        </w:rPr>
        <w:t xml:space="preserve">.2   </w:t>
      </w:r>
      <w:r w:rsidR="002A352B">
        <w:rPr>
          <w:rFonts w:ascii="仿宋" w:eastAsia="仿宋" w:hAnsi="仿宋" w:hint="eastAsia"/>
          <w:b/>
          <w:sz w:val="28"/>
          <w:szCs w:val="28"/>
        </w:rPr>
        <w:t>标的</w:t>
      </w:r>
      <w:r w:rsidR="00DC6CB7" w:rsidRPr="00887462">
        <w:rPr>
          <w:rFonts w:ascii="仿宋" w:eastAsia="仿宋" w:hAnsi="仿宋" w:hint="eastAsia"/>
          <w:b/>
          <w:sz w:val="28"/>
          <w:szCs w:val="28"/>
        </w:rPr>
        <w:t>公司</w:t>
      </w:r>
      <w:bookmarkEnd w:id="5"/>
      <w:bookmarkEnd w:id="6"/>
      <w:bookmarkEnd w:id="7"/>
      <w:r w:rsidR="002A352B">
        <w:rPr>
          <w:rFonts w:ascii="仿宋" w:eastAsia="仿宋" w:hAnsi="仿宋" w:hint="eastAsia"/>
          <w:b/>
          <w:sz w:val="28"/>
          <w:szCs w:val="28"/>
        </w:rPr>
        <w:t>基本情况</w:t>
      </w:r>
    </w:p>
    <w:p w14:paraId="27F2E60D" w14:textId="76B28322" w:rsidR="002A352B" w:rsidRDefault="00B33C45" w:rsidP="00887462">
      <w:pPr>
        <w:rPr>
          <w:rFonts w:ascii="仿宋" w:eastAsia="仿宋" w:hAnsi="仿宋"/>
          <w:bCs/>
          <w:sz w:val="28"/>
          <w:szCs w:val="28"/>
        </w:rPr>
      </w:pPr>
      <w:r w:rsidRPr="00B33C45">
        <w:rPr>
          <w:rFonts w:ascii="仿宋" w:eastAsia="仿宋" w:hAnsi="仿宋"/>
          <w:bCs/>
          <w:sz w:val="28"/>
          <w:szCs w:val="28"/>
        </w:rPr>
        <w:t>霍尔果斯市边民互市贸易区运营管理有限公司</w:t>
      </w:r>
      <w:r w:rsidRPr="00B33C45">
        <w:rPr>
          <w:rFonts w:ascii="仿宋" w:eastAsia="仿宋" w:hAnsi="仿宋" w:hint="eastAsia"/>
          <w:bCs/>
          <w:sz w:val="28"/>
          <w:szCs w:val="28"/>
        </w:rPr>
        <w:t>，</w:t>
      </w:r>
      <w:r>
        <w:rPr>
          <w:rFonts w:ascii="仿宋" w:eastAsia="仿宋" w:hAnsi="仿宋" w:hint="eastAsia"/>
          <w:bCs/>
          <w:sz w:val="28"/>
          <w:szCs w:val="28"/>
        </w:rPr>
        <w:t>成立于2021年3月19日，</w:t>
      </w:r>
      <w:r w:rsidRPr="00B33C45">
        <w:rPr>
          <w:rFonts w:ascii="仿宋" w:eastAsia="仿宋" w:hAnsi="仿宋" w:hint="eastAsia"/>
          <w:bCs/>
          <w:sz w:val="28"/>
          <w:szCs w:val="28"/>
        </w:rPr>
        <w:t>注册地</w:t>
      </w:r>
      <w:r w:rsidRPr="00B33C45">
        <w:rPr>
          <w:rFonts w:ascii="仿宋" w:eastAsia="仿宋" w:hAnsi="仿宋"/>
          <w:bCs/>
          <w:sz w:val="28"/>
          <w:szCs w:val="28"/>
        </w:rPr>
        <w:t>新疆伊犁哈萨克自治州霍尔果斯市重庆路6号</w:t>
      </w:r>
      <w:r>
        <w:rPr>
          <w:rFonts w:ascii="仿宋" w:eastAsia="仿宋" w:hAnsi="仿宋" w:hint="eastAsia"/>
          <w:bCs/>
          <w:sz w:val="28"/>
          <w:szCs w:val="28"/>
        </w:rPr>
        <w:t>，统一社会信用代码</w:t>
      </w:r>
      <w:r w:rsidRPr="00B33C45">
        <w:rPr>
          <w:rFonts w:ascii="仿宋" w:eastAsia="仿宋" w:hAnsi="仿宋" w:hint="eastAsia"/>
          <w:bCs/>
          <w:sz w:val="28"/>
          <w:szCs w:val="28"/>
        </w:rPr>
        <w:t>91654004MA794T6742</w:t>
      </w:r>
      <w:r>
        <w:rPr>
          <w:rFonts w:ascii="仿宋" w:eastAsia="仿宋" w:hAnsi="仿宋" w:hint="eastAsia"/>
          <w:bCs/>
          <w:sz w:val="28"/>
          <w:szCs w:val="28"/>
        </w:rPr>
        <w:t>，公司性质为有限责任公司，注册资本5000万元，法定代表人陈志国。公司股东为</w:t>
      </w:r>
      <w:r w:rsidRPr="00B33C45">
        <w:rPr>
          <w:rFonts w:ascii="仿宋" w:eastAsia="仿宋" w:hAnsi="仿宋"/>
          <w:bCs/>
          <w:sz w:val="28"/>
          <w:szCs w:val="28"/>
        </w:rPr>
        <w:t>霍尔果斯亚欧商贸物流集团有限公司</w:t>
      </w:r>
      <w:r>
        <w:rPr>
          <w:rFonts w:ascii="仿宋" w:eastAsia="仿宋" w:hAnsi="仿宋" w:hint="eastAsia"/>
          <w:bCs/>
          <w:sz w:val="28"/>
          <w:szCs w:val="28"/>
        </w:rPr>
        <w:t>，持股比例100%。公司属于商务服务业，具体</w:t>
      </w:r>
      <w:r>
        <w:rPr>
          <w:rFonts w:ascii="仿宋" w:eastAsia="仿宋" w:hAnsi="仿宋" w:hint="eastAsia"/>
          <w:bCs/>
          <w:sz w:val="28"/>
          <w:szCs w:val="28"/>
        </w:rPr>
        <w:lastRenderedPageBreak/>
        <w:t>经营范围</w:t>
      </w:r>
      <w:r w:rsidRPr="00B33C45">
        <w:rPr>
          <w:rFonts w:ascii="仿宋" w:eastAsia="仿宋" w:hAnsi="仿宋"/>
          <w:bCs/>
          <w:sz w:val="28"/>
          <w:szCs w:val="28"/>
        </w:rPr>
        <w:t>免税商品销售；海关监管货物仓储服务（不含危险化学品、危险货物）；国际道路货物运输。（依法须经批准的项目，经相关部门批准后方可开展经营活动，具体经营项目以相关部门批准文件或许可证件为准）一般项目：企业总部管理；集贸市场管理服务；办公设备租赁服务；柜台、摊位出租；运输设备租赁服务；商业综合体管理服务；报关业务；鞋帽批发；珠宝首饰批发；工艺美术品及收藏品批发（象牙及其制品除外）；体育用品及器材批发；厨具卫具及日用杂品批发；日用品批发；服装服饰批发；日用百货销售；化妆品批发；化妆品零售；日用品销售；国内贸易代理；贸易经纪；报检业务；食用农产品批发；初级农产品收购；建筑装饰材料销售；家具销售；家具零配件销售；电线、电缆经营；饲料原料销售；互联网销售（除销售需要许可的商品）；珠宝首饰零售；金银制品销售；采购代理服务；政府采购代理服务；销售代理；电子产品销售；牲畜销售（不含犬类）；牲畜销售；畜禽收购；汽车零配件零售；汽车新车销售；机械设备销售；化肥销售；肥料销售；包装材料及制品销售；非金属矿及制品销售；金属结构销售；金属材料销售；五金产品零售；五金产品批发；金属制品销售；汽车零配件批发；服装服饰零售；劳动保护用品销售；针纺织品销售；针纺织品及原料销售；农副产品销售；有色金属合金销售；林业产品销售；金属链条及其他金属制品销售；进出口代理；货物进出口；第一类医疗器械销售；畜牧渔业饲料销售；煤炭及制品销售；石油制品销售（不含危险化学品）；化工产品销售（不含许可类化工产品）；光缆销售；特种劳动防护用品销售；建筑用钢筋产品</w:t>
      </w:r>
      <w:r w:rsidRPr="00B33C45">
        <w:rPr>
          <w:rFonts w:ascii="仿宋" w:eastAsia="仿宋" w:hAnsi="仿宋"/>
          <w:bCs/>
          <w:sz w:val="28"/>
          <w:szCs w:val="28"/>
        </w:rPr>
        <w:lastRenderedPageBreak/>
        <w:t>销售；轻质建筑材料销售；电动自行车销售；半导体器件专用设备销售；消防器材销售；集成电路芯片及产品销售；建筑材料销售；水泥制品销售；环境保护专用设备销售；环境监测专用仪器仪表销售；水质污染物监测及检测仪器仪表销售；非居住房地产租赁；住房租赁；物业管理；运输货物打包服务；国内货物运输代理。（除依法须经批准的项目外，凭营业执照依法自主开展经营活动）</w:t>
      </w:r>
      <w:r>
        <w:rPr>
          <w:rFonts w:ascii="仿宋" w:eastAsia="仿宋" w:hAnsi="仿宋" w:hint="eastAsia"/>
          <w:bCs/>
          <w:sz w:val="28"/>
          <w:szCs w:val="28"/>
        </w:rPr>
        <w:t>。</w:t>
      </w:r>
    </w:p>
    <w:p w14:paraId="6D045B58" w14:textId="5EC59498" w:rsidR="002A352B" w:rsidRPr="00B33C45" w:rsidRDefault="00B33C45" w:rsidP="00887462">
      <w:pPr>
        <w:rPr>
          <w:rFonts w:ascii="仿宋" w:eastAsia="仿宋" w:hAnsi="仿宋"/>
          <w:bCs/>
          <w:sz w:val="28"/>
          <w:szCs w:val="28"/>
        </w:rPr>
      </w:pPr>
      <w:r>
        <w:rPr>
          <w:rFonts w:ascii="仿宋" w:eastAsia="仿宋" w:hAnsi="仿宋" w:hint="eastAsia"/>
          <w:bCs/>
          <w:sz w:val="28"/>
          <w:szCs w:val="28"/>
        </w:rPr>
        <w:t>公司经营业绩方面，2024年营业收入155.46万元，利润-32.31万元。公司资产方面，拥有资产228.27万元，负债334.41万元，所有者权益-106.14万元。</w:t>
      </w:r>
      <w:r w:rsidRPr="00B33C45">
        <w:rPr>
          <w:rFonts w:ascii="仿宋" w:eastAsia="仿宋" w:hAnsi="仿宋" w:hint="eastAsia"/>
          <w:bCs/>
          <w:sz w:val="28"/>
          <w:szCs w:val="28"/>
        </w:rPr>
        <w:t>公司目前有员工4人。</w:t>
      </w:r>
    </w:p>
    <w:p w14:paraId="75377783" w14:textId="008DC750" w:rsidR="00B33C45" w:rsidRPr="00B33C45" w:rsidRDefault="00B33C45" w:rsidP="00887462">
      <w:pPr>
        <w:rPr>
          <w:rFonts w:ascii="仿宋" w:eastAsia="仿宋" w:hAnsi="仿宋"/>
          <w:b/>
          <w:sz w:val="28"/>
          <w:szCs w:val="28"/>
        </w:rPr>
      </w:pPr>
      <w:r w:rsidRPr="00B33C45">
        <w:rPr>
          <w:rFonts w:ascii="仿宋" w:eastAsia="仿宋" w:hAnsi="仿宋" w:hint="eastAsia"/>
          <w:b/>
          <w:sz w:val="28"/>
          <w:szCs w:val="28"/>
        </w:rPr>
        <w:t>3.3</w:t>
      </w:r>
      <w:r>
        <w:rPr>
          <w:rFonts w:ascii="仿宋" w:eastAsia="仿宋" w:hAnsi="仿宋" w:hint="eastAsia"/>
          <w:b/>
          <w:sz w:val="28"/>
          <w:szCs w:val="28"/>
        </w:rPr>
        <w:t>标的</w:t>
      </w:r>
      <w:r w:rsidRPr="00B33C45">
        <w:rPr>
          <w:rFonts w:ascii="仿宋" w:eastAsia="仿宋" w:hAnsi="仿宋" w:hint="eastAsia"/>
          <w:b/>
          <w:sz w:val="28"/>
          <w:szCs w:val="28"/>
        </w:rPr>
        <w:t>摘牌情况</w:t>
      </w:r>
    </w:p>
    <w:p w14:paraId="6D931E02" w14:textId="09E9CD3A" w:rsidR="00D91C71" w:rsidRDefault="00D91C71" w:rsidP="00887462">
      <w:pPr>
        <w:rPr>
          <w:rFonts w:ascii="仿宋" w:eastAsia="仿宋" w:hAnsi="仿宋"/>
          <w:bCs/>
          <w:sz w:val="28"/>
          <w:szCs w:val="28"/>
        </w:rPr>
      </w:pPr>
      <w:r>
        <w:rPr>
          <w:rFonts w:ascii="仿宋" w:eastAsia="仿宋" w:hAnsi="仿宋" w:hint="eastAsia"/>
          <w:bCs/>
          <w:sz w:val="28"/>
          <w:szCs w:val="28"/>
        </w:rPr>
        <w:t>3.3.1摘牌的流程与进展</w:t>
      </w:r>
    </w:p>
    <w:p w14:paraId="19D474E5" w14:textId="25F3384D" w:rsidR="00D91C71" w:rsidRDefault="00B33C45" w:rsidP="00D91C71">
      <w:pPr>
        <w:rPr>
          <w:rFonts w:ascii="仿宋" w:eastAsia="仿宋" w:hAnsi="仿宋"/>
          <w:bCs/>
          <w:sz w:val="28"/>
          <w:szCs w:val="28"/>
        </w:rPr>
      </w:pPr>
      <w:r>
        <w:rPr>
          <w:rFonts w:ascii="仿宋" w:eastAsia="仿宋" w:hAnsi="仿宋" w:hint="eastAsia"/>
          <w:bCs/>
          <w:sz w:val="28"/>
          <w:szCs w:val="28"/>
        </w:rPr>
        <w:t>标的公司自2025年11月</w:t>
      </w:r>
      <w:r w:rsidR="00D91C71">
        <w:rPr>
          <w:rFonts w:ascii="仿宋" w:eastAsia="仿宋" w:hAnsi="仿宋" w:hint="eastAsia"/>
          <w:bCs/>
          <w:sz w:val="28"/>
          <w:szCs w:val="28"/>
        </w:rPr>
        <w:t>13日在e交易网站挂牌预披露转让信息。2025年12月10日正式披露，开始接受报名，报名截止时间为2026年1月7日。报名需要提交：</w:t>
      </w:r>
      <w:r w:rsidR="00D91C71" w:rsidRPr="00D91C71">
        <w:rPr>
          <w:rFonts w:ascii="仿宋" w:eastAsia="仿宋" w:hAnsi="仿宋"/>
          <w:bCs/>
          <w:sz w:val="28"/>
          <w:szCs w:val="28"/>
        </w:rPr>
        <w:t>营业执照正副本复印件；法人身份证复印件；开户行许可证；授权委托书；被委托人身份证复印件</w:t>
      </w:r>
      <w:r w:rsidR="00D91C71">
        <w:rPr>
          <w:rFonts w:ascii="仿宋" w:eastAsia="仿宋" w:hAnsi="仿宋" w:hint="eastAsia"/>
          <w:bCs/>
          <w:sz w:val="28"/>
          <w:szCs w:val="28"/>
        </w:rPr>
        <w:t>。并按要求</w:t>
      </w:r>
      <w:r w:rsidR="00D91C71" w:rsidRPr="00D91C71">
        <w:rPr>
          <w:rFonts w:ascii="仿宋" w:eastAsia="仿宋" w:hAnsi="仿宋"/>
          <w:bCs/>
          <w:sz w:val="28"/>
          <w:szCs w:val="28"/>
        </w:rPr>
        <w:t>缴纳130000.00元</w:t>
      </w:r>
      <w:r w:rsidR="00D91C71">
        <w:rPr>
          <w:rFonts w:ascii="仿宋" w:eastAsia="仿宋" w:hAnsi="仿宋" w:hint="eastAsia"/>
          <w:bCs/>
          <w:sz w:val="28"/>
          <w:szCs w:val="28"/>
        </w:rPr>
        <w:t>保证金，</w:t>
      </w:r>
      <w:r w:rsidR="00D91C71" w:rsidRPr="00D91C71">
        <w:rPr>
          <w:rFonts w:ascii="仿宋" w:eastAsia="仿宋" w:hAnsi="仿宋"/>
          <w:bCs/>
          <w:sz w:val="28"/>
          <w:szCs w:val="28"/>
        </w:rPr>
        <w:t>按系统提示缴纳。</w:t>
      </w:r>
    </w:p>
    <w:p w14:paraId="75906234" w14:textId="585D9971" w:rsidR="00D91C71" w:rsidRDefault="00B33C45" w:rsidP="00D91C71">
      <w:pPr>
        <w:rPr>
          <w:rFonts w:ascii="仿宋" w:eastAsia="仿宋" w:hAnsi="仿宋"/>
          <w:bCs/>
          <w:sz w:val="28"/>
          <w:szCs w:val="28"/>
        </w:rPr>
      </w:pPr>
      <w:r w:rsidRPr="00B33C45">
        <w:rPr>
          <w:rFonts w:ascii="仿宋" w:eastAsia="仿宋" w:hAnsi="仿宋" w:hint="eastAsia"/>
          <w:bCs/>
          <w:sz w:val="28"/>
          <w:szCs w:val="28"/>
        </w:rPr>
        <w:t>本次转让摘牌底价为43.390908万元</w:t>
      </w:r>
      <w:r w:rsidR="00D91C71">
        <w:rPr>
          <w:rFonts w:ascii="仿宋" w:eastAsia="仿宋" w:hAnsi="仿宋" w:hint="eastAsia"/>
          <w:bCs/>
          <w:sz w:val="28"/>
          <w:szCs w:val="28"/>
        </w:rPr>
        <w:t>。</w:t>
      </w:r>
    </w:p>
    <w:p w14:paraId="0A0F5B38" w14:textId="6A8C7BCD" w:rsidR="002A352B" w:rsidRDefault="00D91C71" w:rsidP="00D91C71">
      <w:pPr>
        <w:rPr>
          <w:rFonts w:ascii="仿宋" w:eastAsia="仿宋" w:hAnsi="仿宋"/>
          <w:bCs/>
          <w:sz w:val="28"/>
          <w:szCs w:val="28"/>
        </w:rPr>
      </w:pPr>
      <w:r w:rsidRPr="00D91C71">
        <w:rPr>
          <w:rFonts w:ascii="仿宋" w:eastAsia="仿宋" w:hAnsi="仿宋"/>
          <w:bCs/>
          <w:sz w:val="28"/>
          <w:szCs w:val="28"/>
        </w:rPr>
        <w:t>挂牌期满，如只征集到一个符合条件的意向受让方，则该意向受让方被确定为受让方，如征集到两个及以上符合条件的意向受让方，则采取网络竞价的交易方式确定受让方。</w:t>
      </w:r>
      <w:r>
        <w:rPr>
          <w:rFonts w:ascii="仿宋" w:eastAsia="仿宋" w:hAnsi="仿宋" w:hint="eastAsia"/>
          <w:bCs/>
          <w:sz w:val="28"/>
          <w:szCs w:val="28"/>
        </w:rPr>
        <w:t>价款支付方式为</w:t>
      </w:r>
      <w:r w:rsidRPr="00D91C71">
        <w:rPr>
          <w:rFonts w:ascii="仿宋" w:eastAsia="仿宋" w:hAnsi="仿宋"/>
          <w:bCs/>
          <w:sz w:val="28"/>
          <w:szCs w:val="28"/>
        </w:rPr>
        <w:t>自成交之日起，五个工作日内一次性支付</w:t>
      </w:r>
      <w:r>
        <w:rPr>
          <w:rFonts w:ascii="仿宋" w:eastAsia="仿宋" w:hAnsi="仿宋" w:hint="eastAsia"/>
          <w:bCs/>
          <w:sz w:val="28"/>
          <w:szCs w:val="28"/>
        </w:rPr>
        <w:t>。</w:t>
      </w:r>
    </w:p>
    <w:p w14:paraId="0B8B1530" w14:textId="7F171F47" w:rsidR="00D91C71" w:rsidRPr="00D91C71" w:rsidRDefault="00D91C71" w:rsidP="00887462">
      <w:pPr>
        <w:rPr>
          <w:rFonts w:ascii="仿宋" w:eastAsia="仿宋" w:hAnsi="仿宋"/>
          <w:bCs/>
          <w:sz w:val="28"/>
          <w:szCs w:val="28"/>
        </w:rPr>
      </w:pPr>
      <w:r w:rsidRPr="00D91C71">
        <w:rPr>
          <w:rFonts w:ascii="仿宋" w:eastAsia="仿宋" w:hAnsi="仿宋" w:hint="eastAsia"/>
          <w:bCs/>
          <w:sz w:val="28"/>
          <w:szCs w:val="28"/>
        </w:rPr>
        <w:t>3.3.2摘牌条件</w:t>
      </w:r>
    </w:p>
    <w:p w14:paraId="5E846BFA" w14:textId="6599423D" w:rsidR="00D91C71" w:rsidRPr="00D91C71" w:rsidRDefault="00D91C71" w:rsidP="00D91C71">
      <w:pPr>
        <w:rPr>
          <w:rFonts w:ascii="仿宋" w:eastAsia="仿宋" w:hAnsi="仿宋"/>
          <w:bCs/>
          <w:sz w:val="28"/>
          <w:szCs w:val="28"/>
        </w:rPr>
      </w:pPr>
      <w:r>
        <w:rPr>
          <w:rFonts w:ascii="仿宋" w:eastAsia="仿宋" w:hAnsi="仿宋" w:hint="eastAsia"/>
          <w:bCs/>
          <w:sz w:val="28"/>
          <w:szCs w:val="28"/>
        </w:rPr>
        <w:lastRenderedPageBreak/>
        <w:t>（</w:t>
      </w:r>
      <w:r w:rsidRPr="00D91C71">
        <w:rPr>
          <w:rFonts w:ascii="仿宋" w:eastAsia="仿宋" w:hAnsi="仿宋"/>
          <w:bCs/>
          <w:sz w:val="28"/>
          <w:szCs w:val="28"/>
        </w:rPr>
        <w:t>1</w:t>
      </w:r>
      <w:r>
        <w:rPr>
          <w:rFonts w:ascii="仿宋" w:eastAsia="仿宋" w:hAnsi="仿宋" w:hint="eastAsia"/>
          <w:bCs/>
          <w:sz w:val="28"/>
          <w:szCs w:val="28"/>
        </w:rPr>
        <w:t>）</w:t>
      </w:r>
      <w:r w:rsidRPr="00D91C71">
        <w:rPr>
          <w:rFonts w:ascii="仿宋" w:eastAsia="仿宋" w:hAnsi="仿宋"/>
          <w:bCs/>
          <w:sz w:val="28"/>
          <w:szCs w:val="28"/>
        </w:rPr>
        <w:t>具有良好的商业信誉；</w:t>
      </w:r>
    </w:p>
    <w:p w14:paraId="42B45306" w14:textId="53E64E14"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2</w:t>
      </w:r>
      <w:r>
        <w:rPr>
          <w:rFonts w:ascii="仿宋" w:eastAsia="仿宋" w:hAnsi="仿宋" w:hint="eastAsia"/>
          <w:bCs/>
          <w:sz w:val="28"/>
          <w:szCs w:val="28"/>
        </w:rPr>
        <w:t>）</w:t>
      </w:r>
      <w:r w:rsidRPr="00D91C71">
        <w:rPr>
          <w:rFonts w:ascii="仿宋" w:eastAsia="仿宋" w:hAnsi="仿宋"/>
          <w:bCs/>
          <w:sz w:val="28"/>
          <w:szCs w:val="28"/>
        </w:rPr>
        <w:t>具有企业法人资质（央国企背景优先）；</w:t>
      </w:r>
    </w:p>
    <w:p w14:paraId="664069CF" w14:textId="01CF68F7"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3</w:t>
      </w:r>
      <w:r>
        <w:rPr>
          <w:rFonts w:ascii="仿宋" w:eastAsia="仿宋" w:hAnsi="仿宋" w:hint="eastAsia"/>
          <w:bCs/>
          <w:sz w:val="28"/>
          <w:szCs w:val="28"/>
        </w:rPr>
        <w:t>）</w:t>
      </w:r>
      <w:r w:rsidRPr="00D91C71">
        <w:rPr>
          <w:rFonts w:ascii="仿宋" w:eastAsia="仿宋" w:hAnsi="仿宋"/>
          <w:bCs/>
          <w:sz w:val="28"/>
          <w:szCs w:val="28"/>
        </w:rPr>
        <w:t>具有良好的财务状况和支付能力，报名登记时须提供第三方审计报告;</w:t>
      </w:r>
    </w:p>
    <w:p w14:paraId="2A7D61D1" w14:textId="7F8504E3"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4</w:t>
      </w:r>
      <w:r>
        <w:rPr>
          <w:rFonts w:ascii="仿宋" w:eastAsia="仿宋" w:hAnsi="仿宋" w:hint="eastAsia"/>
          <w:bCs/>
          <w:sz w:val="28"/>
          <w:szCs w:val="28"/>
        </w:rPr>
        <w:t>）</w:t>
      </w:r>
      <w:r w:rsidRPr="00D91C71">
        <w:rPr>
          <w:rFonts w:ascii="仿宋" w:eastAsia="仿宋" w:hAnsi="仿宋"/>
          <w:bCs/>
          <w:sz w:val="28"/>
          <w:szCs w:val="28"/>
        </w:rPr>
        <w:t>意向受让方无涉法涉诉问题，报名登记时须提供第三方法律意见书；</w:t>
      </w:r>
    </w:p>
    <w:p w14:paraId="4F679545" w14:textId="48514B6F"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5</w:t>
      </w:r>
      <w:r>
        <w:rPr>
          <w:rFonts w:ascii="仿宋" w:eastAsia="仿宋" w:hAnsi="仿宋" w:hint="eastAsia"/>
          <w:bCs/>
          <w:sz w:val="28"/>
          <w:szCs w:val="28"/>
        </w:rPr>
        <w:t>）</w:t>
      </w:r>
      <w:r w:rsidRPr="00D91C71">
        <w:rPr>
          <w:rFonts w:ascii="仿宋" w:eastAsia="仿宋" w:hAnsi="仿宋"/>
          <w:bCs/>
          <w:sz w:val="28"/>
          <w:szCs w:val="28"/>
        </w:rPr>
        <w:t>意向受让方报名登记时须提供企业征信报告；</w:t>
      </w:r>
    </w:p>
    <w:p w14:paraId="60F418BC" w14:textId="3EA9B190"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6</w:t>
      </w:r>
      <w:r>
        <w:rPr>
          <w:rFonts w:ascii="仿宋" w:eastAsia="仿宋" w:hAnsi="仿宋" w:hint="eastAsia"/>
          <w:bCs/>
          <w:sz w:val="28"/>
          <w:szCs w:val="28"/>
        </w:rPr>
        <w:t>）</w:t>
      </w:r>
      <w:r w:rsidRPr="00D91C71">
        <w:rPr>
          <w:rFonts w:ascii="仿宋" w:eastAsia="仿宋" w:hAnsi="仿宋"/>
          <w:bCs/>
          <w:sz w:val="28"/>
          <w:szCs w:val="28"/>
        </w:rPr>
        <w:t>意向受让方需在新疆地区有丰富的互市整进散出运营经验，并具备成功的落地加工政策申请经验；</w:t>
      </w:r>
    </w:p>
    <w:p w14:paraId="501ED526" w14:textId="4FE404E8"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7</w:t>
      </w:r>
      <w:r>
        <w:rPr>
          <w:rFonts w:ascii="仿宋" w:eastAsia="仿宋" w:hAnsi="仿宋" w:hint="eastAsia"/>
          <w:bCs/>
          <w:sz w:val="28"/>
          <w:szCs w:val="28"/>
        </w:rPr>
        <w:t>）</w:t>
      </w:r>
      <w:r w:rsidRPr="00D91C71">
        <w:rPr>
          <w:rFonts w:ascii="仿宋" w:eastAsia="仿宋" w:hAnsi="仿宋"/>
          <w:bCs/>
          <w:sz w:val="28"/>
          <w:szCs w:val="28"/>
        </w:rPr>
        <w:t>意向受让方报名登记时须缴纳全额交易保证金130000元；</w:t>
      </w:r>
    </w:p>
    <w:p w14:paraId="4A2ACE65" w14:textId="6A908E6D" w:rsidR="00D91C71" w:rsidRPr="00D91C71" w:rsidRDefault="00D91C71" w:rsidP="00D91C71">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8</w:t>
      </w:r>
      <w:r>
        <w:rPr>
          <w:rFonts w:ascii="仿宋" w:eastAsia="仿宋" w:hAnsi="仿宋" w:hint="eastAsia"/>
          <w:bCs/>
          <w:sz w:val="28"/>
          <w:szCs w:val="28"/>
        </w:rPr>
        <w:t>）</w:t>
      </w:r>
      <w:r w:rsidRPr="00D91C71">
        <w:rPr>
          <w:rFonts w:ascii="仿宋" w:eastAsia="仿宋" w:hAnsi="仿宋"/>
          <w:bCs/>
          <w:sz w:val="28"/>
          <w:szCs w:val="28"/>
        </w:rPr>
        <w:t>意向受让方应在的最终确认当日内与转让方签署产权转让合同，受让方在产权交易合同签订后五个工作日，办理移交手续;</w:t>
      </w:r>
    </w:p>
    <w:p w14:paraId="370F7FE7" w14:textId="322088BE" w:rsidR="00D91C71" w:rsidRDefault="00D91C71" w:rsidP="00887462">
      <w:pPr>
        <w:rPr>
          <w:rFonts w:ascii="仿宋" w:eastAsia="仿宋" w:hAnsi="仿宋"/>
          <w:bCs/>
          <w:sz w:val="28"/>
          <w:szCs w:val="28"/>
        </w:rPr>
      </w:pPr>
      <w:r>
        <w:rPr>
          <w:rFonts w:ascii="仿宋" w:eastAsia="仿宋" w:hAnsi="仿宋" w:hint="eastAsia"/>
          <w:bCs/>
          <w:sz w:val="28"/>
          <w:szCs w:val="28"/>
        </w:rPr>
        <w:t>（</w:t>
      </w:r>
      <w:r w:rsidRPr="00D91C71">
        <w:rPr>
          <w:rFonts w:ascii="仿宋" w:eastAsia="仿宋" w:hAnsi="仿宋"/>
          <w:bCs/>
          <w:sz w:val="28"/>
          <w:szCs w:val="28"/>
        </w:rPr>
        <w:t>9</w:t>
      </w:r>
      <w:r>
        <w:rPr>
          <w:rFonts w:ascii="仿宋" w:eastAsia="仿宋" w:hAnsi="仿宋" w:hint="eastAsia"/>
          <w:bCs/>
          <w:sz w:val="28"/>
          <w:szCs w:val="28"/>
        </w:rPr>
        <w:t>）</w:t>
      </w:r>
      <w:r w:rsidRPr="00D91C71">
        <w:rPr>
          <w:rFonts w:ascii="仿宋" w:eastAsia="仿宋" w:hAnsi="仿宋"/>
          <w:bCs/>
          <w:sz w:val="28"/>
          <w:szCs w:val="28"/>
        </w:rPr>
        <w:t>符合国家法律、行政法规规定的其他条件。</w:t>
      </w:r>
    </w:p>
    <w:p w14:paraId="33628AC2" w14:textId="04206C0D" w:rsidR="00D91C71" w:rsidRPr="00D91C71" w:rsidRDefault="00D91C71" w:rsidP="00887462">
      <w:pPr>
        <w:rPr>
          <w:rFonts w:ascii="仿宋" w:eastAsia="仿宋" w:hAnsi="仿宋"/>
          <w:bCs/>
          <w:sz w:val="28"/>
          <w:szCs w:val="28"/>
        </w:rPr>
      </w:pPr>
      <w:r>
        <w:rPr>
          <w:rFonts w:ascii="仿宋" w:eastAsia="仿宋" w:hAnsi="仿宋" w:hint="eastAsia"/>
          <w:bCs/>
          <w:sz w:val="28"/>
          <w:szCs w:val="28"/>
        </w:rPr>
        <w:t>经对照摘牌条件，阿拉山口边民互市公司符合摘牌的主要条件，参与摘牌成功可能性较大。</w:t>
      </w:r>
    </w:p>
    <w:p w14:paraId="08E52565" w14:textId="77777777" w:rsidR="00297C08" w:rsidRPr="00887462" w:rsidRDefault="00810C88" w:rsidP="00887462">
      <w:pPr>
        <w:rPr>
          <w:rFonts w:ascii="仿宋" w:eastAsia="仿宋" w:hAnsi="仿宋"/>
          <w:b/>
          <w:sz w:val="28"/>
          <w:szCs w:val="28"/>
        </w:rPr>
      </w:pPr>
      <w:r w:rsidRPr="00887462">
        <w:rPr>
          <w:rFonts w:ascii="仿宋" w:eastAsia="仿宋" w:hAnsi="仿宋"/>
          <w:b/>
          <w:sz w:val="28"/>
          <w:szCs w:val="28"/>
        </w:rPr>
        <w:t>4</w:t>
      </w:r>
      <w:r w:rsidR="00DC6CB7" w:rsidRPr="00887462">
        <w:rPr>
          <w:rFonts w:ascii="仿宋" w:eastAsia="仿宋" w:hAnsi="仿宋"/>
          <w:b/>
          <w:sz w:val="28"/>
          <w:szCs w:val="28"/>
        </w:rPr>
        <w:t>.</w:t>
      </w:r>
      <w:r w:rsidR="00DC6CB7" w:rsidRPr="00887462">
        <w:rPr>
          <w:rFonts w:ascii="仿宋" w:eastAsia="仿宋" w:hAnsi="仿宋" w:hint="eastAsia"/>
          <w:b/>
          <w:sz w:val="28"/>
          <w:szCs w:val="28"/>
        </w:rPr>
        <w:t>项目</w:t>
      </w:r>
      <w:r w:rsidR="00DC6CB7" w:rsidRPr="00887462">
        <w:rPr>
          <w:rFonts w:ascii="仿宋" w:eastAsia="仿宋" w:hAnsi="仿宋"/>
          <w:b/>
          <w:sz w:val="28"/>
          <w:szCs w:val="28"/>
        </w:rPr>
        <w:t>的</w:t>
      </w:r>
      <w:r w:rsidR="00DC6CB7" w:rsidRPr="00887462">
        <w:rPr>
          <w:rFonts w:ascii="仿宋" w:eastAsia="仿宋" w:hAnsi="仿宋" w:hint="eastAsia"/>
          <w:b/>
          <w:sz w:val="28"/>
          <w:szCs w:val="28"/>
        </w:rPr>
        <w:t>运营及盈利</w:t>
      </w:r>
      <w:r w:rsidR="00DC6CB7" w:rsidRPr="00887462">
        <w:rPr>
          <w:rFonts w:ascii="仿宋" w:eastAsia="仿宋" w:hAnsi="仿宋"/>
          <w:b/>
          <w:sz w:val="28"/>
          <w:szCs w:val="28"/>
        </w:rPr>
        <w:t>模式</w:t>
      </w:r>
    </w:p>
    <w:p w14:paraId="59D85926" w14:textId="77777777" w:rsidR="00297C08" w:rsidRPr="00887462" w:rsidRDefault="00810C88" w:rsidP="00887462">
      <w:pPr>
        <w:rPr>
          <w:rFonts w:ascii="仿宋" w:eastAsia="仿宋" w:hAnsi="仿宋"/>
          <w:b/>
          <w:sz w:val="28"/>
          <w:szCs w:val="28"/>
        </w:rPr>
      </w:pPr>
      <w:r w:rsidRPr="00887462">
        <w:rPr>
          <w:rFonts w:ascii="仿宋" w:eastAsia="仿宋" w:hAnsi="仿宋"/>
          <w:b/>
          <w:sz w:val="28"/>
          <w:szCs w:val="28"/>
        </w:rPr>
        <w:t>4.1 项目互市区管理</w:t>
      </w:r>
    </w:p>
    <w:p w14:paraId="5F477265" w14:textId="2468E653" w:rsidR="00810C88" w:rsidRPr="00810C88" w:rsidRDefault="002A252B" w:rsidP="00810C88">
      <w:pPr>
        <w:spacing w:line="360" w:lineRule="auto"/>
        <w:ind w:firstLine="420"/>
        <w:rPr>
          <w:rFonts w:ascii="仿宋" w:eastAsia="仿宋" w:hAnsi="仿宋" w:cs="仿宋"/>
          <w:spacing w:val="-6"/>
          <w:sz w:val="28"/>
          <w:szCs w:val="28"/>
        </w:rPr>
      </w:pPr>
      <w:r>
        <w:rPr>
          <w:rFonts w:ascii="仿宋" w:eastAsia="仿宋" w:hAnsi="仿宋" w:cs="仿宋" w:hint="eastAsia"/>
          <w:spacing w:val="-6"/>
          <w:sz w:val="28"/>
          <w:szCs w:val="28"/>
        </w:rPr>
        <w:t>标的</w:t>
      </w:r>
      <w:r w:rsidR="00810C88" w:rsidRPr="00810C88">
        <w:rPr>
          <w:rFonts w:ascii="仿宋" w:eastAsia="仿宋" w:hAnsi="仿宋" w:cs="仿宋"/>
          <w:spacing w:val="-6"/>
          <w:sz w:val="28"/>
          <w:szCs w:val="28"/>
        </w:rPr>
        <w:t>公司是互市贸易区项目的行政管理部门，负责运营和服务。</w:t>
      </w:r>
    </w:p>
    <w:p w14:paraId="52FC681A" w14:textId="77777777" w:rsidR="00810C88" w:rsidRP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t>海关依法对进出互市贸易区的货物、运输工具及人员携带的物品等进行监管，对符合互市贸易监管条件的商品进行查验放行。</w:t>
      </w:r>
    </w:p>
    <w:p w14:paraId="38329E5D" w14:textId="77777777" w:rsidR="00810C88" w:rsidRP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t>边民互市贸易进出口商品应以满足边民生活需求为目的，分为限额和限量两类。限额商品是指按国家规定按每人每日人民币8000元的额</w:t>
      </w:r>
      <w:r w:rsidRPr="00810C88">
        <w:rPr>
          <w:rFonts w:ascii="仿宋" w:eastAsia="仿宋" w:hAnsi="仿宋" w:cs="仿宋"/>
          <w:spacing w:val="-6"/>
          <w:sz w:val="28"/>
          <w:szCs w:val="28"/>
        </w:rPr>
        <w:lastRenderedPageBreak/>
        <w:t>度享受互市免税政策的商品，对超出8000元的部分按照规定征收进口关税和进口环节税；限量商品是指《财政部 海关总署 国家税务总局关于边民互市进出口商品不予免税清单的通知》（财关税〔2010〕18号）中列明按重量带进并享受免税政策的商品。</w:t>
      </w:r>
    </w:p>
    <w:p w14:paraId="08F2255D" w14:textId="77777777" w:rsidR="00810C88" w:rsidRP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t xml:space="preserve">成立边民互市贸易结算中心，由平台管理公司根据国家有关法律法规要求，按照市场交易流程，出台国内外企业、商户互市交易结算办法，为边民互市贸易结算提供服务。 </w:t>
      </w:r>
    </w:p>
    <w:p w14:paraId="4C901084" w14:textId="714A89F3" w:rsid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t>为扩大流通规模，在互市区建立配套的二级市场，形成互市产品加工、销售货物集散地。互贸商品进入二级市场前，互市区企业进口大宗类、加工类产品需在互市区按照国家税法规定提前缴纳并享受相关税收优惠政策，即缴纳综合税率4.18%（其中增值税3%、个人所得税1%、教育附加0.18%，并由税务部门开具相关凭证）后按增值税9%抵扣。</w:t>
      </w:r>
      <w:r w:rsidR="002A252B">
        <w:rPr>
          <w:rFonts w:ascii="仿宋" w:eastAsia="仿宋" w:hAnsi="仿宋" w:cs="仿宋" w:hint="eastAsia"/>
          <w:spacing w:val="-6"/>
          <w:sz w:val="28"/>
          <w:szCs w:val="28"/>
        </w:rPr>
        <w:t>霍尔果斯</w:t>
      </w:r>
      <w:r w:rsidRPr="00810C88">
        <w:rPr>
          <w:rFonts w:ascii="仿宋" w:eastAsia="仿宋" w:hAnsi="仿宋" w:cs="仿宋"/>
          <w:spacing w:val="-6"/>
          <w:sz w:val="28"/>
          <w:szCs w:val="28"/>
        </w:rPr>
        <w:t>市边民凡是在边民互市市场购买的商品，均视同为农牧民自产自销商品。</w:t>
      </w:r>
    </w:p>
    <w:p w14:paraId="23520A62" w14:textId="4EC85787" w:rsidR="005913F8" w:rsidRPr="005913F8" w:rsidRDefault="005913F8" w:rsidP="00810C88">
      <w:pPr>
        <w:spacing w:line="360" w:lineRule="auto"/>
        <w:ind w:firstLine="420"/>
        <w:rPr>
          <w:rFonts w:ascii="仿宋" w:eastAsia="仿宋" w:hAnsi="仿宋" w:cs="仿宋"/>
          <w:spacing w:val="-6"/>
          <w:sz w:val="28"/>
          <w:szCs w:val="28"/>
        </w:rPr>
      </w:pPr>
      <w:r>
        <w:rPr>
          <w:rFonts w:ascii="仿宋" w:eastAsia="仿宋" w:hAnsi="仿宋" w:cs="仿宋" w:hint="eastAsia"/>
          <w:spacing w:val="-6"/>
          <w:sz w:val="28"/>
          <w:szCs w:val="28"/>
        </w:rPr>
        <w:t>目前，仍按照“整进散出”的模式运营霍尔果斯边民互市。后期等获批“整进整出”落地加工资质后，霍尔果斯边民互市区将发展进口商品的落地加工，将进一步带活边民互市业务，做大贸易额，丰富业态，增加本地居民收入和政府税收。</w:t>
      </w:r>
    </w:p>
    <w:p w14:paraId="4DD6667A" w14:textId="77777777" w:rsidR="00810C88" w:rsidRP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t>扶贫办及民政部门负责按照“精准扶贫、脱贫攻坚”工作要求，确定全区范围内符合参与互市贸易条件的贫困户数、人数，编入互助组织，签订脱贫帮扶合同书，并对贫困户边民实施动态化管理。</w:t>
      </w:r>
    </w:p>
    <w:p w14:paraId="35263DF2" w14:textId="77777777" w:rsidR="00810C88" w:rsidRPr="00810C88" w:rsidRDefault="00810C88" w:rsidP="00810C88">
      <w:pPr>
        <w:spacing w:line="360" w:lineRule="auto"/>
        <w:ind w:firstLine="420"/>
        <w:rPr>
          <w:rFonts w:ascii="仿宋" w:eastAsia="仿宋" w:hAnsi="仿宋" w:cs="仿宋"/>
          <w:spacing w:val="-6"/>
          <w:sz w:val="28"/>
          <w:szCs w:val="28"/>
        </w:rPr>
      </w:pPr>
      <w:r w:rsidRPr="00810C88">
        <w:rPr>
          <w:rFonts w:ascii="仿宋" w:eastAsia="仿宋" w:hAnsi="仿宋" w:cs="仿宋"/>
          <w:spacing w:val="-6"/>
          <w:sz w:val="28"/>
          <w:szCs w:val="28"/>
        </w:rPr>
        <w:lastRenderedPageBreak/>
        <w:t>互市区内的治安管理由政法委、公安局、边民互市管理服务中心和运营公司共同管理，日常的治安管理由运营公司按照自治区维稳值班备勤工作要求具体负责。</w:t>
      </w:r>
    </w:p>
    <w:p w14:paraId="17234EC6" w14:textId="77777777" w:rsidR="00297C08" w:rsidRPr="005207E5" w:rsidRDefault="00810C88" w:rsidP="005207E5">
      <w:pPr>
        <w:rPr>
          <w:rFonts w:ascii="仿宋" w:eastAsia="仿宋" w:hAnsi="仿宋"/>
          <w:b/>
          <w:sz w:val="28"/>
          <w:szCs w:val="28"/>
        </w:rPr>
      </w:pPr>
      <w:r w:rsidRPr="005207E5">
        <w:rPr>
          <w:rFonts w:ascii="仿宋" w:eastAsia="仿宋" w:hAnsi="仿宋"/>
          <w:b/>
          <w:sz w:val="28"/>
          <w:szCs w:val="28"/>
        </w:rPr>
        <w:t>4</w:t>
      </w:r>
      <w:r w:rsidR="00DC6CB7" w:rsidRPr="005207E5">
        <w:rPr>
          <w:rFonts w:ascii="仿宋" w:eastAsia="仿宋" w:hAnsi="仿宋"/>
          <w:b/>
          <w:sz w:val="28"/>
          <w:szCs w:val="28"/>
        </w:rPr>
        <w:t>.</w:t>
      </w:r>
      <w:r w:rsidR="00DC6CB7" w:rsidRPr="005207E5">
        <w:rPr>
          <w:rFonts w:ascii="仿宋" w:eastAsia="仿宋" w:hAnsi="仿宋" w:hint="eastAsia"/>
          <w:b/>
          <w:sz w:val="28"/>
          <w:szCs w:val="28"/>
        </w:rPr>
        <w:t>2</w:t>
      </w:r>
      <w:r w:rsidR="002006A3" w:rsidRPr="005207E5">
        <w:rPr>
          <w:rFonts w:ascii="仿宋" w:eastAsia="仿宋" w:hAnsi="仿宋"/>
          <w:b/>
          <w:sz w:val="28"/>
          <w:szCs w:val="28"/>
        </w:rPr>
        <w:t xml:space="preserve"> </w:t>
      </w:r>
      <w:r w:rsidR="00887462" w:rsidRPr="005207E5">
        <w:rPr>
          <w:rFonts w:ascii="仿宋" w:eastAsia="仿宋" w:hAnsi="仿宋" w:hint="eastAsia"/>
          <w:b/>
          <w:sz w:val="28"/>
          <w:szCs w:val="28"/>
        </w:rPr>
        <w:t>获批贸易许可国家</w:t>
      </w:r>
    </w:p>
    <w:p w14:paraId="17B3119F" w14:textId="62DBD14D" w:rsidR="00297C08" w:rsidRPr="002006A3" w:rsidRDefault="00DC6CB7" w:rsidP="002A252B">
      <w:pPr>
        <w:spacing w:line="360" w:lineRule="auto"/>
        <w:ind w:firstLine="420"/>
        <w:rPr>
          <w:rFonts w:ascii="仿宋" w:eastAsia="仿宋" w:hAnsi="仿宋" w:cs="仿宋"/>
          <w:spacing w:val="-6"/>
          <w:sz w:val="28"/>
          <w:szCs w:val="28"/>
        </w:rPr>
      </w:pPr>
      <w:r w:rsidRPr="002006A3">
        <w:rPr>
          <w:rFonts w:ascii="仿宋" w:eastAsia="仿宋" w:hAnsi="仿宋" w:cs="仿宋" w:hint="eastAsia"/>
          <w:spacing w:val="-6"/>
          <w:sz w:val="28"/>
          <w:szCs w:val="28"/>
        </w:rPr>
        <w:t>本项目由</w:t>
      </w:r>
      <w:r w:rsidR="002A252B">
        <w:rPr>
          <w:rFonts w:ascii="仿宋" w:eastAsia="仿宋" w:hAnsi="仿宋" w:cs="仿宋" w:hint="eastAsia"/>
          <w:spacing w:val="-6"/>
          <w:sz w:val="28"/>
          <w:szCs w:val="28"/>
        </w:rPr>
        <w:t>标的</w:t>
      </w:r>
      <w:r w:rsidRPr="002006A3">
        <w:rPr>
          <w:rFonts w:ascii="仿宋" w:eastAsia="仿宋" w:hAnsi="仿宋" w:cs="仿宋" w:hint="eastAsia"/>
          <w:spacing w:val="-6"/>
          <w:sz w:val="28"/>
          <w:szCs w:val="28"/>
        </w:rPr>
        <w:t>公司自营，</w:t>
      </w:r>
      <w:r w:rsidR="005913F8">
        <w:rPr>
          <w:rFonts w:ascii="仿宋" w:eastAsia="仿宋" w:hAnsi="仿宋" w:cs="仿宋" w:hint="eastAsia"/>
          <w:spacing w:val="-6"/>
          <w:sz w:val="28"/>
          <w:szCs w:val="28"/>
        </w:rPr>
        <w:t>准许贸易的产品</w:t>
      </w:r>
      <w:r w:rsidRPr="002006A3">
        <w:rPr>
          <w:rFonts w:ascii="仿宋" w:eastAsia="仿宋" w:hAnsi="仿宋" w:cs="仿宋" w:hint="eastAsia"/>
          <w:spacing w:val="-6"/>
          <w:sz w:val="28"/>
          <w:szCs w:val="28"/>
        </w:rPr>
        <w:t>经国家海关总署批准，可以来自以下</w:t>
      </w:r>
      <w:r w:rsidRPr="002006A3">
        <w:rPr>
          <w:rFonts w:ascii="仿宋" w:eastAsia="仿宋" w:hAnsi="仿宋" w:cs="仿宋"/>
          <w:spacing w:val="-6"/>
          <w:sz w:val="28"/>
          <w:szCs w:val="28"/>
        </w:rPr>
        <w:t>18个国家：</w:t>
      </w:r>
      <w:r w:rsidRPr="002006A3">
        <w:rPr>
          <w:rFonts w:ascii="仿宋" w:eastAsia="仿宋" w:hAnsi="仿宋" w:cs="仿宋" w:hint="eastAsia"/>
          <w:spacing w:val="-6"/>
          <w:sz w:val="28"/>
          <w:szCs w:val="28"/>
        </w:rPr>
        <w:t>中亚五国：哈萨克斯坦、乌兹别克斯坦、土库曼斯坦、吉尔吉斯斯坦和塔吉克斯坦。高加索三国：格鲁吉亚、亚美尼亚和阿塞拜疆。东亚三国：朝鲜、韩国、蒙古。南亚三国：印度、巴勒斯坦和阿富汗。东欧四国：俄罗斯、白俄罗斯、乌克兰和摩尔多瓦。</w:t>
      </w:r>
    </w:p>
    <w:p w14:paraId="4BB7D102" w14:textId="4EDDE68D" w:rsidR="00297C08" w:rsidRPr="005207E5" w:rsidRDefault="002006A3" w:rsidP="005207E5">
      <w:pPr>
        <w:rPr>
          <w:rFonts w:ascii="仿宋" w:eastAsia="仿宋" w:hAnsi="仿宋"/>
          <w:b/>
          <w:sz w:val="28"/>
          <w:szCs w:val="28"/>
        </w:rPr>
      </w:pPr>
      <w:bookmarkStart w:id="8" w:name="_Toc18602481"/>
      <w:r w:rsidRPr="005207E5">
        <w:rPr>
          <w:rFonts w:ascii="仿宋" w:eastAsia="仿宋" w:hAnsi="仿宋"/>
          <w:b/>
          <w:sz w:val="28"/>
          <w:szCs w:val="28"/>
        </w:rPr>
        <w:t>4</w:t>
      </w:r>
      <w:r w:rsidR="00DC6CB7" w:rsidRPr="005207E5">
        <w:rPr>
          <w:rFonts w:ascii="仿宋" w:eastAsia="仿宋" w:hAnsi="仿宋" w:hint="eastAsia"/>
          <w:b/>
          <w:sz w:val="28"/>
          <w:szCs w:val="28"/>
        </w:rPr>
        <w:t>.</w:t>
      </w:r>
      <w:r w:rsidRPr="005207E5">
        <w:rPr>
          <w:rFonts w:ascii="仿宋" w:eastAsia="仿宋" w:hAnsi="仿宋"/>
          <w:b/>
          <w:sz w:val="28"/>
          <w:szCs w:val="28"/>
        </w:rPr>
        <w:t>3</w:t>
      </w:r>
      <w:r w:rsidR="00DC6CB7" w:rsidRPr="005207E5">
        <w:rPr>
          <w:rFonts w:ascii="仿宋" w:eastAsia="仿宋" w:hAnsi="仿宋" w:hint="eastAsia"/>
          <w:b/>
          <w:sz w:val="28"/>
          <w:szCs w:val="28"/>
        </w:rPr>
        <w:t xml:space="preserve"> </w:t>
      </w:r>
      <w:r w:rsidR="002A252B">
        <w:rPr>
          <w:rFonts w:ascii="仿宋" w:eastAsia="仿宋" w:hAnsi="仿宋" w:hint="eastAsia"/>
          <w:b/>
          <w:sz w:val="28"/>
          <w:szCs w:val="28"/>
        </w:rPr>
        <w:t>标的</w:t>
      </w:r>
      <w:r w:rsidR="00DC6CB7" w:rsidRPr="005207E5">
        <w:rPr>
          <w:rFonts w:ascii="仿宋" w:eastAsia="仿宋" w:hAnsi="仿宋" w:hint="eastAsia"/>
          <w:b/>
          <w:sz w:val="28"/>
          <w:szCs w:val="28"/>
        </w:rPr>
        <w:t>公司盈利预测</w:t>
      </w:r>
      <w:bookmarkEnd w:id="8"/>
    </w:p>
    <w:p w14:paraId="65DA282B" w14:textId="618A1E9D" w:rsidR="00297C08" w:rsidRPr="002006A3" w:rsidRDefault="00DC6CB7" w:rsidP="002006A3">
      <w:pPr>
        <w:spacing w:line="360" w:lineRule="auto"/>
        <w:ind w:firstLine="420"/>
        <w:rPr>
          <w:rFonts w:ascii="仿宋" w:eastAsia="仿宋" w:hAnsi="仿宋" w:cs="仿宋"/>
          <w:spacing w:val="-6"/>
          <w:sz w:val="28"/>
          <w:szCs w:val="28"/>
        </w:rPr>
      </w:pPr>
      <w:r w:rsidRPr="002006A3">
        <w:rPr>
          <w:rFonts w:ascii="仿宋" w:eastAsia="仿宋" w:hAnsi="仿宋" w:cs="仿宋" w:hint="eastAsia"/>
          <w:spacing w:val="-6"/>
          <w:sz w:val="28"/>
          <w:szCs w:val="28"/>
        </w:rPr>
        <w:t>本</w:t>
      </w:r>
      <w:r w:rsidR="002A252B">
        <w:rPr>
          <w:rFonts w:ascii="仿宋" w:eastAsia="仿宋" w:hAnsi="仿宋" w:cs="仿宋" w:hint="eastAsia"/>
          <w:spacing w:val="-6"/>
          <w:sz w:val="28"/>
          <w:szCs w:val="28"/>
        </w:rPr>
        <w:t>标的</w:t>
      </w:r>
      <w:r w:rsidRPr="002006A3">
        <w:rPr>
          <w:rFonts w:ascii="仿宋" w:eastAsia="仿宋" w:hAnsi="仿宋" w:cs="仿宋" w:hint="eastAsia"/>
          <w:spacing w:val="-6"/>
          <w:sz w:val="28"/>
          <w:szCs w:val="28"/>
        </w:rPr>
        <w:t>公司盈利预测主要基于目前阿拉山口市</w:t>
      </w:r>
      <w:r w:rsidR="005913F8">
        <w:rPr>
          <w:rFonts w:ascii="仿宋" w:eastAsia="仿宋" w:hAnsi="仿宋" w:cs="仿宋" w:hint="eastAsia"/>
          <w:spacing w:val="-6"/>
          <w:sz w:val="28"/>
          <w:szCs w:val="28"/>
        </w:rPr>
        <w:t>边民互市“整进散出”业务的运营积累数据，以及霍尔果斯当前已运行情况的数据</w:t>
      </w:r>
      <w:r w:rsidRPr="002006A3">
        <w:rPr>
          <w:rFonts w:ascii="仿宋" w:eastAsia="仿宋" w:hAnsi="仿宋" w:cs="仿宋" w:hint="eastAsia"/>
          <w:spacing w:val="-6"/>
          <w:sz w:val="28"/>
          <w:szCs w:val="28"/>
        </w:rPr>
        <w:t>。</w:t>
      </w:r>
      <w:r w:rsidR="005913F8">
        <w:rPr>
          <w:rFonts w:ascii="仿宋" w:eastAsia="仿宋" w:hAnsi="仿宋" w:cs="仿宋" w:hint="eastAsia"/>
          <w:spacing w:val="-6"/>
          <w:sz w:val="28"/>
          <w:szCs w:val="28"/>
        </w:rPr>
        <w:t>贸易的主要产品假设为果干和干果。</w:t>
      </w:r>
    </w:p>
    <w:p w14:paraId="3252B6A8" w14:textId="2C1EF7E1" w:rsidR="00297C08" w:rsidRPr="002006A3" w:rsidRDefault="005913F8" w:rsidP="002006A3">
      <w:pPr>
        <w:spacing w:line="360" w:lineRule="auto"/>
        <w:ind w:firstLine="420"/>
        <w:rPr>
          <w:rFonts w:ascii="仿宋" w:eastAsia="仿宋" w:hAnsi="仿宋" w:cs="仿宋"/>
          <w:spacing w:val="-6"/>
          <w:sz w:val="28"/>
          <w:szCs w:val="28"/>
        </w:rPr>
      </w:pPr>
      <w:r>
        <w:rPr>
          <w:rFonts w:ascii="仿宋" w:eastAsia="仿宋" w:hAnsi="仿宋" w:cs="仿宋" w:hint="eastAsia"/>
          <w:spacing w:val="-6"/>
          <w:sz w:val="28"/>
          <w:szCs w:val="28"/>
        </w:rPr>
        <w:t>后续将假设落地加工后，产品为</w:t>
      </w:r>
      <w:r w:rsidR="00324EE6">
        <w:rPr>
          <w:rFonts w:ascii="仿宋" w:eastAsia="仿宋" w:hAnsi="仿宋" w:cs="仿宋" w:hint="eastAsia"/>
          <w:spacing w:val="-6"/>
          <w:sz w:val="28"/>
          <w:szCs w:val="28"/>
        </w:rPr>
        <w:t>毛油精炼</w:t>
      </w:r>
      <w:r>
        <w:rPr>
          <w:rFonts w:ascii="仿宋" w:eastAsia="仿宋" w:hAnsi="仿宋" w:cs="仿宋" w:hint="eastAsia"/>
          <w:spacing w:val="-6"/>
          <w:sz w:val="28"/>
          <w:szCs w:val="28"/>
        </w:rPr>
        <w:t>和</w:t>
      </w:r>
      <w:r w:rsidR="00324EE6">
        <w:rPr>
          <w:rFonts w:ascii="仿宋" w:eastAsia="仿宋" w:hAnsi="仿宋" w:cs="仿宋" w:hint="eastAsia"/>
          <w:spacing w:val="-6"/>
          <w:sz w:val="28"/>
          <w:szCs w:val="28"/>
        </w:rPr>
        <w:t>饲料大麦</w:t>
      </w:r>
      <w:r>
        <w:rPr>
          <w:rFonts w:ascii="仿宋" w:eastAsia="仿宋" w:hAnsi="仿宋" w:cs="仿宋" w:hint="eastAsia"/>
          <w:spacing w:val="-6"/>
          <w:sz w:val="28"/>
          <w:szCs w:val="28"/>
        </w:rPr>
        <w:t>加工，生产小</w:t>
      </w:r>
      <w:r w:rsidR="00324EE6">
        <w:rPr>
          <w:rFonts w:ascii="仿宋" w:eastAsia="仿宋" w:hAnsi="仿宋" w:cs="仿宋" w:hint="eastAsia"/>
          <w:spacing w:val="-6"/>
          <w:sz w:val="28"/>
          <w:szCs w:val="28"/>
        </w:rPr>
        <w:t>精炼食用油和饲料</w:t>
      </w:r>
      <w:r>
        <w:rPr>
          <w:rFonts w:ascii="仿宋" w:eastAsia="仿宋" w:hAnsi="仿宋" w:cs="仿宋" w:hint="eastAsia"/>
          <w:spacing w:val="-6"/>
          <w:sz w:val="28"/>
          <w:szCs w:val="28"/>
        </w:rPr>
        <w:t>。</w:t>
      </w:r>
      <w:r w:rsidR="00DC6CB7" w:rsidRPr="002006A3">
        <w:rPr>
          <w:rFonts w:ascii="仿宋" w:eastAsia="仿宋" w:hAnsi="仿宋" w:cs="仿宋"/>
          <w:spacing w:val="-6"/>
          <w:sz w:val="28"/>
          <w:szCs w:val="28"/>
        </w:rPr>
        <w:t>企业</w:t>
      </w:r>
      <w:r w:rsidR="00DC6CB7" w:rsidRPr="002006A3">
        <w:rPr>
          <w:rFonts w:ascii="仿宋" w:eastAsia="仿宋" w:hAnsi="仿宋" w:cs="仿宋" w:hint="eastAsia"/>
          <w:spacing w:val="-6"/>
          <w:sz w:val="28"/>
          <w:szCs w:val="28"/>
        </w:rPr>
        <w:t>第一至五年</w:t>
      </w:r>
      <w:r w:rsidR="00DC6CB7" w:rsidRPr="002006A3">
        <w:rPr>
          <w:rFonts w:ascii="仿宋" w:eastAsia="仿宋" w:hAnsi="仿宋" w:cs="仿宋"/>
          <w:spacing w:val="-6"/>
          <w:sz w:val="28"/>
          <w:szCs w:val="28"/>
        </w:rPr>
        <w:t>年贸易额约5</w:t>
      </w:r>
      <w:r w:rsidR="00DC6CB7" w:rsidRPr="002006A3">
        <w:rPr>
          <w:rFonts w:ascii="仿宋" w:eastAsia="仿宋" w:hAnsi="仿宋" w:cs="仿宋" w:hint="eastAsia"/>
          <w:spacing w:val="-6"/>
          <w:sz w:val="28"/>
          <w:szCs w:val="28"/>
        </w:rPr>
        <w:t>亿</w:t>
      </w:r>
      <w:r w:rsidR="00DC6CB7" w:rsidRPr="002006A3">
        <w:rPr>
          <w:rFonts w:ascii="仿宋" w:eastAsia="仿宋" w:hAnsi="仿宋" w:cs="仿宋"/>
          <w:spacing w:val="-6"/>
          <w:sz w:val="28"/>
          <w:szCs w:val="28"/>
        </w:rPr>
        <w:t>元、1</w:t>
      </w:r>
      <w:r w:rsidR="00FA3DFB">
        <w:rPr>
          <w:rFonts w:ascii="仿宋" w:eastAsia="仿宋" w:hAnsi="仿宋" w:cs="仿宋" w:hint="eastAsia"/>
          <w:spacing w:val="-6"/>
          <w:sz w:val="28"/>
          <w:szCs w:val="28"/>
        </w:rPr>
        <w:t>0.92</w:t>
      </w:r>
      <w:r w:rsidR="00DC6CB7" w:rsidRPr="002006A3">
        <w:rPr>
          <w:rFonts w:ascii="仿宋" w:eastAsia="仿宋" w:hAnsi="仿宋" w:cs="仿宋" w:hint="eastAsia"/>
          <w:spacing w:val="-6"/>
          <w:sz w:val="28"/>
          <w:szCs w:val="28"/>
        </w:rPr>
        <w:t>亿元、</w:t>
      </w:r>
      <w:r w:rsidR="00FA3DFB">
        <w:rPr>
          <w:rFonts w:ascii="仿宋" w:eastAsia="仿宋" w:hAnsi="仿宋" w:cs="仿宋" w:hint="eastAsia"/>
          <w:spacing w:val="-6"/>
          <w:sz w:val="28"/>
          <w:szCs w:val="28"/>
        </w:rPr>
        <w:t>14.18</w:t>
      </w:r>
      <w:r w:rsidR="00DC6CB7" w:rsidRPr="002006A3">
        <w:rPr>
          <w:rFonts w:ascii="仿宋" w:eastAsia="仿宋" w:hAnsi="仿宋" w:cs="仿宋" w:hint="eastAsia"/>
          <w:spacing w:val="-6"/>
          <w:sz w:val="28"/>
          <w:szCs w:val="28"/>
        </w:rPr>
        <w:t>亿元、</w:t>
      </w:r>
      <w:r w:rsidR="00FA3DFB">
        <w:rPr>
          <w:rFonts w:ascii="仿宋" w:eastAsia="仿宋" w:hAnsi="仿宋" w:cs="仿宋" w:hint="eastAsia"/>
          <w:spacing w:val="-6"/>
          <w:sz w:val="28"/>
          <w:szCs w:val="28"/>
        </w:rPr>
        <w:t>18.2</w:t>
      </w:r>
      <w:r w:rsidR="00DC6CB7" w:rsidRPr="002006A3">
        <w:rPr>
          <w:rFonts w:ascii="仿宋" w:eastAsia="仿宋" w:hAnsi="仿宋" w:cs="仿宋" w:hint="eastAsia"/>
          <w:spacing w:val="-6"/>
          <w:sz w:val="28"/>
          <w:szCs w:val="28"/>
        </w:rPr>
        <w:t>亿元及</w:t>
      </w:r>
      <w:r w:rsidR="00FA3DFB">
        <w:rPr>
          <w:rFonts w:ascii="仿宋" w:eastAsia="仿宋" w:hAnsi="仿宋" w:cs="仿宋" w:hint="eastAsia"/>
          <w:spacing w:val="-6"/>
          <w:sz w:val="28"/>
          <w:szCs w:val="28"/>
        </w:rPr>
        <w:t>22.98</w:t>
      </w:r>
      <w:r w:rsidR="00DC6CB7" w:rsidRPr="002006A3">
        <w:rPr>
          <w:rFonts w:ascii="仿宋" w:eastAsia="仿宋" w:hAnsi="仿宋" w:cs="仿宋" w:hint="eastAsia"/>
          <w:spacing w:val="-6"/>
          <w:sz w:val="28"/>
          <w:szCs w:val="28"/>
        </w:rPr>
        <w:t>亿元</w:t>
      </w:r>
      <w:r w:rsidR="00DC6CB7" w:rsidRPr="002006A3">
        <w:rPr>
          <w:rFonts w:ascii="仿宋" w:eastAsia="仿宋" w:hAnsi="仿宋" w:cs="仿宋"/>
          <w:spacing w:val="-6"/>
          <w:sz w:val="28"/>
          <w:szCs w:val="28"/>
        </w:rPr>
        <w:t>。</w:t>
      </w:r>
      <w:r w:rsidR="00DC6CB7" w:rsidRPr="002006A3">
        <w:rPr>
          <w:rFonts w:ascii="仿宋" w:eastAsia="仿宋" w:hAnsi="仿宋" w:cs="仿宋" w:hint="eastAsia"/>
          <w:spacing w:val="-6"/>
          <w:sz w:val="28"/>
          <w:szCs w:val="28"/>
        </w:rPr>
        <w:t>而第五年之后边民互市达到饱和，每年贸易额不超过</w:t>
      </w:r>
      <w:r w:rsidR="00FA3DFB">
        <w:rPr>
          <w:rFonts w:ascii="仿宋" w:eastAsia="仿宋" w:hAnsi="仿宋" w:cs="仿宋" w:hint="eastAsia"/>
          <w:spacing w:val="-6"/>
          <w:sz w:val="28"/>
          <w:szCs w:val="28"/>
        </w:rPr>
        <w:t>23</w:t>
      </w:r>
      <w:r w:rsidR="002006A3">
        <w:rPr>
          <w:rFonts w:ascii="仿宋" w:eastAsia="仿宋" w:hAnsi="仿宋" w:cs="仿宋" w:hint="eastAsia"/>
          <w:spacing w:val="-6"/>
          <w:sz w:val="28"/>
          <w:szCs w:val="28"/>
        </w:rPr>
        <w:t>亿元</w:t>
      </w:r>
      <w:r w:rsidR="00DC6CB7" w:rsidRPr="002006A3">
        <w:rPr>
          <w:rFonts w:ascii="仿宋" w:eastAsia="仿宋" w:hAnsi="仿宋" w:cs="仿宋" w:hint="eastAsia"/>
          <w:spacing w:val="-6"/>
          <w:sz w:val="28"/>
          <w:szCs w:val="28"/>
        </w:rPr>
        <w:t>。</w:t>
      </w:r>
      <w:bookmarkStart w:id="9" w:name="_GoBack"/>
      <w:bookmarkEnd w:id="9"/>
    </w:p>
    <w:p w14:paraId="2A360D32" w14:textId="0C384E1D" w:rsidR="00297C08" w:rsidRDefault="008B70C1" w:rsidP="008B70C1">
      <w:pPr>
        <w:ind w:firstLine="420"/>
        <w:rPr>
          <w:rFonts w:ascii="仿宋" w:eastAsia="仿宋" w:hAnsi="仿宋" w:cs="仿宋"/>
          <w:spacing w:val="-6"/>
          <w:sz w:val="28"/>
          <w:szCs w:val="28"/>
        </w:rPr>
      </w:pPr>
      <w:r w:rsidRPr="008B70C1">
        <w:rPr>
          <w:rFonts w:ascii="仿宋" w:eastAsia="仿宋" w:hAnsi="仿宋" w:cs="仿宋" w:hint="eastAsia"/>
          <w:spacing w:val="-6"/>
          <w:sz w:val="28"/>
          <w:szCs w:val="28"/>
        </w:rPr>
        <w:t>影响本项目公司盈利情况的主要因素有</w:t>
      </w:r>
      <w:r w:rsidR="005913F8">
        <w:rPr>
          <w:rFonts w:ascii="仿宋" w:eastAsia="仿宋" w:hAnsi="仿宋" w:cs="仿宋" w:hint="eastAsia"/>
          <w:spacing w:val="-6"/>
          <w:sz w:val="28"/>
          <w:szCs w:val="28"/>
        </w:rPr>
        <w:t>为霍尔果斯</w:t>
      </w:r>
      <w:r w:rsidR="00DC6CB7" w:rsidRPr="008B70C1">
        <w:rPr>
          <w:rFonts w:ascii="仿宋" w:eastAsia="仿宋" w:hAnsi="仿宋" w:cs="仿宋" w:hint="eastAsia"/>
          <w:spacing w:val="-6"/>
          <w:sz w:val="28"/>
          <w:szCs w:val="28"/>
        </w:rPr>
        <w:t>市周边落地企业与计划落地企业对进口海外原材料的需求、海外出口相关政策、国家对边民互市政策的变更。根据目前已掌握的信息，对项目公司的盈利情况概算如下：</w:t>
      </w:r>
    </w:p>
    <w:p w14:paraId="2750C9BA" w14:textId="77777777" w:rsidR="00261517" w:rsidRPr="008B70C1" w:rsidRDefault="00261517" w:rsidP="008B70C1">
      <w:pPr>
        <w:ind w:firstLine="420"/>
        <w:rPr>
          <w:rFonts w:ascii="仿宋" w:eastAsia="仿宋" w:hAnsi="仿宋" w:cs="仿宋"/>
          <w:spacing w:val="-6"/>
          <w:sz w:val="28"/>
          <w:szCs w:val="28"/>
        </w:rPr>
      </w:pPr>
    </w:p>
    <w:tbl>
      <w:tblPr>
        <w:tblW w:w="5000" w:type="pct"/>
        <w:tblLook w:val="04A0" w:firstRow="1" w:lastRow="0" w:firstColumn="1" w:lastColumn="0" w:noHBand="0" w:noVBand="1"/>
      </w:tblPr>
      <w:tblGrid>
        <w:gridCol w:w="525"/>
        <w:gridCol w:w="2297"/>
        <w:gridCol w:w="1140"/>
        <w:gridCol w:w="1140"/>
        <w:gridCol w:w="1140"/>
        <w:gridCol w:w="1140"/>
        <w:gridCol w:w="1140"/>
      </w:tblGrid>
      <w:tr w:rsidR="00FA3DFB" w:rsidRPr="00FA3DFB" w14:paraId="6F051A97" w14:textId="77777777" w:rsidTr="00FA3DFB">
        <w:trPr>
          <w:trHeight w:val="280"/>
        </w:trPr>
        <w:tc>
          <w:tcPr>
            <w:tcW w:w="348" w:type="pct"/>
            <w:vMerge w:val="restart"/>
            <w:tcBorders>
              <w:top w:val="single" w:sz="4" w:space="0" w:color="auto"/>
              <w:left w:val="single" w:sz="4" w:space="0" w:color="auto"/>
              <w:bottom w:val="single" w:sz="4" w:space="0" w:color="000000"/>
              <w:right w:val="single" w:sz="4" w:space="0" w:color="auto"/>
            </w:tcBorders>
            <w:noWrap/>
            <w:vAlign w:val="center"/>
            <w:hideMark/>
          </w:tcPr>
          <w:p w14:paraId="6BA33F98" w14:textId="77777777" w:rsidR="00FA3DFB" w:rsidRPr="00FA3DFB" w:rsidRDefault="00FA3DFB" w:rsidP="00FA3DFB">
            <w:pPr>
              <w:jc w:val="center"/>
              <w:rPr>
                <w:rFonts w:ascii="宋体" w:eastAsia="宋体" w:hAnsi="宋体" w:cs="宋体"/>
                <w:color w:val="000000"/>
                <w:sz w:val="18"/>
                <w:szCs w:val="18"/>
              </w:rPr>
            </w:pPr>
            <w:r w:rsidRPr="00FA3DFB">
              <w:rPr>
                <w:rFonts w:ascii="宋体" w:eastAsia="宋体" w:hAnsi="宋体" w:cs="宋体" w:hint="eastAsia"/>
                <w:color w:val="000000"/>
                <w:sz w:val="18"/>
                <w:szCs w:val="18"/>
              </w:rPr>
              <w:lastRenderedPageBreak/>
              <w:t>序</w:t>
            </w:r>
            <w:r w:rsidRPr="00FA3DFB">
              <w:rPr>
                <w:rFonts w:ascii="微软雅黑" w:eastAsia="微软雅黑" w:hAnsi="微软雅黑" w:cs="微软雅黑" w:hint="eastAsia"/>
                <w:color w:val="000000"/>
                <w:sz w:val="18"/>
                <w:szCs w:val="18"/>
              </w:rPr>
              <w:t>号</w:t>
            </w:r>
          </w:p>
        </w:tc>
        <w:tc>
          <w:tcPr>
            <w:tcW w:w="1551" w:type="pct"/>
            <w:vMerge w:val="restart"/>
            <w:tcBorders>
              <w:top w:val="single" w:sz="4" w:space="0" w:color="auto"/>
              <w:left w:val="single" w:sz="4" w:space="0" w:color="auto"/>
              <w:bottom w:val="single" w:sz="4" w:space="0" w:color="000000"/>
              <w:right w:val="single" w:sz="4" w:space="0" w:color="auto"/>
            </w:tcBorders>
            <w:noWrap/>
            <w:vAlign w:val="center"/>
            <w:hideMark/>
          </w:tcPr>
          <w:p w14:paraId="70CB9AD5" w14:textId="77777777" w:rsidR="00FA3DFB" w:rsidRPr="00FA3DFB" w:rsidRDefault="00FA3DFB" w:rsidP="00FA3DFB">
            <w:pPr>
              <w:jc w:val="center"/>
              <w:rPr>
                <w:rFonts w:ascii="宋体" w:eastAsia="宋体" w:hAnsi="宋体" w:cs="宋体"/>
                <w:color w:val="000000"/>
                <w:sz w:val="18"/>
                <w:szCs w:val="18"/>
              </w:rPr>
            </w:pPr>
            <w:r w:rsidRPr="00FA3DFB">
              <w:rPr>
                <w:rFonts w:ascii="宋体" w:eastAsia="宋体" w:hAnsi="宋体" w:cs="宋体" w:hint="eastAsia"/>
                <w:color w:val="000000"/>
                <w:sz w:val="18"/>
                <w:szCs w:val="18"/>
              </w:rPr>
              <w:t>项目/年份</w:t>
            </w:r>
          </w:p>
        </w:tc>
        <w:tc>
          <w:tcPr>
            <w:tcW w:w="677" w:type="pct"/>
            <w:tcBorders>
              <w:top w:val="single" w:sz="4" w:space="0" w:color="auto"/>
              <w:left w:val="nil"/>
              <w:bottom w:val="single" w:sz="4" w:space="0" w:color="auto"/>
              <w:right w:val="single" w:sz="4" w:space="0" w:color="auto"/>
            </w:tcBorders>
            <w:noWrap/>
            <w:vAlign w:val="center"/>
            <w:hideMark/>
          </w:tcPr>
          <w:p w14:paraId="4DFFDDE1"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金额（万元）</w:t>
            </w:r>
          </w:p>
        </w:tc>
        <w:tc>
          <w:tcPr>
            <w:tcW w:w="611" w:type="pct"/>
            <w:tcBorders>
              <w:top w:val="single" w:sz="4" w:space="0" w:color="auto"/>
              <w:left w:val="nil"/>
              <w:bottom w:val="single" w:sz="4" w:space="0" w:color="auto"/>
              <w:right w:val="single" w:sz="4" w:space="0" w:color="auto"/>
            </w:tcBorders>
            <w:noWrap/>
            <w:vAlign w:val="center"/>
            <w:hideMark/>
          </w:tcPr>
          <w:p w14:paraId="6BEFEE5B"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金额（万元）</w:t>
            </w:r>
          </w:p>
        </w:tc>
        <w:tc>
          <w:tcPr>
            <w:tcW w:w="602" w:type="pct"/>
            <w:tcBorders>
              <w:top w:val="single" w:sz="4" w:space="0" w:color="auto"/>
              <w:left w:val="nil"/>
              <w:bottom w:val="single" w:sz="4" w:space="0" w:color="auto"/>
              <w:right w:val="single" w:sz="4" w:space="0" w:color="auto"/>
            </w:tcBorders>
            <w:noWrap/>
            <w:vAlign w:val="center"/>
            <w:hideMark/>
          </w:tcPr>
          <w:p w14:paraId="6E980F4B"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金额（万元）</w:t>
            </w:r>
          </w:p>
        </w:tc>
        <w:tc>
          <w:tcPr>
            <w:tcW w:w="611" w:type="pct"/>
            <w:tcBorders>
              <w:top w:val="single" w:sz="4" w:space="0" w:color="auto"/>
              <w:left w:val="nil"/>
              <w:bottom w:val="single" w:sz="4" w:space="0" w:color="auto"/>
              <w:right w:val="single" w:sz="4" w:space="0" w:color="auto"/>
            </w:tcBorders>
            <w:noWrap/>
            <w:vAlign w:val="center"/>
            <w:hideMark/>
          </w:tcPr>
          <w:p w14:paraId="5A8FA25C"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金额（万元）</w:t>
            </w:r>
          </w:p>
        </w:tc>
        <w:tc>
          <w:tcPr>
            <w:tcW w:w="602" w:type="pct"/>
            <w:tcBorders>
              <w:top w:val="single" w:sz="4" w:space="0" w:color="auto"/>
              <w:left w:val="nil"/>
              <w:bottom w:val="single" w:sz="4" w:space="0" w:color="auto"/>
              <w:right w:val="single" w:sz="4" w:space="0" w:color="auto"/>
            </w:tcBorders>
            <w:noWrap/>
            <w:vAlign w:val="center"/>
            <w:hideMark/>
          </w:tcPr>
          <w:p w14:paraId="535495D6"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金额（万元）</w:t>
            </w:r>
          </w:p>
        </w:tc>
      </w:tr>
      <w:tr w:rsidR="00FA3DFB" w:rsidRPr="00FA3DFB" w14:paraId="3493027B" w14:textId="77777777" w:rsidTr="00FA3DFB">
        <w:trPr>
          <w:trHeight w:val="280"/>
        </w:trPr>
        <w:tc>
          <w:tcPr>
            <w:tcW w:w="348" w:type="pct"/>
            <w:vMerge/>
            <w:tcBorders>
              <w:top w:val="single" w:sz="4" w:space="0" w:color="auto"/>
              <w:left w:val="single" w:sz="4" w:space="0" w:color="auto"/>
              <w:bottom w:val="single" w:sz="4" w:space="0" w:color="000000"/>
              <w:right w:val="single" w:sz="4" w:space="0" w:color="auto"/>
            </w:tcBorders>
            <w:vAlign w:val="center"/>
            <w:hideMark/>
          </w:tcPr>
          <w:p w14:paraId="31DA099E" w14:textId="77777777" w:rsidR="00FA3DFB" w:rsidRPr="00FA3DFB" w:rsidRDefault="00FA3DFB" w:rsidP="00FA3DFB">
            <w:pPr>
              <w:jc w:val="left"/>
              <w:rPr>
                <w:rFonts w:ascii="宋体" w:eastAsia="宋体" w:hAnsi="宋体" w:cs="宋体"/>
                <w:color w:val="000000"/>
                <w:sz w:val="18"/>
                <w:szCs w:val="18"/>
              </w:rPr>
            </w:pPr>
          </w:p>
        </w:tc>
        <w:tc>
          <w:tcPr>
            <w:tcW w:w="1551" w:type="pct"/>
            <w:vMerge/>
            <w:tcBorders>
              <w:top w:val="single" w:sz="4" w:space="0" w:color="auto"/>
              <w:left w:val="single" w:sz="4" w:space="0" w:color="auto"/>
              <w:bottom w:val="single" w:sz="4" w:space="0" w:color="000000"/>
              <w:right w:val="single" w:sz="4" w:space="0" w:color="auto"/>
            </w:tcBorders>
            <w:vAlign w:val="center"/>
            <w:hideMark/>
          </w:tcPr>
          <w:p w14:paraId="14AFC87E" w14:textId="77777777" w:rsidR="00FA3DFB" w:rsidRPr="00FA3DFB" w:rsidRDefault="00FA3DFB" w:rsidP="00FA3DFB">
            <w:pPr>
              <w:jc w:val="left"/>
              <w:rPr>
                <w:rFonts w:ascii="宋体" w:eastAsia="宋体" w:hAnsi="宋体" w:cs="宋体"/>
                <w:color w:val="000000"/>
                <w:sz w:val="18"/>
                <w:szCs w:val="18"/>
              </w:rPr>
            </w:pPr>
          </w:p>
        </w:tc>
        <w:tc>
          <w:tcPr>
            <w:tcW w:w="677" w:type="pct"/>
            <w:tcBorders>
              <w:top w:val="nil"/>
              <w:left w:val="nil"/>
              <w:bottom w:val="single" w:sz="4" w:space="0" w:color="auto"/>
              <w:right w:val="single" w:sz="4" w:space="0" w:color="auto"/>
            </w:tcBorders>
            <w:noWrap/>
            <w:vAlign w:val="center"/>
            <w:hideMark/>
          </w:tcPr>
          <w:p w14:paraId="36AB584D"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2026</w:t>
            </w:r>
          </w:p>
        </w:tc>
        <w:tc>
          <w:tcPr>
            <w:tcW w:w="611" w:type="pct"/>
            <w:tcBorders>
              <w:top w:val="nil"/>
              <w:left w:val="nil"/>
              <w:bottom w:val="single" w:sz="4" w:space="0" w:color="auto"/>
              <w:right w:val="single" w:sz="4" w:space="0" w:color="auto"/>
            </w:tcBorders>
            <w:noWrap/>
            <w:vAlign w:val="center"/>
            <w:hideMark/>
          </w:tcPr>
          <w:p w14:paraId="6667433C"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2027</w:t>
            </w:r>
          </w:p>
        </w:tc>
        <w:tc>
          <w:tcPr>
            <w:tcW w:w="602" w:type="pct"/>
            <w:tcBorders>
              <w:top w:val="nil"/>
              <w:left w:val="nil"/>
              <w:bottom w:val="single" w:sz="4" w:space="0" w:color="auto"/>
              <w:right w:val="single" w:sz="4" w:space="0" w:color="auto"/>
            </w:tcBorders>
            <w:noWrap/>
            <w:vAlign w:val="center"/>
            <w:hideMark/>
          </w:tcPr>
          <w:p w14:paraId="228B36A8"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2028</w:t>
            </w:r>
          </w:p>
        </w:tc>
        <w:tc>
          <w:tcPr>
            <w:tcW w:w="611" w:type="pct"/>
            <w:tcBorders>
              <w:top w:val="nil"/>
              <w:left w:val="nil"/>
              <w:bottom w:val="single" w:sz="4" w:space="0" w:color="auto"/>
              <w:right w:val="single" w:sz="4" w:space="0" w:color="auto"/>
            </w:tcBorders>
            <w:noWrap/>
            <w:vAlign w:val="center"/>
            <w:hideMark/>
          </w:tcPr>
          <w:p w14:paraId="51BC870C"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2029</w:t>
            </w:r>
          </w:p>
        </w:tc>
        <w:tc>
          <w:tcPr>
            <w:tcW w:w="602" w:type="pct"/>
            <w:tcBorders>
              <w:top w:val="nil"/>
              <w:left w:val="nil"/>
              <w:bottom w:val="single" w:sz="4" w:space="0" w:color="auto"/>
              <w:right w:val="single" w:sz="4" w:space="0" w:color="auto"/>
            </w:tcBorders>
            <w:noWrap/>
            <w:vAlign w:val="center"/>
            <w:hideMark/>
          </w:tcPr>
          <w:p w14:paraId="4895C428"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2030</w:t>
            </w:r>
          </w:p>
        </w:tc>
      </w:tr>
      <w:tr w:rsidR="00FA3DFB" w:rsidRPr="00FA3DFB" w14:paraId="2BA30ACA"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06D2FB42"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w:t>
            </w:r>
          </w:p>
        </w:tc>
        <w:tc>
          <w:tcPr>
            <w:tcW w:w="1551" w:type="pct"/>
            <w:tcBorders>
              <w:top w:val="nil"/>
              <w:left w:val="nil"/>
              <w:bottom w:val="single" w:sz="4" w:space="0" w:color="auto"/>
              <w:right w:val="single" w:sz="4" w:space="0" w:color="auto"/>
            </w:tcBorders>
            <w:noWrap/>
            <w:vAlign w:val="center"/>
            <w:hideMark/>
          </w:tcPr>
          <w:p w14:paraId="66FDCCE5"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项目公司服务收入（万元）</w:t>
            </w:r>
          </w:p>
        </w:tc>
        <w:tc>
          <w:tcPr>
            <w:tcW w:w="677" w:type="pct"/>
            <w:tcBorders>
              <w:top w:val="nil"/>
              <w:left w:val="nil"/>
              <w:bottom w:val="single" w:sz="4" w:space="0" w:color="auto"/>
              <w:right w:val="single" w:sz="4" w:space="0" w:color="auto"/>
            </w:tcBorders>
            <w:noWrap/>
            <w:vAlign w:val="center"/>
            <w:hideMark/>
          </w:tcPr>
          <w:p w14:paraId="31AA56B1"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1000.00</w:t>
            </w:r>
          </w:p>
        </w:tc>
        <w:tc>
          <w:tcPr>
            <w:tcW w:w="611" w:type="pct"/>
            <w:tcBorders>
              <w:top w:val="nil"/>
              <w:left w:val="nil"/>
              <w:bottom w:val="single" w:sz="4" w:space="0" w:color="auto"/>
              <w:right w:val="single" w:sz="4" w:space="0" w:color="auto"/>
            </w:tcBorders>
            <w:noWrap/>
            <w:vAlign w:val="center"/>
            <w:hideMark/>
          </w:tcPr>
          <w:p w14:paraId="6ECC948C"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1638.00</w:t>
            </w:r>
          </w:p>
        </w:tc>
        <w:tc>
          <w:tcPr>
            <w:tcW w:w="602" w:type="pct"/>
            <w:tcBorders>
              <w:top w:val="nil"/>
              <w:left w:val="nil"/>
              <w:bottom w:val="single" w:sz="4" w:space="0" w:color="auto"/>
              <w:right w:val="single" w:sz="4" w:space="0" w:color="auto"/>
            </w:tcBorders>
            <w:noWrap/>
            <w:vAlign w:val="center"/>
            <w:hideMark/>
          </w:tcPr>
          <w:p w14:paraId="396BAD4E"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2126.25</w:t>
            </w:r>
          </w:p>
        </w:tc>
        <w:tc>
          <w:tcPr>
            <w:tcW w:w="611" w:type="pct"/>
            <w:tcBorders>
              <w:top w:val="nil"/>
              <w:left w:val="nil"/>
              <w:bottom w:val="single" w:sz="4" w:space="0" w:color="auto"/>
              <w:right w:val="single" w:sz="4" w:space="0" w:color="auto"/>
            </w:tcBorders>
            <w:noWrap/>
            <w:vAlign w:val="center"/>
            <w:hideMark/>
          </w:tcPr>
          <w:p w14:paraId="72E45948"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2730.00</w:t>
            </w:r>
          </w:p>
        </w:tc>
        <w:tc>
          <w:tcPr>
            <w:tcW w:w="602" w:type="pct"/>
            <w:tcBorders>
              <w:top w:val="nil"/>
              <w:left w:val="nil"/>
              <w:bottom w:val="single" w:sz="4" w:space="0" w:color="auto"/>
              <w:right w:val="single" w:sz="4" w:space="0" w:color="auto"/>
            </w:tcBorders>
            <w:noWrap/>
            <w:vAlign w:val="center"/>
            <w:hideMark/>
          </w:tcPr>
          <w:p w14:paraId="3D421817"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3447.00</w:t>
            </w:r>
          </w:p>
        </w:tc>
      </w:tr>
      <w:tr w:rsidR="00FA3DFB" w:rsidRPr="00FA3DFB" w14:paraId="3FFE502C"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28E1B875"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w:t>
            </w:r>
          </w:p>
        </w:tc>
        <w:tc>
          <w:tcPr>
            <w:tcW w:w="1551" w:type="pct"/>
            <w:tcBorders>
              <w:top w:val="nil"/>
              <w:left w:val="nil"/>
              <w:bottom w:val="single" w:sz="4" w:space="0" w:color="auto"/>
              <w:right w:val="single" w:sz="4" w:space="0" w:color="auto"/>
            </w:tcBorders>
            <w:noWrap/>
            <w:vAlign w:val="center"/>
            <w:hideMark/>
          </w:tcPr>
          <w:p w14:paraId="766E2882"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增值税金及附加（6%+6%*12%）</w:t>
            </w:r>
          </w:p>
        </w:tc>
        <w:tc>
          <w:tcPr>
            <w:tcW w:w="677" w:type="pct"/>
            <w:tcBorders>
              <w:top w:val="nil"/>
              <w:left w:val="nil"/>
              <w:bottom w:val="single" w:sz="4" w:space="0" w:color="auto"/>
              <w:right w:val="single" w:sz="4" w:space="0" w:color="auto"/>
            </w:tcBorders>
            <w:noWrap/>
            <w:vAlign w:val="center"/>
            <w:hideMark/>
          </w:tcPr>
          <w:p w14:paraId="7B14F26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67.20</w:t>
            </w:r>
          </w:p>
        </w:tc>
        <w:tc>
          <w:tcPr>
            <w:tcW w:w="611" w:type="pct"/>
            <w:tcBorders>
              <w:top w:val="nil"/>
              <w:left w:val="nil"/>
              <w:bottom w:val="single" w:sz="4" w:space="0" w:color="auto"/>
              <w:right w:val="single" w:sz="4" w:space="0" w:color="auto"/>
            </w:tcBorders>
            <w:noWrap/>
            <w:vAlign w:val="center"/>
            <w:hideMark/>
          </w:tcPr>
          <w:p w14:paraId="6DA4E1FD"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110.07</w:t>
            </w:r>
          </w:p>
        </w:tc>
        <w:tc>
          <w:tcPr>
            <w:tcW w:w="602" w:type="pct"/>
            <w:tcBorders>
              <w:top w:val="nil"/>
              <w:left w:val="nil"/>
              <w:bottom w:val="single" w:sz="4" w:space="0" w:color="auto"/>
              <w:right w:val="single" w:sz="4" w:space="0" w:color="auto"/>
            </w:tcBorders>
            <w:noWrap/>
            <w:vAlign w:val="center"/>
            <w:hideMark/>
          </w:tcPr>
          <w:p w14:paraId="697E8F22"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142.88</w:t>
            </w:r>
          </w:p>
        </w:tc>
        <w:tc>
          <w:tcPr>
            <w:tcW w:w="611" w:type="pct"/>
            <w:tcBorders>
              <w:top w:val="nil"/>
              <w:left w:val="nil"/>
              <w:bottom w:val="single" w:sz="4" w:space="0" w:color="auto"/>
              <w:right w:val="single" w:sz="4" w:space="0" w:color="auto"/>
            </w:tcBorders>
            <w:noWrap/>
            <w:vAlign w:val="center"/>
            <w:hideMark/>
          </w:tcPr>
          <w:p w14:paraId="3745FEA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183.46</w:t>
            </w:r>
          </w:p>
        </w:tc>
        <w:tc>
          <w:tcPr>
            <w:tcW w:w="602" w:type="pct"/>
            <w:tcBorders>
              <w:top w:val="nil"/>
              <w:left w:val="nil"/>
              <w:bottom w:val="single" w:sz="4" w:space="0" w:color="auto"/>
              <w:right w:val="single" w:sz="4" w:space="0" w:color="auto"/>
            </w:tcBorders>
            <w:noWrap/>
            <w:vAlign w:val="center"/>
            <w:hideMark/>
          </w:tcPr>
          <w:p w14:paraId="1347AE81"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231.64</w:t>
            </w:r>
          </w:p>
        </w:tc>
      </w:tr>
      <w:tr w:rsidR="00FA3DFB" w:rsidRPr="00FA3DFB" w14:paraId="0D260507"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1A568280"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w:t>
            </w:r>
          </w:p>
        </w:tc>
        <w:tc>
          <w:tcPr>
            <w:tcW w:w="1551" w:type="pct"/>
            <w:tcBorders>
              <w:top w:val="nil"/>
              <w:left w:val="nil"/>
              <w:bottom w:val="single" w:sz="4" w:space="0" w:color="auto"/>
              <w:right w:val="single" w:sz="4" w:space="0" w:color="auto"/>
            </w:tcBorders>
            <w:noWrap/>
            <w:vAlign w:val="center"/>
            <w:hideMark/>
          </w:tcPr>
          <w:p w14:paraId="03D92C2A"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公司运营成本</w:t>
            </w:r>
          </w:p>
        </w:tc>
        <w:tc>
          <w:tcPr>
            <w:tcW w:w="677" w:type="pct"/>
            <w:tcBorders>
              <w:top w:val="nil"/>
              <w:left w:val="nil"/>
              <w:bottom w:val="single" w:sz="4" w:space="0" w:color="auto"/>
              <w:right w:val="single" w:sz="4" w:space="0" w:color="auto"/>
            </w:tcBorders>
            <w:noWrap/>
            <w:vAlign w:val="center"/>
            <w:hideMark/>
          </w:tcPr>
          <w:p w14:paraId="3D7FFB8F"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282.85</w:t>
            </w:r>
          </w:p>
        </w:tc>
        <w:tc>
          <w:tcPr>
            <w:tcW w:w="611" w:type="pct"/>
            <w:tcBorders>
              <w:top w:val="nil"/>
              <w:left w:val="nil"/>
              <w:bottom w:val="single" w:sz="4" w:space="0" w:color="auto"/>
              <w:right w:val="single" w:sz="4" w:space="0" w:color="auto"/>
            </w:tcBorders>
            <w:noWrap/>
            <w:vAlign w:val="center"/>
            <w:hideMark/>
          </w:tcPr>
          <w:p w14:paraId="71E26E8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570.61</w:t>
            </w:r>
          </w:p>
        </w:tc>
        <w:tc>
          <w:tcPr>
            <w:tcW w:w="602" w:type="pct"/>
            <w:tcBorders>
              <w:top w:val="nil"/>
              <w:left w:val="nil"/>
              <w:bottom w:val="single" w:sz="4" w:space="0" w:color="auto"/>
              <w:right w:val="single" w:sz="4" w:space="0" w:color="auto"/>
            </w:tcBorders>
            <w:noWrap/>
            <w:vAlign w:val="center"/>
            <w:hideMark/>
          </w:tcPr>
          <w:p w14:paraId="16B7C349"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570.61</w:t>
            </w:r>
          </w:p>
        </w:tc>
        <w:tc>
          <w:tcPr>
            <w:tcW w:w="611" w:type="pct"/>
            <w:tcBorders>
              <w:top w:val="nil"/>
              <w:left w:val="nil"/>
              <w:bottom w:val="single" w:sz="4" w:space="0" w:color="auto"/>
              <w:right w:val="single" w:sz="4" w:space="0" w:color="auto"/>
            </w:tcBorders>
            <w:noWrap/>
            <w:vAlign w:val="center"/>
            <w:hideMark/>
          </w:tcPr>
          <w:p w14:paraId="22CB7381"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570.61</w:t>
            </w:r>
          </w:p>
        </w:tc>
        <w:tc>
          <w:tcPr>
            <w:tcW w:w="602" w:type="pct"/>
            <w:tcBorders>
              <w:top w:val="nil"/>
              <w:left w:val="nil"/>
              <w:bottom w:val="single" w:sz="4" w:space="0" w:color="auto"/>
              <w:right w:val="single" w:sz="4" w:space="0" w:color="auto"/>
            </w:tcBorders>
            <w:noWrap/>
            <w:vAlign w:val="center"/>
            <w:hideMark/>
          </w:tcPr>
          <w:p w14:paraId="721AE73D"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570.61</w:t>
            </w:r>
          </w:p>
        </w:tc>
      </w:tr>
      <w:tr w:rsidR="00FA3DFB" w:rsidRPr="00FA3DFB" w14:paraId="57E3CFC9"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069B8662"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4</w:t>
            </w:r>
          </w:p>
        </w:tc>
        <w:tc>
          <w:tcPr>
            <w:tcW w:w="1551" w:type="pct"/>
            <w:tcBorders>
              <w:top w:val="nil"/>
              <w:left w:val="nil"/>
              <w:bottom w:val="single" w:sz="4" w:space="0" w:color="auto"/>
              <w:right w:val="single" w:sz="4" w:space="0" w:color="auto"/>
            </w:tcBorders>
            <w:noWrap/>
            <w:vAlign w:val="center"/>
            <w:hideMark/>
          </w:tcPr>
          <w:p w14:paraId="177F10DB"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公司营业利润（万元）</w:t>
            </w:r>
          </w:p>
        </w:tc>
        <w:tc>
          <w:tcPr>
            <w:tcW w:w="677" w:type="pct"/>
            <w:tcBorders>
              <w:top w:val="nil"/>
              <w:left w:val="nil"/>
              <w:bottom w:val="single" w:sz="4" w:space="0" w:color="auto"/>
              <w:right w:val="single" w:sz="4" w:space="0" w:color="auto"/>
            </w:tcBorders>
            <w:noWrap/>
            <w:vAlign w:val="center"/>
            <w:hideMark/>
          </w:tcPr>
          <w:p w14:paraId="00B65E54"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649.95</w:t>
            </w:r>
          </w:p>
        </w:tc>
        <w:tc>
          <w:tcPr>
            <w:tcW w:w="611" w:type="pct"/>
            <w:tcBorders>
              <w:top w:val="nil"/>
              <w:left w:val="nil"/>
              <w:bottom w:val="single" w:sz="4" w:space="0" w:color="auto"/>
              <w:right w:val="single" w:sz="4" w:space="0" w:color="auto"/>
            </w:tcBorders>
            <w:noWrap/>
            <w:vAlign w:val="center"/>
            <w:hideMark/>
          </w:tcPr>
          <w:p w14:paraId="6F4D7BE7"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957.32</w:t>
            </w:r>
          </w:p>
        </w:tc>
        <w:tc>
          <w:tcPr>
            <w:tcW w:w="602" w:type="pct"/>
            <w:tcBorders>
              <w:top w:val="nil"/>
              <w:left w:val="nil"/>
              <w:bottom w:val="single" w:sz="4" w:space="0" w:color="auto"/>
              <w:right w:val="single" w:sz="4" w:space="0" w:color="auto"/>
            </w:tcBorders>
            <w:noWrap/>
            <w:vAlign w:val="center"/>
            <w:hideMark/>
          </w:tcPr>
          <w:p w14:paraId="0A974063"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1412.75</w:t>
            </w:r>
          </w:p>
        </w:tc>
        <w:tc>
          <w:tcPr>
            <w:tcW w:w="611" w:type="pct"/>
            <w:tcBorders>
              <w:top w:val="nil"/>
              <w:left w:val="nil"/>
              <w:bottom w:val="single" w:sz="4" w:space="0" w:color="auto"/>
              <w:right w:val="single" w:sz="4" w:space="0" w:color="auto"/>
            </w:tcBorders>
            <w:noWrap/>
            <w:vAlign w:val="center"/>
            <w:hideMark/>
          </w:tcPr>
          <w:p w14:paraId="678DD188"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1975.93</w:t>
            </w:r>
          </w:p>
        </w:tc>
        <w:tc>
          <w:tcPr>
            <w:tcW w:w="602" w:type="pct"/>
            <w:tcBorders>
              <w:top w:val="nil"/>
              <w:left w:val="nil"/>
              <w:bottom w:val="single" w:sz="4" w:space="0" w:color="auto"/>
              <w:right w:val="single" w:sz="4" w:space="0" w:color="auto"/>
            </w:tcBorders>
            <w:noWrap/>
            <w:vAlign w:val="center"/>
            <w:hideMark/>
          </w:tcPr>
          <w:p w14:paraId="46AC37C1"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2644.75</w:t>
            </w:r>
          </w:p>
        </w:tc>
      </w:tr>
      <w:tr w:rsidR="00FA3DFB" w:rsidRPr="00FA3DFB" w14:paraId="5393D48A"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59A748B4"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w:t>
            </w:r>
          </w:p>
        </w:tc>
        <w:tc>
          <w:tcPr>
            <w:tcW w:w="1551" w:type="pct"/>
            <w:tcBorders>
              <w:top w:val="nil"/>
              <w:left w:val="nil"/>
              <w:bottom w:val="single" w:sz="4" w:space="0" w:color="auto"/>
              <w:right w:val="single" w:sz="4" w:space="0" w:color="auto"/>
            </w:tcBorders>
            <w:noWrap/>
            <w:vAlign w:val="center"/>
            <w:hideMark/>
          </w:tcPr>
          <w:p w14:paraId="019D16CF"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公司期间费用（万元）</w:t>
            </w:r>
          </w:p>
        </w:tc>
        <w:tc>
          <w:tcPr>
            <w:tcW w:w="677" w:type="pct"/>
            <w:tcBorders>
              <w:top w:val="nil"/>
              <w:left w:val="nil"/>
              <w:bottom w:val="single" w:sz="4" w:space="0" w:color="auto"/>
              <w:right w:val="single" w:sz="4" w:space="0" w:color="auto"/>
            </w:tcBorders>
            <w:noWrap/>
            <w:vAlign w:val="center"/>
            <w:hideMark/>
          </w:tcPr>
          <w:p w14:paraId="0280A885"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120.00</w:t>
            </w:r>
          </w:p>
        </w:tc>
        <w:tc>
          <w:tcPr>
            <w:tcW w:w="611" w:type="pct"/>
            <w:tcBorders>
              <w:top w:val="nil"/>
              <w:left w:val="nil"/>
              <w:bottom w:val="single" w:sz="4" w:space="0" w:color="auto"/>
              <w:right w:val="single" w:sz="4" w:space="0" w:color="auto"/>
            </w:tcBorders>
            <w:noWrap/>
            <w:vAlign w:val="center"/>
            <w:hideMark/>
          </w:tcPr>
          <w:p w14:paraId="1CCD94F7"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150.00</w:t>
            </w:r>
          </w:p>
        </w:tc>
        <w:tc>
          <w:tcPr>
            <w:tcW w:w="602" w:type="pct"/>
            <w:tcBorders>
              <w:top w:val="nil"/>
              <w:left w:val="nil"/>
              <w:bottom w:val="single" w:sz="4" w:space="0" w:color="auto"/>
              <w:right w:val="single" w:sz="4" w:space="0" w:color="auto"/>
            </w:tcBorders>
            <w:noWrap/>
            <w:vAlign w:val="center"/>
            <w:hideMark/>
          </w:tcPr>
          <w:p w14:paraId="15D891DF"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150.00</w:t>
            </w:r>
          </w:p>
        </w:tc>
        <w:tc>
          <w:tcPr>
            <w:tcW w:w="611" w:type="pct"/>
            <w:tcBorders>
              <w:top w:val="nil"/>
              <w:left w:val="nil"/>
              <w:bottom w:val="single" w:sz="4" w:space="0" w:color="auto"/>
              <w:right w:val="single" w:sz="4" w:space="0" w:color="auto"/>
            </w:tcBorders>
            <w:noWrap/>
            <w:vAlign w:val="center"/>
            <w:hideMark/>
          </w:tcPr>
          <w:p w14:paraId="3060E3CE"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150.00</w:t>
            </w:r>
          </w:p>
        </w:tc>
        <w:tc>
          <w:tcPr>
            <w:tcW w:w="602" w:type="pct"/>
            <w:tcBorders>
              <w:top w:val="nil"/>
              <w:left w:val="nil"/>
              <w:bottom w:val="single" w:sz="4" w:space="0" w:color="auto"/>
              <w:right w:val="single" w:sz="4" w:space="0" w:color="auto"/>
            </w:tcBorders>
            <w:noWrap/>
            <w:vAlign w:val="center"/>
            <w:hideMark/>
          </w:tcPr>
          <w:p w14:paraId="1010121E"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150.00</w:t>
            </w:r>
          </w:p>
        </w:tc>
      </w:tr>
      <w:tr w:rsidR="00FA3DFB" w:rsidRPr="00FA3DFB" w14:paraId="30D71AAD"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694D86D6"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w:t>
            </w:r>
          </w:p>
        </w:tc>
        <w:tc>
          <w:tcPr>
            <w:tcW w:w="1551" w:type="pct"/>
            <w:tcBorders>
              <w:top w:val="nil"/>
              <w:left w:val="nil"/>
              <w:bottom w:val="single" w:sz="4" w:space="0" w:color="auto"/>
              <w:right w:val="single" w:sz="4" w:space="0" w:color="auto"/>
            </w:tcBorders>
            <w:noWrap/>
            <w:vAlign w:val="center"/>
            <w:hideMark/>
          </w:tcPr>
          <w:p w14:paraId="5E3ABA06"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公司所得税（25%）</w:t>
            </w:r>
          </w:p>
        </w:tc>
        <w:tc>
          <w:tcPr>
            <w:tcW w:w="677" w:type="pct"/>
            <w:tcBorders>
              <w:top w:val="nil"/>
              <w:left w:val="nil"/>
              <w:bottom w:val="single" w:sz="4" w:space="0" w:color="auto"/>
              <w:right w:val="single" w:sz="4" w:space="0" w:color="auto"/>
            </w:tcBorders>
            <w:noWrap/>
            <w:vAlign w:val="center"/>
            <w:hideMark/>
          </w:tcPr>
          <w:p w14:paraId="0DFF62CE"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162.49</w:t>
            </w:r>
          </w:p>
        </w:tc>
        <w:tc>
          <w:tcPr>
            <w:tcW w:w="611" w:type="pct"/>
            <w:tcBorders>
              <w:top w:val="nil"/>
              <w:left w:val="nil"/>
              <w:bottom w:val="single" w:sz="4" w:space="0" w:color="auto"/>
              <w:right w:val="single" w:sz="4" w:space="0" w:color="auto"/>
            </w:tcBorders>
            <w:noWrap/>
            <w:vAlign w:val="center"/>
            <w:hideMark/>
          </w:tcPr>
          <w:p w14:paraId="197E3E86"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239.33</w:t>
            </w:r>
          </w:p>
        </w:tc>
        <w:tc>
          <w:tcPr>
            <w:tcW w:w="602" w:type="pct"/>
            <w:tcBorders>
              <w:top w:val="nil"/>
              <w:left w:val="nil"/>
              <w:bottom w:val="single" w:sz="4" w:space="0" w:color="auto"/>
              <w:right w:val="single" w:sz="4" w:space="0" w:color="auto"/>
            </w:tcBorders>
            <w:noWrap/>
            <w:vAlign w:val="center"/>
            <w:hideMark/>
          </w:tcPr>
          <w:p w14:paraId="1B314B50"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353.19</w:t>
            </w:r>
          </w:p>
        </w:tc>
        <w:tc>
          <w:tcPr>
            <w:tcW w:w="611" w:type="pct"/>
            <w:tcBorders>
              <w:top w:val="nil"/>
              <w:left w:val="nil"/>
              <w:bottom w:val="single" w:sz="4" w:space="0" w:color="auto"/>
              <w:right w:val="single" w:sz="4" w:space="0" w:color="auto"/>
            </w:tcBorders>
            <w:noWrap/>
            <w:vAlign w:val="center"/>
            <w:hideMark/>
          </w:tcPr>
          <w:p w14:paraId="4D22EB1E"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493.98</w:t>
            </w:r>
          </w:p>
        </w:tc>
        <w:tc>
          <w:tcPr>
            <w:tcW w:w="602" w:type="pct"/>
            <w:tcBorders>
              <w:top w:val="nil"/>
              <w:left w:val="nil"/>
              <w:bottom w:val="single" w:sz="4" w:space="0" w:color="auto"/>
              <w:right w:val="single" w:sz="4" w:space="0" w:color="auto"/>
            </w:tcBorders>
            <w:noWrap/>
            <w:vAlign w:val="center"/>
            <w:hideMark/>
          </w:tcPr>
          <w:p w14:paraId="4FA2BA6F"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661.19</w:t>
            </w:r>
          </w:p>
        </w:tc>
      </w:tr>
      <w:tr w:rsidR="00FA3DFB" w:rsidRPr="00FA3DFB" w14:paraId="00720514"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47273D55"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6</w:t>
            </w:r>
          </w:p>
        </w:tc>
        <w:tc>
          <w:tcPr>
            <w:tcW w:w="1551" w:type="pct"/>
            <w:tcBorders>
              <w:top w:val="nil"/>
              <w:left w:val="nil"/>
              <w:bottom w:val="single" w:sz="4" w:space="0" w:color="auto"/>
              <w:right w:val="single" w:sz="4" w:space="0" w:color="auto"/>
            </w:tcBorders>
            <w:noWrap/>
            <w:vAlign w:val="center"/>
            <w:hideMark/>
          </w:tcPr>
          <w:p w14:paraId="4768C197"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公司税后利润</w:t>
            </w:r>
          </w:p>
        </w:tc>
        <w:tc>
          <w:tcPr>
            <w:tcW w:w="677" w:type="pct"/>
            <w:tcBorders>
              <w:top w:val="nil"/>
              <w:left w:val="nil"/>
              <w:bottom w:val="single" w:sz="4" w:space="0" w:color="auto"/>
              <w:right w:val="single" w:sz="4" w:space="0" w:color="auto"/>
            </w:tcBorders>
            <w:noWrap/>
            <w:vAlign w:val="center"/>
            <w:hideMark/>
          </w:tcPr>
          <w:p w14:paraId="18D7A449"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367.46</w:t>
            </w:r>
          </w:p>
        </w:tc>
        <w:tc>
          <w:tcPr>
            <w:tcW w:w="611" w:type="pct"/>
            <w:tcBorders>
              <w:top w:val="nil"/>
              <w:left w:val="nil"/>
              <w:bottom w:val="single" w:sz="4" w:space="0" w:color="auto"/>
              <w:right w:val="single" w:sz="4" w:space="0" w:color="auto"/>
            </w:tcBorders>
            <w:noWrap/>
            <w:vAlign w:val="center"/>
            <w:hideMark/>
          </w:tcPr>
          <w:p w14:paraId="23C6439C"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567.99</w:t>
            </w:r>
          </w:p>
        </w:tc>
        <w:tc>
          <w:tcPr>
            <w:tcW w:w="602" w:type="pct"/>
            <w:tcBorders>
              <w:top w:val="nil"/>
              <w:left w:val="nil"/>
              <w:bottom w:val="single" w:sz="4" w:space="0" w:color="auto"/>
              <w:right w:val="single" w:sz="4" w:space="0" w:color="auto"/>
            </w:tcBorders>
            <w:noWrap/>
            <w:vAlign w:val="center"/>
            <w:hideMark/>
          </w:tcPr>
          <w:p w14:paraId="081C8F44"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909.57</w:t>
            </w:r>
          </w:p>
        </w:tc>
        <w:tc>
          <w:tcPr>
            <w:tcW w:w="611" w:type="pct"/>
            <w:tcBorders>
              <w:top w:val="nil"/>
              <w:left w:val="nil"/>
              <w:bottom w:val="single" w:sz="4" w:space="0" w:color="auto"/>
              <w:right w:val="single" w:sz="4" w:space="0" w:color="auto"/>
            </w:tcBorders>
            <w:noWrap/>
            <w:vAlign w:val="center"/>
            <w:hideMark/>
          </w:tcPr>
          <w:p w14:paraId="4AB0E424"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1331.95</w:t>
            </w:r>
          </w:p>
        </w:tc>
        <w:tc>
          <w:tcPr>
            <w:tcW w:w="602" w:type="pct"/>
            <w:tcBorders>
              <w:top w:val="nil"/>
              <w:left w:val="nil"/>
              <w:bottom w:val="single" w:sz="4" w:space="0" w:color="auto"/>
              <w:right w:val="single" w:sz="4" w:space="0" w:color="auto"/>
            </w:tcBorders>
            <w:noWrap/>
            <w:vAlign w:val="center"/>
            <w:hideMark/>
          </w:tcPr>
          <w:p w14:paraId="7F2D1B02"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1833.56</w:t>
            </w:r>
          </w:p>
        </w:tc>
      </w:tr>
      <w:tr w:rsidR="00FA3DFB" w:rsidRPr="00FA3DFB" w14:paraId="350309B3"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313992BA"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7</w:t>
            </w:r>
          </w:p>
        </w:tc>
        <w:tc>
          <w:tcPr>
            <w:tcW w:w="1551" w:type="pct"/>
            <w:tcBorders>
              <w:top w:val="nil"/>
              <w:left w:val="nil"/>
              <w:bottom w:val="single" w:sz="4" w:space="0" w:color="auto"/>
              <w:right w:val="single" w:sz="4" w:space="0" w:color="auto"/>
            </w:tcBorders>
            <w:noWrap/>
            <w:vAlign w:val="center"/>
            <w:hideMark/>
          </w:tcPr>
          <w:p w14:paraId="08BEC7D6"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提取法定盈余公积（10%)</w:t>
            </w:r>
          </w:p>
        </w:tc>
        <w:tc>
          <w:tcPr>
            <w:tcW w:w="677" w:type="pct"/>
            <w:tcBorders>
              <w:top w:val="nil"/>
              <w:left w:val="nil"/>
              <w:bottom w:val="single" w:sz="4" w:space="0" w:color="auto"/>
              <w:right w:val="single" w:sz="4" w:space="0" w:color="auto"/>
            </w:tcBorders>
            <w:noWrap/>
            <w:vAlign w:val="center"/>
            <w:hideMark/>
          </w:tcPr>
          <w:p w14:paraId="1A0508B1"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36.75</w:t>
            </w:r>
          </w:p>
        </w:tc>
        <w:tc>
          <w:tcPr>
            <w:tcW w:w="611" w:type="pct"/>
            <w:tcBorders>
              <w:top w:val="nil"/>
              <w:left w:val="nil"/>
              <w:bottom w:val="single" w:sz="4" w:space="0" w:color="auto"/>
              <w:right w:val="single" w:sz="4" w:space="0" w:color="auto"/>
            </w:tcBorders>
            <w:noWrap/>
            <w:vAlign w:val="center"/>
            <w:hideMark/>
          </w:tcPr>
          <w:p w14:paraId="4E2B2303"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56.80</w:t>
            </w:r>
          </w:p>
        </w:tc>
        <w:tc>
          <w:tcPr>
            <w:tcW w:w="602" w:type="pct"/>
            <w:tcBorders>
              <w:top w:val="nil"/>
              <w:left w:val="nil"/>
              <w:bottom w:val="single" w:sz="4" w:space="0" w:color="auto"/>
              <w:right w:val="single" w:sz="4" w:space="0" w:color="auto"/>
            </w:tcBorders>
            <w:noWrap/>
            <w:vAlign w:val="center"/>
            <w:hideMark/>
          </w:tcPr>
          <w:p w14:paraId="67EB0ED4"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90.96</w:t>
            </w:r>
          </w:p>
        </w:tc>
        <w:tc>
          <w:tcPr>
            <w:tcW w:w="611" w:type="pct"/>
            <w:tcBorders>
              <w:top w:val="nil"/>
              <w:left w:val="nil"/>
              <w:bottom w:val="single" w:sz="4" w:space="0" w:color="auto"/>
              <w:right w:val="single" w:sz="4" w:space="0" w:color="auto"/>
            </w:tcBorders>
            <w:noWrap/>
            <w:vAlign w:val="center"/>
            <w:hideMark/>
          </w:tcPr>
          <w:p w14:paraId="3FA4D05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133.19</w:t>
            </w:r>
          </w:p>
        </w:tc>
        <w:tc>
          <w:tcPr>
            <w:tcW w:w="602" w:type="pct"/>
            <w:tcBorders>
              <w:top w:val="nil"/>
              <w:left w:val="nil"/>
              <w:bottom w:val="single" w:sz="4" w:space="0" w:color="auto"/>
              <w:right w:val="single" w:sz="4" w:space="0" w:color="auto"/>
            </w:tcBorders>
            <w:noWrap/>
            <w:vAlign w:val="center"/>
            <w:hideMark/>
          </w:tcPr>
          <w:p w14:paraId="30D9F7C5"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183.36</w:t>
            </w:r>
          </w:p>
        </w:tc>
      </w:tr>
      <w:tr w:rsidR="00FA3DFB" w:rsidRPr="00FA3DFB" w14:paraId="7722E149" w14:textId="77777777" w:rsidTr="00FA3DFB">
        <w:trPr>
          <w:trHeight w:val="280"/>
        </w:trPr>
        <w:tc>
          <w:tcPr>
            <w:tcW w:w="348" w:type="pct"/>
            <w:tcBorders>
              <w:top w:val="nil"/>
              <w:left w:val="single" w:sz="4" w:space="0" w:color="auto"/>
              <w:bottom w:val="single" w:sz="4" w:space="0" w:color="auto"/>
              <w:right w:val="single" w:sz="4" w:space="0" w:color="auto"/>
            </w:tcBorders>
            <w:noWrap/>
            <w:vAlign w:val="center"/>
            <w:hideMark/>
          </w:tcPr>
          <w:p w14:paraId="5097D64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8</w:t>
            </w:r>
          </w:p>
        </w:tc>
        <w:tc>
          <w:tcPr>
            <w:tcW w:w="1551" w:type="pct"/>
            <w:tcBorders>
              <w:top w:val="nil"/>
              <w:left w:val="nil"/>
              <w:bottom w:val="single" w:sz="4" w:space="0" w:color="auto"/>
              <w:right w:val="single" w:sz="4" w:space="0" w:color="auto"/>
            </w:tcBorders>
            <w:noWrap/>
            <w:vAlign w:val="center"/>
            <w:hideMark/>
          </w:tcPr>
          <w:p w14:paraId="6C04D2E9" w14:textId="77777777" w:rsidR="00FA3DFB" w:rsidRPr="00FA3DFB" w:rsidRDefault="00FA3DFB" w:rsidP="00FA3DFB">
            <w:pPr>
              <w:jc w:val="left"/>
              <w:rPr>
                <w:rFonts w:ascii="宋体" w:eastAsia="宋体" w:hAnsi="宋体" w:cs="宋体"/>
                <w:color w:val="000000"/>
                <w:sz w:val="18"/>
                <w:szCs w:val="18"/>
              </w:rPr>
            </w:pPr>
            <w:r w:rsidRPr="00FA3DFB">
              <w:rPr>
                <w:rFonts w:ascii="宋体" w:eastAsia="宋体" w:hAnsi="宋体" w:cs="宋体" w:hint="eastAsia"/>
                <w:color w:val="000000"/>
                <w:sz w:val="18"/>
                <w:szCs w:val="18"/>
              </w:rPr>
              <w:t>公司可分配利润</w:t>
            </w:r>
          </w:p>
        </w:tc>
        <w:tc>
          <w:tcPr>
            <w:tcW w:w="677" w:type="pct"/>
            <w:tcBorders>
              <w:top w:val="nil"/>
              <w:left w:val="nil"/>
              <w:bottom w:val="single" w:sz="4" w:space="0" w:color="auto"/>
              <w:right w:val="single" w:sz="4" w:space="0" w:color="auto"/>
            </w:tcBorders>
            <w:noWrap/>
            <w:vAlign w:val="center"/>
            <w:hideMark/>
          </w:tcPr>
          <w:p w14:paraId="101C226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330.72</w:t>
            </w:r>
          </w:p>
        </w:tc>
        <w:tc>
          <w:tcPr>
            <w:tcW w:w="611" w:type="pct"/>
            <w:tcBorders>
              <w:top w:val="nil"/>
              <w:left w:val="nil"/>
              <w:bottom w:val="single" w:sz="4" w:space="0" w:color="auto"/>
              <w:right w:val="single" w:sz="4" w:space="0" w:color="auto"/>
            </w:tcBorders>
            <w:noWrap/>
            <w:vAlign w:val="center"/>
            <w:hideMark/>
          </w:tcPr>
          <w:p w14:paraId="22611A65"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511.19</w:t>
            </w:r>
          </w:p>
        </w:tc>
        <w:tc>
          <w:tcPr>
            <w:tcW w:w="602" w:type="pct"/>
            <w:tcBorders>
              <w:top w:val="nil"/>
              <w:left w:val="nil"/>
              <w:bottom w:val="single" w:sz="4" w:space="0" w:color="auto"/>
              <w:right w:val="single" w:sz="4" w:space="0" w:color="auto"/>
            </w:tcBorders>
            <w:noWrap/>
            <w:vAlign w:val="center"/>
            <w:hideMark/>
          </w:tcPr>
          <w:p w14:paraId="023E5F06"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818.61</w:t>
            </w:r>
          </w:p>
        </w:tc>
        <w:tc>
          <w:tcPr>
            <w:tcW w:w="611" w:type="pct"/>
            <w:tcBorders>
              <w:top w:val="nil"/>
              <w:left w:val="nil"/>
              <w:bottom w:val="single" w:sz="4" w:space="0" w:color="auto"/>
              <w:right w:val="single" w:sz="4" w:space="0" w:color="auto"/>
            </w:tcBorders>
            <w:noWrap/>
            <w:vAlign w:val="center"/>
            <w:hideMark/>
          </w:tcPr>
          <w:p w14:paraId="2DD023DA"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1198.75</w:t>
            </w:r>
          </w:p>
        </w:tc>
        <w:tc>
          <w:tcPr>
            <w:tcW w:w="602" w:type="pct"/>
            <w:tcBorders>
              <w:top w:val="nil"/>
              <w:left w:val="nil"/>
              <w:bottom w:val="single" w:sz="4" w:space="0" w:color="auto"/>
              <w:right w:val="single" w:sz="4" w:space="0" w:color="auto"/>
            </w:tcBorders>
            <w:noWrap/>
            <w:vAlign w:val="center"/>
            <w:hideMark/>
          </w:tcPr>
          <w:p w14:paraId="24FC1E4B" w14:textId="77777777" w:rsidR="00FA3DFB" w:rsidRPr="00FA3DFB" w:rsidRDefault="00FA3DFB" w:rsidP="00FA3DFB">
            <w:pPr>
              <w:jc w:val="right"/>
              <w:rPr>
                <w:rFonts w:ascii="宋体" w:eastAsia="宋体" w:hAnsi="宋体" w:cs="宋体"/>
                <w:color w:val="000000"/>
                <w:sz w:val="18"/>
                <w:szCs w:val="18"/>
              </w:rPr>
            </w:pPr>
            <w:r w:rsidRPr="00FA3DFB">
              <w:rPr>
                <w:rFonts w:ascii="宋体" w:eastAsia="宋体" w:hAnsi="宋体" w:cs="宋体" w:hint="eastAsia"/>
                <w:color w:val="000000"/>
                <w:sz w:val="18"/>
                <w:szCs w:val="18"/>
              </w:rPr>
              <w:t>1650.21</w:t>
            </w:r>
          </w:p>
        </w:tc>
      </w:tr>
    </w:tbl>
    <w:p w14:paraId="76A4F98C" w14:textId="5571E862" w:rsidR="008B70C1" w:rsidRDefault="008B70C1" w:rsidP="00261517">
      <w:pPr>
        <w:jc w:val="center"/>
      </w:pPr>
    </w:p>
    <w:p w14:paraId="32066D84" w14:textId="66581C6F" w:rsidR="00297C08" w:rsidRPr="008B70C1" w:rsidRDefault="00DC6CB7" w:rsidP="008B70C1">
      <w:pPr>
        <w:spacing w:line="360" w:lineRule="auto"/>
        <w:ind w:firstLine="420"/>
        <w:rPr>
          <w:rFonts w:ascii="仿宋" w:eastAsia="仿宋" w:hAnsi="仿宋" w:cs="仿宋"/>
          <w:spacing w:val="-6"/>
          <w:sz w:val="28"/>
          <w:szCs w:val="28"/>
        </w:rPr>
      </w:pPr>
      <w:r>
        <w:rPr>
          <w:rFonts w:hint="eastAsia"/>
        </w:rPr>
        <w:t xml:space="preserve"> </w:t>
      </w:r>
      <w:r w:rsidR="00A743AD" w:rsidRPr="008B70C1">
        <w:rPr>
          <w:rFonts w:ascii="仿宋" w:eastAsia="仿宋" w:hAnsi="仿宋" w:cs="仿宋"/>
          <w:spacing w:val="-6"/>
          <w:sz w:val="28"/>
          <w:szCs w:val="28"/>
        </w:rPr>
        <w:t>如上表所示，边民互市项目在运营五年时间里，在充分考虑了项目公司运营成本、企业所得税后，</w:t>
      </w:r>
      <w:r w:rsidR="00261517">
        <w:rPr>
          <w:rFonts w:ascii="仿宋" w:eastAsia="仿宋" w:hAnsi="仿宋" w:cs="仿宋" w:hint="eastAsia"/>
          <w:spacing w:val="-6"/>
          <w:sz w:val="28"/>
          <w:szCs w:val="28"/>
        </w:rPr>
        <w:t>企业利润会经历前期两年的运营业务导入爬坡期，从2028年开始公司利润会快速提升，达到一个较高的水平</w:t>
      </w:r>
      <w:r w:rsidR="00A743AD" w:rsidRPr="008B70C1">
        <w:rPr>
          <w:rFonts w:ascii="仿宋" w:eastAsia="仿宋" w:hAnsi="仿宋" w:cs="仿宋"/>
          <w:spacing w:val="-6"/>
          <w:sz w:val="28"/>
          <w:szCs w:val="28"/>
        </w:rPr>
        <w:t>。</w:t>
      </w:r>
    </w:p>
    <w:p w14:paraId="3BA42BF5" w14:textId="77777777" w:rsidR="00297C08" w:rsidRPr="005207E5" w:rsidRDefault="008B70C1" w:rsidP="005207E5">
      <w:pPr>
        <w:rPr>
          <w:rFonts w:ascii="仿宋" w:eastAsia="仿宋" w:hAnsi="仿宋"/>
          <w:b/>
          <w:sz w:val="28"/>
          <w:szCs w:val="28"/>
        </w:rPr>
      </w:pPr>
      <w:r w:rsidRPr="005207E5">
        <w:rPr>
          <w:rFonts w:ascii="仿宋" w:eastAsia="仿宋" w:hAnsi="仿宋" w:hint="eastAsia"/>
          <w:b/>
          <w:sz w:val="28"/>
          <w:szCs w:val="28"/>
        </w:rPr>
        <w:t>4</w:t>
      </w:r>
      <w:r w:rsidR="00DC6CB7" w:rsidRPr="005207E5">
        <w:rPr>
          <w:rFonts w:ascii="仿宋" w:eastAsia="仿宋" w:hAnsi="仿宋"/>
          <w:b/>
          <w:sz w:val="28"/>
          <w:szCs w:val="28"/>
        </w:rPr>
        <w:t>.</w:t>
      </w:r>
      <w:r w:rsidRPr="005207E5">
        <w:rPr>
          <w:rFonts w:ascii="仿宋" w:eastAsia="仿宋" w:hAnsi="仿宋" w:hint="eastAsia"/>
          <w:b/>
          <w:sz w:val="28"/>
          <w:szCs w:val="28"/>
        </w:rPr>
        <w:t>4</w:t>
      </w:r>
      <w:r w:rsidR="00DC6CB7" w:rsidRPr="005207E5">
        <w:rPr>
          <w:rFonts w:ascii="仿宋" w:eastAsia="仿宋" w:hAnsi="仿宋"/>
          <w:b/>
          <w:sz w:val="28"/>
          <w:szCs w:val="28"/>
        </w:rPr>
        <w:t xml:space="preserve"> 投资风险提示：</w:t>
      </w:r>
    </w:p>
    <w:p w14:paraId="24372907" w14:textId="4323E5E1" w:rsidR="00297C08" w:rsidRPr="005207E5" w:rsidRDefault="008B70C1" w:rsidP="008B70C1">
      <w:pPr>
        <w:rPr>
          <w:rFonts w:ascii="仿宋" w:eastAsia="仿宋" w:hAnsi="仿宋"/>
          <w:b/>
          <w:sz w:val="28"/>
          <w:szCs w:val="28"/>
        </w:rPr>
      </w:pPr>
      <w:r w:rsidRPr="005207E5">
        <w:rPr>
          <w:rFonts w:ascii="仿宋" w:eastAsia="仿宋" w:hAnsi="仿宋" w:hint="eastAsia"/>
          <w:b/>
          <w:sz w:val="28"/>
          <w:szCs w:val="28"/>
        </w:rPr>
        <w:t>4</w:t>
      </w:r>
      <w:r w:rsidR="00DC6CB7" w:rsidRPr="005207E5">
        <w:rPr>
          <w:rFonts w:ascii="仿宋" w:eastAsia="仿宋" w:hAnsi="仿宋" w:hint="eastAsia"/>
          <w:b/>
          <w:sz w:val="28"/>
          <w:szCs w:val="28"/>
        </w:rPr>
        <w:t>.</w:t>
      </w:r>
      <w:r w:rsidRPr="005207E5">
        <w:rPr>
          <w:rFonts w:ascii="仿宋" w:eastAsia="仿宋" w:hAnsi="仿宋" w:hint="eastAsia"/>
          <w:b/>
          <w:sz w:val="28"/>
          <w:szCs w:val="28"/>
        </w:rPr>
        <w:t>4</w:t>
      </w:r>
      <w:r w:rsidR="00DC6CB7" w:rsidRPr="005207E5">
        <w:rPr>
          <w:rFonts w:ascii="仿宋" w:eastAsia="仿宋" w:hAnsi="仿宋" w:hint="eastAsia"/>
          <w:b/>
          <w:sz w:val="28"/>
          <w:szCs w:val="28"/>
        </w:rPr>
        <w:t>.1项目</w:t>
      </w:r>
      <w:r w:rsidR="00261517">
        <w:rPr>
          <w:rFonts w:ascii="仿宋" w:eastAsia="仿宋" w:hAnsi="仿宋" w:hint="eastAsia"/>
          <w:b/>
          <w:sz w:val="28"/>
          <w:szCs w:val="28"/>
        </w:rPr>
        <w:t>政策变动风险</w:t>
      </w:r>
    </w:p>
    <w:p w14:paraId="732DAEE8" w14:textId="6B242BDC" w:rsidR="00297C08" w:rsidRPr="008B70C1" w:rsidRDefault="00261517" w:rsidP="008B70C1">
      <w:pPr>
        <w:spacing w:line="360" w:lineRule="auto"/>
        <w:ind w:firstLine="420"/>
        <w:rPr>
          <w:rFonts w:ascii="仿宋" w:eastAsia="仿宋" w:hAnsi="仿宋" w:cs="仿宋"/>
          <w:spacing w:val="-6"/>
          <w:sz w:val="28"/>
          <w:szCs w:val="28"/>
        </w:rPr>
      </w:pPr>
      <w:r>
        <w:rPr>
          <w:rFonts w:ascii="仿宋" w:eastAsia="仿宋" w:hAnsi="仿宋" w:cs="仿宋" w:hint="eastAsia"/>
          <w:spacing w:val="-6"/>
          <w:sz w:val="28"/>
          <w:szCs w:val="28"/>
        </w:rPr>
        <w:t>边民互市业务高度依赖政策调控。目前新的边民互市管理办法尚未正式颁布实施，赖以执行的还是1996年的老政策。各地海关及海关缉私部门在执行政策时有一定的裁量权。同一事项在不同海关的判断会有不同。因此，若本次摘牌成功，则在后续的经营过程中必须高度重视政策变动风险，并与属地海关及缉私部门做好经常性的友好业务沟通，确保将政策变动及执行风险降到最低。</w:t>
      </w:r>
    </w:p>
    <w:p w14:paraId="3A9BF16B" w14:textId="3F581C7E" w:rsidR="00297C08" w:rsidRDefault="008B70C1" w:rsidP="008B70C1">
      <w:pPr>
        <w:rPr>
          <w:rFonts w:ascii="仿宋" w:eastAsia="仿宋" w:hAnsi="仿宋"/>
          <w:b/>
          <w:sz w:val="28"/>
          <w:szCs w:val="28"/>
        </w:rPr>
      </w:pPr>
      <w:r w:rsidRPr="005207E5">
        <w:rPr>
          <w:rFonts w:ascii="仿宋" w:eastAsia="仿宋" w:hAnsi="仿宋"/>
          <w:b/>
          <w:sz w:val="28"/>
          <w:szCs w:val="28"/>
        </w:rPr>
        <w:t>4</w:t>
      </w:r>
      <w:r w:rsidR="00DC6CB7" w:rsidRPr="005207E5">
        <w:rPr>
          <w:rFonts w:ascii="仿宋" w:eastAsia="仿宋" w:hAnsi="仿宋" w:hint="eastAsia"/>
          <w:b/>
          <w:sz w:val="28"/>
          <w:szCs w:val="28"/>
        </w:rPr>
        <w:t>.</w:t>
      </w:r>
      <w:r w:rsidRPr="005207E5">
        <w:rPr>
          <w:rFonts w:ascii="仿宋" w:eastAsia="仿宋" w:hAnsi="仿宋"/>
          <w:b/>
          <w:sz w:val="28"/>
          <w:szCs w:val="28"/>
        </w:rPr>
        <w:t>4</w:t>
      </w:r>
      <w:r w:rsidR="00DC6CB7" w:rsidRPr="005207E5">
        <w:rPr>
          <w:rFonts w:ascii="仿宋" w:eastAsia="仿宋" w:hAnsi="仿宋" w:hint="eastAsia"/>
          <w:b/>
          <w:sz w:val="28"/>
          <w:szCs w:val="28"/>
        </w:rPr>
        <w:t>.2</w:t>
      </w:r>
      <w:r w:rsidR="00261517">
        <w:rPr>
          <w:rFonts w:ascii="仿宋" w:eastAsia="仿宋" w:hAnsi="仿宋" w:hint="eastAsia"/>
          <w:b/>
          <w:sz w:val="28"/>
          <w:szCs w:val="28"/>
        </w:rPr>
        <w:t>项目过货量不及预期风险</w:t>
      </w:r>
    </w:p>
    <w:p w14:paraId="1D6EC91A" w14:textId="5477D4F5" w:rsidR="00261517" w:rsidRPr="00261517" w:rsidRDefault="00261517" w:rsidP="008B70C1">
      <w:pPr>
        <w:rPr>
          <w:rFonts w:ascii="仿宋" w:eastAsia="仿宋" w:hAnsi="仿宋"/>
          <w:bCs/>
          <w:sz w:val="28"/>
          <w:szCs w:val="28"/>
        </w:rPr>
      </w:pPr>
      <w:r w:rsidRPr="00261517">
        <w:rPr>
          <w:rFonts w:ascii="仿宋" w:eastAsia="仿宋" w:hAnsi="仿宋" w:hint="eastAsia"/>
          <w:bCs/>
          <w:sz w:val="28"/>
          <w:szCs w:val="28"/>
        </w:rPr>
        <w:t>项目盈利假设依赖</w:t>
      </w:r>
      <w:r>
        <w:rPr>
          <w:rFonts w:ascii="仿宋" w:eastAsia="仿宋" w:hAnsi="仿宋" w:hint="eastAsia"/>
          <w:bCs/>
          <w:sz w:val="28"/>
          <w:szCs w:val="28"/>
        </w:rPr>
        <w:t>主要如下：阿拉山口从2026年开始全面转向落地加工为主的整进整出业务，整进散出的果干业务将集中转移到霍尔果斯口岸。2025年，阿拉山口边民互市过货量预计将达6亿元，霍尔</w:t>
      </w:r>
      <w:r>
        <w:rPr>
          <w:rFonts w:ascii="仿宋" w:eastAsia="仿宋" w:hAnsi="仿宋" w:hint="eastAsia"/>
          <w:bCs/>
          <w:sz w:val="28"/>
          <w:szCs w:val="28"/>
        </w:rPr>
        <w:lastRenderedPageBreak/>
        <w:t>果斯口岸预计将达2亿元。故假设2026年霍尔果斯过货量不低于5亿元。2026年的高过货量将促成霍尔果斯获批落地加工资质，且当年的落地加工量预计为</w:t>
      </w:r>
      <w:r w:rsidR="00FA3DFB">
        <w:rPr>
          <w:rFonts w:ascii="仿宋" w:eastAsia="仿宋" w:hAnsi="仿宋" w:hint="eastAsia"/>
          <w:bCs/>
          <w:sz w:val="28"/>
          <w:szCs w:val="28"/>
        </w:rPr>
        <w:t>6</w:t>
      </w:r>
      <w:r>
        <w:rPr>
          <w:rFonts w:ascii="仿宋" w:eastAsia="仿宋" w:hAnsi="仿宋" w:hint="eastAsia"/>
          <w:bCs/>
          <w:sz w:val="28"/>
          <w:szCs w:val="28"/>
        </w:rPr>
        <w:t>亿元。后续随着落地加工政策的不断完善，规模越来越大，相应的标的公司的营业支出、人员工资、运营费用酌情增加。</w:t>
      </w:r>
      <w:r w:rsidR="006041B8">
        <w:rPr>
          <w:rFonts w:ascii="仿宋" w:eastAsia="仿宋" w:hAnsi="仿宋" w:hint="eastAsia"/>
          <w:bCs/>
          <w:sz w:val="28"/>
          <w:szCs w:val="28"/>
        </w:rPr>
        <w:t>因此如果霍尔果斯过货量不及预期，将显著影响营收也营业利润。</w:t>
      </w:r>
    </w:p>
    <w:p w14:paraId="0B896885" w14:textId="5AE66FC0" w:rsidR="00297C08" w:rsidRPr="005207E5" w:rsidRDefault="008B70C1" w:rsidP="00261517">
      <w:pPr>
        <w:rPr>
          <w:rFonts w:ascii="仿宋" w:eastAsia="仿宋" w:hAnsi="仿宋"/>
          <w:b/>
          <w:sz w:val="28"/>
          <w:szCs w:val="28"/>
        </w:rPr>
      </w:pPr>
      <w:r w:rsidRPr="005207E5">
        <w:rPr>
          <w:rFonts w:ascii="仿宋" w:eastAsia="仿宋" w:hAnsi="仿宋" w:hint="eastAsia"/>
          <w:b/>
          <w:sz w:val="28"/>
          <w:szCs w:val="28"/>
        </w:rPr>
        <w:t>4</w:t>
      </w:r>
      <w:r w:rsidR="00DC6CB7" w:rsidRPr="005207E5">
        <w:rPr>
          <w:rFonts w:ascii="仿宋" w:eastAsia="仿宋" w:hAnsi="仿宋" w:hint="eastAsia"/>
          <w:b/>
          <w:sz w:val="28"/>
          <w:szCs w:val="28"/>
        </w:rPr>
        <w:t>.</w:t>
      </w:r>
      <w:r w:rsidRPr="005207E5">
        <w:rPr>
          <w:rFonts w:ascii="仿宋" w:eastAsia="仿宋" w:hAnsi="仿宋" w:hint="eastAsia"/>
          <w:b/>
          <w:sz w:val="28"/>
          <w:szCs w:val="28"/>
        </w:rPr>
        <w:t>4</w:t>
      </w:r>
      <w:r w:rsidR="00DC6CB7" w:rsidRPr="005207E5">
        <w:rPr>
          <w:rFonts w:ascii="仿宋" w:eastAsia="仿宋" w:hAnsi="仿宋" w:hint="eastAsia"/>
          <w:b/>
          <w:sz w:val="28"/>
          <w:szCs w:val="28"/>
        </w:rPr>
        <w:t>.3</w:t>
      </w:r>
      <w:r w:rsidR="006041B8">
        <w:rPr>
          <w:rFonts w:ascii="仿宋" w:eastAsia="仿宋" w:hAnsi="仿宋" w:hint="eastAsia"/>
          <w:b/>
          <w:sz w:val="28"/>
          <w:szCs w:val="28"/>
        </w:rPr>
        <w:t>竞争</w:t>
      </w:r>
      <w:r w:rsidR="00E30FEE" w:rsidRPr="00E30FEE">
        <w:rPr>
          <w:rFonts w:ascii="仿宋" w:eastAsia="仿宋" w:hAnsi="仿宋"/>
          <w:b/>
          <w:sz w:val="28"/>
          <w:szCs w:val="28"/>
        </w:rPr>
        <w:t>风险</w:t>
      </w:r>
    </w:p>
    <w:p w14:paraId="317B7735" w14:textId="4EA6F15B" w:rsidR="00297C08" w:rsidRPr="008B70C1" w:rsidRDefault="00E30FEE" w:rsidP="008B70C1">
      <w:pPr>
        <w:spacing w:line="360" w:lineRule="auto"/>
        <w:ind w:firstLine="420"/>
        <w:rPr>
          <w:rFonts w:ascii="仿宋" w:eastAsia="仿宋" w:hAnsi="仿宋" w:cs="仿宋"/>
          <w:spacing w:val="-6"/>
          <w:sz w:val="28"/>
          <w:szCs w:val="28"/>
        </w:rPr>
      </w:pPr>
      <w:r w:rsidRPr="00E30FEE">
        <w:rPr>
          <w:rFonts w:ascii="仿宋" w:eastAsia="仿宋" w:hAnsi="仿宋" w:cs="仿宋"/>
          <w:spacing w:val="-6"/>
          <w:sz w:val="28"/>
          <w:szCs w:val="28"/>
        </w:rPr>
        <w:t>目前，新疆</w:t>
      </w:r>
      <w:r w:rsidR="006041B8">
        <w:rPr>
          <w:rFonts w:ascii="仿宋" w:eastAsia="仿宋" w:hAnsi="仿宋" w:cs="仿宋" w:hint="eastAsia"/>
          <w:spacing w:val="-6"/>
          <w:sz w:val="28"/>
          <w:szCs w:val="28"/>
        </w:rPr>
        <w:t>正在开放越来越多的</w:t>
      </w:r>
      <w:r w:rsidRPr="00E30FEE">
        <w:rPr>
          <w:rFonts w:ascii="仿宋" w:eastAsia="仿宋" w:hAnsi="仿宋" w:cs="仿宋"/>
          <w:spacing w:val="-6"/>
          <w:sz w:val="28"/>
          <w:szCs w:val="28"/>
        </w:rPr>
        <w:t>边民互市口岸，若</w:t>
      </w:r>
      <w:r w:rsidR="006041B8">
        <w:rPr>
          <w:rFonts w:ascii="仿宋" w:eastAsia="仿宋" w:hAnsi="仿宋" w:cs="仿宋" w:hint="eastAsia"/>
          <w:spacing w:val="-6"/>
          <w:sz w:val="28"/>
          <w:szCs w:val="28"/>
        </w:rPr>
        <w:t>霍尔果斯</w:t>
      </w:r>
      <w:r w:rsidRPr="00E30FEE">
        <w:rPr>
          <w:rFonts w:ascii="仿宋" w:eastAsia="仿宋" w:hAnsi="仿宋" w:cs="仿宋"/>
          <w:spacing w:val="-6"/>
          <w:sz w:val="28"/>
          <w:szCs w:val="28"/>
        </w:rPr>
        <w:t>边民互市</w:t>
      </w:r>
      <w:r w:rsidR="006041B8">
        <w:rPr>
          <w:rFonts w:ascii="仿宋" w:eastAsia="仿宋" w:hAnsi="仿宋" w:cs="仿宋" w:hint="eastAsia"/>
          <w:spacing w:val="-6"/>
          <w:sz w:val="28"/>
          <w:szCs w:val="28"/>
        </w:rPr>
        <w:t>摘牌</w:t>
      </w:r>
      <w:r w:rsidRPr="00E30FEE">
        <w:rPr>
          <w:rFonts w:ascii="仿宋" w:eastAsia="仿宋" w:hAnsi="仿宋" w:cs="仿宋"/>
          <w:spacing w:val="-6"/>
          <w:sz w:val="28"/>
          <w:szCs w:val="28"/>
        </w:rPr>
        <w:t>后面对多个口岸的竞争导致的外贸货品价格上涨，为解决</w:t>
      </w:r>
      <w:r w:rsidR="006041B8">
        <w:rPr>
          <w:rFonts w:ascii="仿宋" w:eastAsia="仿宋" w:hAnsi="仿宋" w:cs="仿宋" w:hint="eastAsia"/>
          <w:spacing w:val="-6"/>
          <w:sz w:val="28"/>
          <w:szCs w:val="28"/>
        </w:rPr>
        <w:t>该</w:t>
      </w:r>
      <w:r w:rsidRPr="00E30FEE">
        <w:rPr>
          <w:rFonts w:ascii="仿宋" w:eastAsia="仿宋" w:hAnsi="仿宋" w:cs="仿宋"/>
          <w:spacing w:val="-6"/>
          <w:sz w:val="28"/>
          <w:szCs w:val="28"/>
        </w:rPr>
        <w:t>风险，我司将拟联合阿拉山口市政府向乌鲁木齐海关建议实施特色边民口岸，每个口岸按照各自地理位置优势，分别进口各自类别的海外货品，可</w:t>
      </w:r>
      <w:r w:rsidR="0027563D">
        <w:rPr>
          <w:rFonts w:ascii="仿宋" w:eastAsia="仿宋" w:hAnsi="仿宋" w:cs="仿宋"/>
          <w:spacing w:val="-6"/>
          <w:sz w:val="28"/>
          <w:szCs w:val="28"/>
        </w:rPr>
        <w:t>避免相互之间因为竞争导致的海外货品价格虚高问题。因此该风险可控</w:t>
      </w:r>
      <w:r w:rsidR="00DC6CB7" w:rsidRPr="008B70C1">
        <w:rPr>
          <w:rFonts w:ascii="仿宋" w:eastAsia="仿宋" w:hAnsi="仿宋" w:cs="仿宋" w:hint="eastAsia"/>
          <w:spacing w:val="-6"/>
          <w:sz w:val="28"/>
          <w:szCs w:val="28"/>
        </w:rPr>
        <w:t>。</w:t>
      </w:r>
      <w:bookmarkStart w:id="10" w:name="_Toc475973636"/>
      <w:bookmarkEnd w:id="10"/>
    </w:p>
    <w:p w14:paraId="6898EB44" w14:textId="77777777" w:rsidR="00297C08" w:rsidRPr="005207E5" w:rsidRDefault="008B70C1" w:rsidP="005207E5">
      <w:pPr>
        <w:rPr>
          <w:rFonts w:ascii="仿宋" w:eastAsia="仿宋" w:hAnsi="仿宋"/>
          <w:b/>
          <w:sz w:val="28"/>
          <w:szCs w:val="28"/>
        </w:rPr>
      </w:pPr>
      <w:bookmarkStart w:id="11" w:name="_Toc475692315"/>
      <w:bookmarkStart w:id="12" w:name="_Toc18602486"/>
      <w:bookmarkStart w:id="13" w:name="_Toc475973679"/>
      <w:r w:rsidRPr="005207E5">
        <w:rPr>
          <w:rFonts w:ascii="仿宋" w:eastAsia="仿宋" w:hAnsi="仿宋" w:hint="eastAsia"/>
          <w:b/>
          <w:sz w:val="28"/>
          <w:szCs w:val="28"/>
        </w:rPr>
        <w:t>5</w:t>
      </w:r>
      <w:r w:rsidR="00DC6CB7" w:rsidRPr="005207E5">
        <w:rPr>
          <w:rFonts w:ascii="仿宋" w:eastAsia="仿宋" w:hAnsi="仿宋" w:hint="eastAsia"/>
          <w:b/>
          <w:sz w:val="28"/>
          <w:szCs w:val="28"/>
        </w:rPr>
        <w:t>. 报告结论</w:t>
      </w:r>
      <w:bookmarkEnd w:id="11"/>
      <w:bookmarkEnd w:id="12"/>
      <w:bookmarkEnd w:id="13"/>
    </w:p>
    <w:p w14:paraId="4D8686B0" w14:textId="2BB57C1B" w:rsidR="00297C08" w:rsidRPr="008B70C1" w:rsidRDefault="00DC6CB7" w:rsidP="008B70C1">
      <w:pPr>
        <w:spacing w:line="360" w:lineRule="auto"/>
        <w:ind w:firstLine="420"/>
        <w:rPr>
          <w:rFonts w:ascii="仿宋" w:eastAsia="仿宋" w:hAnsi="仿宋" w:cs="仿宋"/>
          <w:spacing w:val="-6"/>
          <w:sz w:val="28"/>
          <w:szCs w:val="28"/>
        </w:rPr>
      </w:pPr>
      <w:r w:rsidRPr="008B70C1">
        <w:rPr>
          <w:rFonts w:ascii="仿宋" w:eastAsia="仿宋" w:hAnsi="仿宋" w:cs="仿宋" w:hint="eastAsia"/>
          <w:spacing w:val="-6"/>
          <w:sz w:val="28"/>
          <w:szCs w:val="28"/>
        </w:rPr>
        <w:t>项目</w:t>
      </w:r>
      <w:r w:rsidR="006041B8">
        <w:rPr>
          <w:rFonts w:ascii="仿宋" w:eastAsia="仿宋" w:hAnsi="仿宋" w:cs="仿宋" w:hint="eastAsia"/>
          <w:spacing w:val="-6"/>
          <w:sz w:val="28"/>
          <w:szCs w:val="28"/>
        </w:rPr>
        <w:t>已经具备现成的场地设施、运营主体和一定的经验业绩，判断主要因运营管理不善和过货量少等原因造成</w:t>
      </w:r>
      <w:r w:rsidRPr="008B70C1">
        <w:rPr>
          <w:rFonts w:ascii="仿宋" w:eastAsia="仿宋" w:hAnsi="仿宋" w:cs="仿宋" w:hint="eastAsia"/>
          <w:spacing w:val="-6"/>
          <w:sz w:val="28"/>
          <w:szCs w:val="28"/>
        </w:rPr>
        <w:t>。</w:t>
      </w:r>
      <w:r w:rsidR="006041B8">
        <w:rPr>
          <w:rFonts w:ascii="仿宋" w:eastAsia="仿宋" w:hAnsi="仿宋" w:cs="仿宋" w:hint="eastAsia"/>
          <w:spacing w:val="-6"/>
          <w:sz w:val="28"/>
          <w:szCs w:val="28"/>
        </w:rPr>
        <w:t>因此，借助阿拉山口边民互市成功经验可以较快的盘活该口岸的边民互市业务，充分利用现有的资源和条件，</w:t>
      </w:r>
      <w:r w:rsidRPr="008B70C1">
        <w:rPr>
          <w:rFonts w:ascii="仿宋" w:eastAsia="仿宋" w:hAnsi="仿宋" w:cs="仿宋" w:hint="eastAsia"/>
          <w:spacing w:val="-6"/>
          <w:sz w:val="28"/>
          <w:szCs w:val="28"/>
        </w:rPr>
        <w:t>突出口岸区位优势，使生产向流通拓展，流通向生产延伸。边民互市贸易对推动地方经济发展、增加就业、涵养税源、精准扶贫、稳边兴边具有重要意义。项目地缘条件优越、高效连接中哈公路、铁路口岸</w:t>
      </w:r>
      <w:r w:rsidRPr="008B70C1">
        <w:rPr>
          <w:rFonts w:ascii="仿宋" w:eastAsia="仿宋" w:hAnsi="仿宋" w:cs="仿宋"/>
          <w:spacing w:val="-6"/>
          <w:sz w:val="28"/>
          <w:szCs w:val="28"/>
        </w:rPr>
        <w:t>-边民互市贸易区-综合保税区企业贸易，投资规模适中、服务配套、管理规范的建设方式，将促进当地经济的快速发展。</w:t>
      </w:r>
    </w:p>
    <w:p w14:paraId="3CE9F8DC" w14:textId="62908254" w:rsidR="00297C08" w:rsidRPr="008B70C1" w:rsidRDefault="00DC6CB7" w:rsidP="008B70C1">
      <w:pPr>
        <w:spacing w:line="360" w:lineRule="auto"/>
        <w:ind w:firstLine="420"/>
        <w:rPr>
          <w:rFonts w:ascii="仿宋" w:eastAsia="仿宋" w:hAnsi="仿宋" w:cs="仿宋"/>
          <w:spacing w:val="-6"/>
          <w:sz w:val="28"/>
          <w:szCs w:val="28"/>
        </w:rPr>
      </w:pPr>
      <w:r w:rsidRPr="008B70C1">
        <w:rPr>
          <w:rFonts w:ascii="仿宋" w:eastAsia="仿宋" w:hAnsi="仿宋" w:cs="仿宋" w:hint="eastAsia"/>
          <w:spacing w:val="-6"/>
          <w:sz w:val="28"/>
          <w:szCs w:val="28"/>
        </w:rPr>
        <w:lastRenderedPageBreak/>
        <w:t>该项目公司前期投入较小，且</w:t>
      </w:r>
      <w:r w:rsidR="006041B8">
        <w:rPr>
          <w:rFonts w:ascii="仿宋" w:eastAsia="仿宋" w:hAnsi="仿宋" w:cs="仿宋" w:hint="eastAsia"/>
          <w:spacing w:val="-6"/>
          <w:sz w:val="28"/>
          <w:szCs w:val="28"/>
        </w:rPr>
        <w:t>阿拉山口已积累了</w:t>
      </w:r>
      <w:r w:rsidRPr="008B70C1">
        <w:rPr>
          <w:rFonts w:ascii="仿宋" w:eastAsia="仿宋" w:hAnsi="仿宋" w:cs="仿宋" w:hint="eastAsia"/>
          <w:spacing w:val="-6"/>
          <w:sz w:val="28"/>
          <w:szCs w:val="28"/>
        </w:rPr>
        <w:t>较为成熟</w:t>
      </w:r>
      <w:r w:rsidR="006041B8">
        <w:rPr>
          <w:rFonts w:ascii="仿宋" w:eastAsia="仿宋" w:hAnsi="仿宋" w:cs="仿宋" w:hint="eastAsia"/>
          <w:spacing w:val="-6"/>
          <w:sz w:val="28"/>
          <w:szCs w:val="28"/>
        </w:rPr>
        <w:t>的运营经验</w:t>
      </w:r>
      <w:r w:rsidRPr="008B70C1">
        <w:rPr>
          <w:rFonts w:ascii="仿宋" w:eastAsia="仿宋" w:hAnsi="仿宋" w:cs="仿宋" w:hint="eastAsia"/>
          <w:spacing w:val="-6"/>
          <w:sz w:val="28"/>
          <w:szCs w:val="28"/>
        </w:rPr>
        <w:t>，模式具体，收益模式明确</w:t>
      </w:r>
      <w:r w:rsidR="006041B8">
        <w:rPr>
          <w:rFonts w:ascii="仿宋" w:eastAsia="仿宋" w:hAnsi="仿宋" w:cs="仿宋" w:hint="eastAsia"/>
          <w:spacing w:val="-6"/>
          <w:sz w:val="28"/>
          <w:szCs w:val="28"/>
        </w:rPr>
        <w:t>。摘牌条件我公司较为符合，有较大可能性获取摘牌资格。</w:t>
      </w:r>
      <w:r w:rsidRPr="008B70C1">
        <w:rPr>
          <w:rFonts w:ascii="仿宋" w:eastAsia="仿宋" w:hAnsi="仿宋" w:cs="仿宋" w:hint="eastAsia"/>
          <w:spacing w:val="-6"/>
          <w:sz w:val="28"/>
          <w:szCs w:val="28"/>
        </w:rPr>
        <w:t>总体来看风险可控，市场预期较好。</w:t>
      </w:r>
    </w:p>
    <w:p w14:paraId="76FCF17A" w14:textId="77777777" w:rsidR="00297C08" w:rsidRPr="008B70C1" w:rsidRDefault="00DC6CB7" w:rsidP="008B70C1">
      <w:pPr>
        <w:spacing w:line="360" w:lineRule="auto"/>
        <w:ind w:firstLine="420"/>
        <w:rPr>
          <w:rFonts w:ascii="仿宋" w:eastAsia="仿宋" w:hAnsi="仿宋" w:cs="仿宋"/>
          <w:spacing w:val="-6"/>
          <w:sz w:val="28"/>
          <w:szCs w:val="28"/>
        </w:rPr>
      </w:pPr>
      <w:r w:rsidRPr="008B70C1">
        <w:rPr>
          <w:rFonts w:ascii="仿宋" w:eastAsia="仿宋" w:hAnsi="仿宋" w:cs="仿宋" w:hint="eastAsia"/>
          <w:spacing w:val="-6"/>
          <w:sz w:val="28"/>
          <w:szCs w:val="28"/>
        </w:rPr>
        <w:t>综上所述，该项目公司财务可行、风险可控，应当尽快推进设立。</w:t>
      </w:r>
    </w:p>
    <w:sectPr w:rsidR="00297C08" w:rsidRPr="008B70C1">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0B42B" w14:textId="77777777" w:rsidR="000C7B4E" w:rsidRDefault="000C7B4E">
      <w:r>
        <w:separator/>
      </w:r>
    </w:p>
  </w:endnote>
  <w:endnote w:type="continuationSeparator" w:id="0">
    <w:p w14:paraId="4453D77A" w14:textId="77777777" w:rsidR="000C7B4E" w:rsidRDefault="000C7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B76326" w14:textId="745FB950" w:rsidR="00297C08" w:rsidRDefault="00DC6CB7">
    <w:pPr>
      <w:pStyle w:val="a5"/>
      <w:jc w:val="center"/>
    </w:pPr>
    <w:r>
      <w:rPr>
        <w:lang w:val="zh-CN"/>
      </w:rPr>
      <w:t xml:space="preserve"> </w:t>
    </w:r>
    <w:r>
      <w:rPr>
        <w:b/>
      </w:rPr>
      <w:fldChar w:fldCharType="begin"/>
    </w:r>
    <w:r>
      <w:rPr>
        <w:rFonts w:hint="eastAsia"/>
      </w:rPr>
      <w:instrText>PAGE  \* MERGEFORMAT</w:instrText>
    </w:r>
    <w:r>
      <w:fldChar w:fldCharType="separate"/>
    </w:r>
    <w:r w:rsidR="00C710C7" w:rsidRPr="00C710C7">
      <w:rPr>
        <w:b/>
        <w:noProof/>
      </w:rPr>
      <w:t>9</w:t>
    </w:r>
    <w:r>
      <w:rPr>
        <w:b/>
        <w:sz w:val="24"/>
        <w:szCs w:val="24"/>
      </w:rPr>
      <w:fldChar w:fldCharType="end"/>
    </w:r>
    <w:r>
      <w:rPr>
        <w:lang w:val="zh-CN"/>
      </w:rPr>
      <w:t xml:space="preserve"> / </w:t>
    </w:r>
    <w:r w:rsidR="000C7B4E">
      <w:fldChar w:fldCharType="begin"/>
    </w:r>
    <w:r w:rsidR="000C7B4E">
      <w:instrText>NUMPAGES  \* MERGEFORMAT</w:instrText>
    </w:r>
    <w:r w:rsidR="000C7B4E">
      <w:fldChar w:fldCharType="separate"/>
    </w:r>
    <w:r w:rsidR="00C710C7" w:rsidRPr="00C710C7">
      <w:rPr>
        <w:b/>
        <w:noProof/>
      </w:rPr>
      <w:t>15</w:t>
    </w:r>
    <w:r w:rsidR="000C7B4E">
      <w:rPr>
        <w:b/>
        <w:noProof/>
      </w:rPr>
      <w:fldChar w:fldCharType="end"/>
    </w:r>
  </w:p>
  <w:p w14:paraId="5A636B6A" w14:textId="77777777" w:rsidR="00297C08" w:rsidRDefault="00297C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0FDDD5" w14:textId="77777777" w:rsidR="000C7B4E" w:rsidRDefault="000C7B4E">
      <w:r>
        <w:separator/>
      </w:r>
    </w:p>
  </w:footnote>
  <w:footnote w:type="continuationSeparator" w:id="0">
    <w:p w14:paraId="76655553" w14:textId="77777777" w:rsidR="000C7B4E" w:rsidRDefault="000C7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000009"/>
    <w:multiLevelType w:val="multilevel"/>
    <w:tmpl w:val="2F000009"/>
    <w:lvl w:ilvl="0">
      <w:start w:val="1"/>
      <w:numFmt w:val="bullet"/>
      <w:lvlText w:val="o"/>
      <w:lvlJc w:val="left"/>
      <w:pPr>
        <w:ind w:left="845" w:hanging="420"/>
      </w:pPr>
      <w:rPr>
        <w:rFonts w:ascii="Wingdings" w:hAnsi="Wingdings" w:hint="default"/>
      </w:rPr>
    </w:lvl>
    <w:lvl w:ilvl="1">
      <w:start w:val="1"/>
      <w:numFmt w:val="bullet"/>
      <w:lvlText w:val="n"/>
      <w:lvlJc w:val="left"/>
      <w:pPr>
        <w:ind w:left="1265" w:hanging="420"/>
      </w:pPr>
      <w:rPr>
        <w:rFonts w:ascii="Wingdings" w:hAnsi="Wingdings" w:hint="default"/>
      </w:rPr>
    </w:lvl>
    <w:lvl w:ilvl="2">
      <w:start w:val="1"/>
      <w:numFmt w:val="bullet"/>
      <w:lvlText w:val="u"/>
      <w:lvlJc w:val="left"/>
      <w:pPr>
        <w:ind w:left="1685" w:hanging="420"/>
      </w:pPr>
      <w:rPr>
        <w:rFonts w:ascii="Wingdings" w:hAnsi="Wingdings" w:hint="default"/>
      </w:rPr>
    </w:lvl>
    <w:lvl w:ilvl="3">
      <w:start w:val="1"/>
      <w:numFmt w:val="bullet"/>
      <w:lvlText w:val="l"/>
      <w:lvlJc w:val="left"/>
      <w:pPr>
        <w:ind w:left="2105" w:hanging="420"/>
      </w:pPr>
      <w:rPr>
        <w:rFonts w:ascii="Wingdings" w:hAnsi="Wingdings" w:hint="default"/>
      </w:rPr>
    </w:lvl>
    <w:lvl w:ilvl="4">
      <w:start w:val="1"/>
      <w:numFmt w:val="bullet"/>
      <w:lvlText w:val="n"/>
      <w:lvlJc w:val="left"/>
      <w:pPr>
        <w:ind w:left="2525" w:hanging="420"/>
      </w:pPr>
      <w:rPr>
        <w:rFonts w:ascii="Wingdings" w:hAnsi="Wingdings" w:hint="default"/>
      </w:rPr>
    </w:lvl>
    <w:lvl w:ilvl="5">
      <w:start w:val="1"/>
      <w:numFmt w:val="bullet"/>
      <w:lvlText w:val="u"/>
      <w:lvlJc w:val="left"/>
      <w:pPr>
        <w:ind w:left="2945" w:hanging="420"/>
      </w:pPr>
      <w:rPr>
        <w:rFonts w:ascii="Wingdings" w:hAnsi="Wingdings" w:hint="default"/>
      </w:rPr>
    </w:lvl>
    <w:lvl w:ilvl="6">
      <w:start w:val="1"/>
      <w:numFmt w:val="bullet"/>
      <w:lvlText w:val="l"/>
      <w:lvlJc w:val="left"/>
      <w:pPr>
        <w:ind w:left="3365" w:hanging="420"/>
      </w:pPr>
      <w:rPr>
        <w:rFonts w:ascii="Wingdings" w:hAnsi="Wingdings" w:hint="default"/>
      </w:rPr>
    </w:lvl>
    <w:lvl w:ilvl="7">
      <w:start w:val="1"/>
      <w:numFmt w:val="bullet"/>
      <w:lvlText w:val="n"/>
      <w:lvlJc w:val="left"/>
      <w:pPr>
        <w:ind w:left="3785" w:hanging="420"/>
      </w:pPr>
      <w:rPr>
        <w:rFonts w:ascii="Wingdings" w:hAnsi="Wingdings" w:hint="default"/>
      </w:rPr>
    </w:lvl>
    <w:lvl w:ilvl="8">
      <w:start w:val="1"/>
      <w:numFmt w:val="bullet"/>
      <w:lvlText w:val="u"/>
      <w:lvlJc w:val="left"/>
      <w:pPr>
        <w:ind w:left="4205"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balanceSingleByteDoubleByteWidth/>
    <w:ulTrailSpace/>
    <w:adjustLineHeightInTable/>
    <w:useFELayout/>
    <w:compatSetting w:name="compatibilityMode" w:uri="http://schemas.microsoft.com/office/word" w:val="14"/>
  </w:compat>
  <w:rsids>
    <w:rsidRoot w:val="008E5E2E"/>
    <w:rsid w:val="00044A85"/>
    <w:rsid w:val="00057254"/>
    <w:rsid w:val="000834E9"/>
    <w:rsid w:val="000A3E70"/>
    <w:rsid w:val="000C7B4E"/>
    <w:rsid w:val="000F1499"/>
    <w:rsid w:val="00136885"/>
    <w:rsid w:val="00197394"/>
    <w:rsid w:val="001E2E3E"/>
    <w:rsid w:val="002006A3"/>
    <w:rsid w:val="00261517"/>
    <w:rsid w:val="00264983"/>
    <w:rsid w:val="0027563D"/>
    <w:rsid w:val="00297C08"/>
    <w:rsid w:val="002A252B"/>
    <w:rsid w:val="002A352B"/>
    <w:rsid w:val="002A40D3"/>
    <w:rsid w:val="00324D72"/>
    <w:rsid w:val="00324EE6"/>
    <w:rsid w:val="003954E2"/>
    <w:rsid w:val="003C70B1"/>
    <w:rsid w:val="003D555D"/>
    <w:rsid w:val="003F48FB"/>
    <w:rsid w:val="0043433F"/>
    <w:rsid w:val="00455098"/>
    <w:rsid w:val="00464800"/>
    <w:rsid w:val="00513163"/>
    <w:rsid w:val="005207E5"/>
    <w:rsid w:val="00526B08"/>
    <w:rsid w:val="0055652B"/>
    <w:rsid w:val="00577103"/>
    <w:rsid w:val="005913F8"/>
    <w:rsid w:val="00594BD5"/>
    <w:rsid w:val="005C6B0C"/>
    <w:rsid w:val="006041B8"/>
    <w:rsid w:val="00610F8F"/>
    <w:rsid w:val="00663E4E"/>
    <w:rsid w:val="00697B95"/>
    <w:rsid w:val="006D0730"/>
    <w:rsid w:val="006F446A"/>
    <w:rsid w:val="007718BD"/>
    <w:rsid w:val="0079649B"/>
    <w:rsid w:val="007E0F9B"/>
    <w:rsid w:val="008072E0"/>
    <w:rsid w:val="00810C88"/>
    <w:rsid w:val="008147DA"/>
    <w:rsid w:val="00850530"/>
    <w:rsid w:val="00861BA1"/>
    <w:rsid w:val="00887462"/>
    <w:rsid w:val="008B70C1"/>
    <w:rsid w:val="008E5E2E"/>
    <w:rsid w:val="0091099D"/>
    <w:rsid w:val="00910DC3"/>
    <w:rsid w:val="009F6473"/>
    <w:rsid w:val="00A1110F"/>
    <w:rsid w:val="00A11AD3"/>
    <w:rsid w:val="00A23E83"/>
    <w:rsid w:val="00A42000"/>
    <w:rsid w:val="00A6764C"/>
    <w:rsid w:val="00A743AD"/>
    <w:rsid w:val="00A745EB"/>
    <w:rsid w:val="00A75AAD"/>
    <w:rsid w:val="00B33C45"/>
    <w:rsid w:val="00C17794"/>
    <w:rsid w:val="00C2190E"/>
    <w:rsid w:val="00C41293"/>
    <w:rsid w:val="00C710C7"/>
    <w:rsid w:val="00C86FCF"/>
    <w:rsid w:val="00C904B2"/>
    <w:rsid w:val="00CE7DE7"/>
    <w:rsid w:val="00D168C0"/>
    <w:rsid w:val="00D2556F"/>
    <w:rsid w:val="00D42283"/>
    <w:rsid w:val="00D508E0"/>
    <w:rsid w:val="00D91C71"/>
    <w:rsid w:val="00DC6CB7"/>
    <w:rsid w:val="00DD1843"/>
    <w:rsid w:val="00DE57D9"/>
    <w:rsid w:val="00E014A5"/>
    <w:rsid w:val="00E30FEE"/>
    <w:rsid w:val="00E333EF"/>
    <w:rsid w:val="00E957C2"/>
    <w:rsid w:val="00ED3625"/>
    <w:rsid w:val="00EF6AEE"/>
    <w:rsid w:val="00F07348"/>
    <w:rsid w:val="00FA3DFB"/>
    <w:rsid w:val="00FB75AA"/>
    <w:rsid w:val="00FC4861"/>
    <w:rsid w:val="00FE2947"/>
    <w:rsid w:val="14A63BF7"/>
  </w:rsids>
  <m:mathPr>
    <m:mathFont m:val="Cambria Math"/>
    <m:brkBin m:val="before"/>
    <m:brkBinSub m:val="--"/>
    <m:smallFrac/>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D7D8E2B"/>
  <w15:docId w15:val="{62B90BA5-E48B-49F1-A21B-DDFED2FC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1" w:qFormat="1"/>
    <w:lsdException w:name="heading 1" w:uiPriority="7" w:qFormat="1"/>
    <w:lsdException w:name="heading 2" w:semiHidden="1" w:uiPriority="8" w:unhideWhenUsed="1" w:qFormat="1"/>
    <w:lsdException w:name="heading 3" w:semiHidden="1" w:uiPriority="9" w:unhideWhenUsed="1" w:qFormat="1"/>
    <w:lsdException w:name="heading 4" w:uiPriority="1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8" w:qFormat="1"/>
    <w:lsdException w:name="toc 2" w:uiPriority="2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1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6"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jc w:val="both"/>
    </w:pPr>
    <w:rPr>
      <w:sz w:val="21"/>
      <w:szCs w:val="21"/>
    </w:rPr>
  </w:style>
  <w:style w:type="paragraph" w:styleId="1">
    <w:name w:val="heading 1"/>
    <w:basedOn w:val="a"/>
    <w:next w:val="a"/>
    <w:link w:val="10"/>
    <w:uiPriority w:val="7"/>
    <w:qFormat/>
    <w:pPr>
      <w:spacing w:before="340" w:after="330" w:line="578" w:lineRule="auto"/>
      <w:outlineLvl w:val="0"/>
    </w:pPr>
    <w:rPr>
      <w:b/>
      <w:sz w:val="44"/>
      <w:szCs w:val="44"/>
    </w:rPr>
  </w:style>
  <w:style w:type="paragraph" w:styleId="2">
    <w:name w:val="heading 2"/>
    <w:basedOn w:val="a"/>
    <w:next w:val="a"/>
    <w:link w:val="20"/>
    <w:uiPriority w:val="8"/>
    <w:semiHidden/>
    <w:unhideWhenUsed/>
    <w:qFormat/>
    <w:pPr>
      <w:spacing w:before="260" w:after="260" w:line="415" w:lineRule="auto"/>
      <w:outlineLvl w:val="1"/>
    </w:pPr>
    <w:rPr>
      <w:rFonts w:asciiTheme="majorHAnsi" w:eastAsiaTheme="majorEastAsia" w:hAnsiTheme="majorHAnsi"/>
      <w:b/>
      <w:sz w:val="32"/>
      <w:szCs w:val="32"/>
    </w:rPr>
  </w:style>
  <w:style w:type="paragraph" w:styleId="4">
    <w:name w:val="heading 4"/>
    <w:basedOn w:val="a"/>
    <w:next w:val="a"/>
    <w:link w:val="40"/>
    <w:uiPriority w:val="10"/>
    <w:qFormat/>
    <w:pPr>
      <w:autoSpaceDE w:val="0"/>
      <w:autoSpaceDN w:val="0"/>
      <w:spacing w:line="360" w:lineRule="auto"/>
      <w:ind w:left="-367"/>
      <w:outlineLvl w:val="3"/>
    </w:pPr>
    <w:rPr>
      <w:rFonts w:ascii="宋体" w:eastAsia="宋体" w:hAnsi="Calibri" w:cs="Times New Roman"/>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semiHidden/>
    <w:unhideWhenUsed/>
    <w:qFormat/>
    <w:rPr>
      <w:sz w:val="18"/>
      <w:szCs w:val="18"/>
    </w:rPr>
  </w:style>
  <w:style w:type="paragraph" w:styleId="a5">
    <w:name w:val="footer"/>
    <w:basedOn w:val="a"/>
    <w:link w:val="a6"/>
    <w:unhideWhenUsed/>
    <w:pPr>
      <w:tabs>
        <w:tab w:val="center" w:pos="4153"/>
        <w:tab w:val="right" w:pos="8306"/>
      </w:tabs>
      <w:snapToGrid w:val="0"/>
      <w:jc w:val="left"/>
    </w:pPr>
    <w:rPr>
      <w:sz w:val="18"/>
      <w:szCs w:val="18"/>
    </w:rPr>
  </w:style>
  <w:style w:type="paragraph" w:styleId="a7">
    <w:name w:val="header"/>
    <w:basedOn w:val="a"/>
    <w:link w:val="a8"/>
    <w:unhideWhenUsed/>
    <w:pPr>
      <w:pBdr>
        <w:bottom w:val="single" w:sz="6" w:space="1" w:color="000000"/>
      </w:pBdr>
      <w:tabs>
        <w:tab w:val="center" w:pos="4153"/>
        <w:tab w:val="right" w:pos="8306"/>
      </w:tabs>
      <w:snapToGrid w:val="0"/>
      <w:jc w:val="center"/>
    </w:pPr>
    <w:rPr>
      <w:sz w:val="18"/>
      <w:szCs w:val="18"/>
    </w:rPr>
  </w:style>
  <w:style w:type="paragraph" w:styleId="11">
    <w:name w:val="toc 1"/>
    <w:basedOn w:val="a"/>
    <w:next w:val="a"/>
    <w:uiPriority w:val="28"/>
    <w:qFormat/>
    <w:pPr>
      <w:tabs>
        <w:tab w:val="right" w:leader="dot" w:pos="8778"/>
      </w:tabs>
    </w:pPr>
    <w:rPr>
      <w:rFonts w:ascii="黑体" w:eastAsia="黑体" w:hAnsi="宋体" w:cs="Times New Roman"/>
      <w:sz w:val="30"/>
      <w:szCs w:val="30"/>
    </w:rPr>
  </w:style>
  <w:style w:type="paragraph" w:styleId="21">
    <w:name w:val="toc 2"/>
    <w:basedOn w:val="a"/>
    <w:next w:val="a"/>
    <w:uiPriority w:val="29"/>
    <w:qFormat/>
    <w:pPr>
      <w:tabs>
        <w:tab w:val="right" w:leader="dot" w:pos="8778"/>
      </w:tabs>
      <w:ind w:leftChars="420" w:left="420"/>
    </w:pPr>
    <w:rPr>
      <w:rFonts w:ascii="仿宋_GB2312" w:eastAsia="仿宋_GB2312" w:hAnsi="宋体" w:cs="Times New Roman"/>
      <w:sz w:val="24"/>
      <w:szCs w:val="24"/>
    </w:rPr>
  </w:style>
  <w:style w:type="character" w:styleId="a9">
    <w:name w:val="Emphasis"/>
    <w:basedOn w:val="a0"/>
    <w:uiPriority w:val="18"/>
    <w:qFormat/>
    <w:rPr>
      <w:i/>
    </w:rPr>
  </w:style>
  <w:style w:type="character" w:styleId="aa">
    <w:name w:val="Hyperlink"/>
    <w:qFormat/>
    <w:rPr>
      <w:rFonts w:cs="Times New Roman"/>
      <w:color w:val="0000FF"/>
      <w:u w:val="single"/>
    </w:rPr>
  </w:style>
  <w:style w:type="paragraph" w:styleId="ab">
    <w:name w:val="List Paragraph"/>
    <w:basedOn w:val="a"/>
    <w:uiPriority w:val="26"/>
    <w:qFormat/>
    <w:pPr>
      <w:ind w:firstLine="420"/>
    </w:pPr>
  </w:style>
  <w:style w:type="character" w:customStyle="1" w:styleId="a8">
    <w:name w:val="页眉 字符"/>
    <w:basedOn w:val="a0"/>
    <w:link w:val="a7"/>
    <w:qFormat/>
    <w:rPr>
      <w:sz w:val="18"/>
      <w:szCs w:val="18"/>
    </w:rPr>
  </w:style>
  <w:style w:type="character" w:customStyle="1" w:styleId="a6">
    <w:name w:val="页脚 字符"/>
    <w:basedOn w:val="a0"/>
    <w:link w:val="a5"/>
    <w:qFormat/>
    <w:rPr>
      <w:sz w:val="18"/>
      <w:szCs w:val="18"/>
    </w:rPr>
  </w:style>
  <w:style w:type="character" w:customStyle="1" w:styleId="a4">
    <w:name w:val="批注框文本 字符"/>
    <w:basedOn w:val="a0"/>
    <w:link w:val="a3"/>
    <w:semiHidden/>
    <w:qFormat/>
    <w:rPr>
      <w:sz w:val="18"/>
      <w:szCs w:val="18"/>
    </w:rPr>
  </w:style>
  <w:style w:type="character" w:customStyle="1" w:styleId="40">
    <w:name w:val="标题 4 字符"/>
    <w:basedOn w:val="a0"/>
    <w:link w:val="4"/>
    <w:qFormat/>
    <w:rPr>
      <w:rFonts w:ascii="宋体" w:eastAsia="宋体" w:hAnsi="Calibri" w:cs="Times New Roman"/>
      <w:b/>
      <w:sz w:val="28"/>
      <w:szCs w:val="28"/>
    </w:rPr>
  </w:style>
  <w:style w:type="paragraph" w:customStyle="1" w:styleId="TOC1">
    <w:name w:val="TOC 标题1"/>
    <w:basedOn w:val="1"/>
    <w:next w:val="a"/>
    <w:qFormat/>
    <w:pPr>
      <w:spacing w:before="480" w:after="0" w:line="276" w:lineRule="auto"/>
      <w:jc w:val="left"/>
      <w:outlineLvl w:val="9"/>
    </w:pPr>
    <w:rPr>
      <w:rFonts w:ascii="Cambria" w:eastAsia="宋体" w:hAnsi="Cambria" w:cs="Times New Roman"/>
      <w:color w:val="365F91"/>
      <w:sz w:val="28"/>
      <w:szCs w:val="28"/>
    </w:rPr>
  </w:style>
  <w:style w:type="character" w:customStyle="1" w:styleId="10">
    <w:name w:val="标题 1 字符"/>
    <w:basedOn w:val="a0"/>
    <w:link w:val="1"/>
    <w:qFormat/>
    <w:rPr>
      <w:b/>
      <w:sz w:val="44"/>
      <w:szCs w:val="44"/>
    </w:rPr>
  </w:style>
  <w:style w:type="character" w:customStyle="1" w:styleId="20">
    <w:name w:val="标题 2 字符"/>
    <w:basedOn w:val="a0"/>
    <w:link w:val="2"/>
    <w:semiHidden/>
    <w:qFormat/>
    <w:rPr>
      <w:rFonts w:asciiTheme="majorHAnsi" w:eastAsiaTheme="majorEastAsia" w:hAnsiTheme="majorHAnsi" w:cstheme="minorBidi"/>
      <w:b/>
      <w:sz w:val="32"/>
      <w:szCs w:val="32"/>
    </w:rPr>
  </w:style>
  <w:style w:type="paragraph" w:customStyle="1" w:styleId="12">
    <w:name w:val="列出段落1"/>
    <w:basedOn w:val="a"/>
    <w:unhideWhenUsed/>
    <w:qFormat/>
    <w:pPr>
      <w:ind w:firstLine="420"/>
    </w:pPr>
    <w:rPr>
      <w:rFonts w:ascii="Calibri" w:eastAsia="宋体" w:hAnsi="Calibri" w:cs="Times New Roman"/>
    </w:rPr>
  </w:style>
  <w:style w:type="paragraph" w:customStyle="1" w:styleId="3">
    <w:name w:val="3级编号"/>
    <w:basedOn w:val="a"/>
    <w:qFormat/>
    <w:pPr>
      <w:tabs>
        <w:tab w:val="left" w:pos="1134"/>
        <w:tab w:val="left" w:pos="1418"/>
      </w:tabs>
      <w:spacing w:before="120" w:after="120" w:line="300" w:lineRule="auto"/>
      <w:ind w:left="1260" w:hanging="420"/>
    </w:pPr>
    <w:rPr>
      <w:rFonts w:ascii="Times New Roman" w:eastAsia="仿宋_GB2312" w:hAnsi="Times New Roman" w:cs="Times New Roman"/>
      <w:sz w:val="20"/>
      <w:szCs w:val="20"/>
      <w:lang w:val="zh-CN"/>
    </w:rPr>
  </w:style>
  <w:style w:type="paragraph" w:styleId="ac">
    <w:name w:val="Date"/>
    <w:basedOn w:val="a"/>
    <w:next w:val="a"/>
    <w:link w:val="ad"/>
    <w:uiPriority w:val="99"/>
    <w:semiHidden/>
    <w:unhideWhenUsed/>
    <w:rsid w:val="00D91C71"/>
    <w:pPr>
      <w:ind w:leftChars="2500" w:left="100"/>
    </w:pPr>
  </w:style>
  <w:style w:type="character" w:customStyle="1" w:styleId="ad">
    <w:name w:val="日期 字符"/>
    <w:basedOn w:val="a0"/>
    <w:link w:val="ac"/>
    <w:uiPriority w:val="99"/>
    <w:semiHidden/>
    <w:rsid w:val="00D91C7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557304">
      <w:bodyDiv w:val="1"/>
      <w:marLeft w:val="0"/>
      <w:marRight w:val="0"/>
      <w:marTop w:val="0"/>
      <w:marBottom w:val="0"/>
      <w:divBdr>
        <w:top w:val="none" w:sz="0" w:space="0" w:color="auto"/>
        <w:left w:val="none" w:sz="0" w:space="0" w:color="auto"/>
        <w:bottom w:val="none" w:sz="0" w:space="0" w:color="auto"/>
        <w:right w:val="none" w:sz="0" w:space="0" w:color="auto"/>
      </w:divBdr>
    </w:div>
    <w:div w:id="1624459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15</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愉彬 张</dc:creator>
  <cp:lastModifiedBy>杨文潇</cp:lastModifiedBy>
  <cp:revision>19</cp:revision>
  <cp:lastPrinted>2025-12-20T14:08:00Z</cp:lastPrinted>
  <dcterms:created xsi:type="dcterms:W3CDTF">2025-12-16T07:23:00Z</dcterms:created>
  <dcterms:modified xsi:type="dcterms:W3CDTF">2025-12-25T10:04:00Z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