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b/>
          <w:color w:val="112244"/>
          <w:sz w:val="36"/>
        </w:rPr>
        <w:t>What Kind of Data Would You Like to Have to Test Each Paradigm?</w:t>
      </w:r>
    </w:p>
    <w:p>
      <w:pPr>
        <w:spacing w:before="200" w:after="60"/>
      </w:pPr>
      <w:r>
        <w:rPr>
          <w:b/>
          <w:color w:val="2F5597"/>
          <w:sz w:val="24"/>
        </w:rPr>
        <w:t>A Methodological One-Pager on Decoupling Educational Stratification Mechanisms in Ukraine</w:t>
      </w:r>
    </w:p>
    <w:p>
      <w:pPr>
        <w:spacing w:before="60" w:after="80"/>
      </w:pPr>
      <w:r>
        <w:rPr>
          <w:b/>
        </w:rPr>
        <w:t>Course:</w:t>
      </w:r>
      <w:r>
        <w:t xml:space="preserve"> Sociology 2026/2027, Kyiv School of Economics (KSE)</w:t>
      </w:r>
    </w:p>
    <w:p>
      <w:pPr>
        <w:spacing w:before="60" w:after="80"/>
      </w:pPr>
      <w:r>
        <w:rPr>
          <w:b/>
        </w:rPr>
        <w:t>Author:</w:t>
      </w:r>
      <w:r>
        <w:t xml:space="preserve"> Sociology Student</w:t>
      </w:r>
    </w:p>
    <w:p>
      <w:pPr>
        <w:spacing w:before="60" w:after="80"/>
      </w:pPr>
      <w:r>
        <w:rPr>
          <w:b/>
        </w:rPr>
        <w:t>Target:</w:t>
      </w:r>
      <w:r>
        <w:t xml:space="preserve"> Project #2 (Task 2: 1-Pager on Data Requirements)</w:t>
      </w:r>
    </w:p>
    <w:p>
      <w:pPr>
        <w:spacing w:before="60" w:after="80"/>
      </w:pPr>
      <w:r>
        <w:rPr>
          <w:b/>
        </w:rPr>
        <w:t>Deliverable Status:</w:t>
      </w:r>
      <w:r>
        <w:t xml:space="preserve"> Final Academic Document (English)</w:t>
      </w:r>
    </w:p>
    <w:p>
      <w:pPr>
        <w:spacing w:before="200" w:after="60"/>
      </w:pPr>
      <w:r>
        <w:rPr>
          <w:b/>
          <w:color w:val="2F5597"/>
          <w:sz w:val="24"/>
        </w:rPr>
        <w:t>The Methodological Dilemma: The Observational Equivalence of Cross-Sectional PISA Data</w:t>
      </w:r>
    </w:p>
    <w:p>
      <w:pPr>
        <w:spacing w:before="60" w:after="80"/>
      </w:pPr>
      <w:r>
        <w:t xml:space="preserve">In standard cross-sectional surveys like PISA or NMT administrative registries, we observe a robust empirical correlation: higher socio-economic status (SES) and metropolitan school location predict superior test scores ($\beta_{SES} &gt; 0$). However, this cross-sectional snapshot suffers from </w:t>
      </w:r>
      <w:r>
        <w:rPr>
          <w:b/>
        </w:rPr>
        <w:t>observational equivalence</w:t>
      </w:r>
      <w:r>
        <w:t>: all three major sociological paradigms (Structural Functionalism, Bourdieusian Cultural Reproduction, and Rational Action Theory) predict this exact same statistical gradient, but attribute it to mutually incompatible causal mechanisms.</w:t>
      </w:r>
    </w:p>
    <w:p>
      <w:pPr>
        <w:spacing w:before="60" w:after="80"/>
      </w:pPr>
      <w:r>
        <w:t>To break this empirical deadlock and test which paradigm truly explains the Ukrainian testing puzzle, sociologists require specialized, multi-level, and longitudinal data architectures that measure the hidden causal gears within families, schools, and markets.</w:t>
      </w:r>
    </w:p>
    <w:p>
      <w:pPr>
        <w:spacing w:before="200" w:after="60"/>
      </w:pPr>
      <w:r>
        <w:rPr>
          <w:b/>
          <w:color w:val="2F5597"/>
          <w:sz w:val="24"/>
        </w:rPr>
        <w:t>1. Data Needed to Test Structural Functionalism (Meritocratic Human Capital)</w:t>
      </w:r>
    </w:p>
    <w:p>
      <w:pPr>
        <w:spacing w:before="60" w:after="80"/>
      </w:pPr>
      <w:r>
        <w:rPr>
          <w:i/>
        </w:rPr>
        <w:t>Core Claim to Verify: Test scores reflect genuine, acquired cognitive competence and individual effort allocated meritocratically to functional roles.</w:t>
      </w:r>
    </w:p>
    <w:p>
      <w:pPr>
        <w:spacing w:before="60" w:after="80"/>
      </w:pPr>
      <w:r>
        <w:t xml:space="preserve">To test this mechanism, we need data that isolates </w:t>
      </w:r>
      <w:r>
        <w:rPr>
          <w:b/>
        </w:rPr>
        <w:t>innate/prior cognitive ability</w:t>
      </w:r>
      <w:r>
        <w:t xml:space="preserve"> and </w:t>
      </w:r>
      <w:r>
        <w:rPr>
          <w:b/>
        </w:rPr>
        <w:t>individual learning investments</w:t>
      </w:r>
      <w:r>
        <w:t xml:space="preserve"> from parental background:</w:t>
      </w:r>
    </w:p>
    <w:p>
      <w:pPr>
        <w:pStyle w:val="ListNumber"/>
        <w:spacing w:before="40" w:after="40"/>
      </w:pPr>
      <w:r>
        <w:rPr>
          <w:b/>
        </w:rPr>
        <w:t>Pre-School Cognitive Baseline Measures:</w:t>
      </w:r>
      <w:r>
        <w:t xml:space="preserve"> Standardized early-childhood cognitive assessments (administered at ages 3-5, prior to extensive formal socialization) to control for baseline intelligence and track value-added learning.</w:t>
      </w:r>
    </w:p>
    <w:p>
      <w:pPr>
        <w:pStyle w:val="ListNumber"/>
        <w:spacing w:before="40" w:after="40"/>
      </w:pPr>
      <w:r>
        <w:rPr>
          <w:b/>
        </w:rPr>
        <w:t>High-Resolution Time-Use Diaries:</w:t>
      </w:r>
      <w:r>
        <w:t xml:space="preserve"> Detailed daily logging of actual academic study hours, focused homework time, and self-directed problem solving versus leisure, capturing individual effort and perseverance.</w:t>
      </w:r>
    </w:p>
    <w:p>
      <w:pPr>
        <w:pStyle w:val="ListNumber"/>
        <w:spacing w:before="40" w:after="40"/>
      </w:pPr>
      <w:r>
        <w:rPr>
          <w:b/>
        </w:rPr>
        <w:t>Objective School Input Indicators:</w:t>
      </w:r>
      <w:r>
        <w:t xml:space="preserve"> Micro-data on teacher pedagogical qualifications, per-pupil lab equipment, and curriculum fidelity, testing whether school-level resource provision directly translates into measurable human capital gains.</w:t>
      </w:r>
    </w:p>
    <w:p>
      <w:pPr>
        <w:pStyle w:val="ListNumber"/>
        <w:spacing w:before="40" w:after="40"/>
      </w:pPr>
      <w:r>
        <w:rPr>
          <w:b/>
        </w:rPr>
        <w:t>Longitudinal Occupational Returns:</w:t>
      </w:r>
      <w:r>
        <w:t xml:space="preserve"> 10-year tracer panel data linking student PISA/NMT scores to subsequent labor market productivity, wage premiums, and job complexity, verifying whether the testing system actually sorts talent efficiently according to societal functional needs.</w:t>
      </w:r>
    </w:p>
    <w:p>
      <w:pPr>
        <w:spacing w:before="200" w:after="60"/>
      </w:pPr>
      <w:r>
        <w:rPr>
          <w:b/>
          <w:color w:val="2F5597"/>
          <w:sz w:val="24"/>
        </w:rPr>
        <w:t>2. Data Needed to Test Bourdieu's Cultural Reproduction (Habitus &amp; Symbolic Violence)</w:t>
      </w:r>
    </w:p>
    <w:p>
      <w:pPr>
        <w:spacing w:before="60" w:after="80"/>
      </w:pPr>
      <w:r>
        <w:rPr>
          <w:i/>
        </w:rPr>
        <w:t>Core Claim to Verify: Standardized tests are culturally biased instruments that misrecognize class-based habitus and linguistic familiarity as natural academic merit.</w:t>
      </w:r>
    </w:p>
    <w:p>
      <w:pPr>
        <w:spacing w:before="60" w:after="80"/>
      </w:pPr>
      <w:r>
        <w:t xml:space="preserve">To test this mechanism, we require qualitative, ethnographic, and psychometric indicators capable of measuring the </w:t>
      </w:r>
      <w:r>
        <w:rPr>
          <w:b/>
        </w:rPr>
        <w:t>arbitrary cultural codes</w:t>
      </w:r>
      <w:r>
        <w:t xml:space="preserve"> of the educational institution:</w:t>
      </w:r>
    </w:p>
    <w:p>
      <w:pPr>
        <w:pStyle w:val="ListNumber"/>
        <w:spacing w:before="40" w:after="40"/>
      </w:pPr>
      <w:r>
        <w:rPr>
          <w:b/>
        </w:rPr>
        <w:t>Classroom Linguistic &amp; Interactional Ethnography:</w:t>
      </w:r>
      <w:r>
        <w:t xml:space="preserve"> Audio/video recordings of classroom discourse and oral examinations, analyzed via computational linguistics to measure whether teachers reward elite linguistic registers, self-assured bodily postures (</w:t>
      </w:r>
      <w:r>
        <w:rPr>
          <w:i/>
        </w:rPr>
        <w:t>habitus</w:t>
      </w:r>
      <w:r>
        <w:t>), and cultural references over raw technical accuracy.</w:t>
      </w:r>
    </w:p>
    <w:p>
      <w:pPr>
        <w:pStyle w:val="ListNumber"/>
        <w:spacing w:before="40" w:after="40"/>
      </w:pPr>
      <w:r>
        <w:rPr>
          <w:b/>
        </w:rPr>
        <w:t>Item-Level Differential Item Functioning (DIF):</w:t>
      </w:r>
      <w:r>
        <w:t xml:space="preserve"> Psychometric Item Response Theory (IRT) analyses of individual PISA / NMT test items to identify DIF: testing whether students from rural backgrounds with the </w:t>
      </w:r>
      <w:r>
        <w:rPr>
          <w:i/>
        </w:rPr>
        <w:t>same latent math ability</w:t>
      </w:r>
      <w:r>
        <w:t xml:space="preserve"> systematically fail text-heavy or culturally contextualized questions compared to urban peers.</w:t>
      </w:r>
    </w:p>
    <w:p>
      <w:pPr>
        <w:pStyle w:val="ListNumber"/>
        <w:spacing w:before="40" w:after="40"/>
      </w:pPr>
      <w:r>
        <w:rPr>
          <w:b/>
        </w:rPr>
        <w:t>Teacher Stereotyping &amp; Double-Blind Experimental Testing:</w:t>
      </w:r>
      <w:r>
        <w:t xml:space="preserve"> Factorial survey experiments (vignette studies) presenting identical student essays to Ukrainian teachers while randomly altering student socio-economic profiles (e.g., child of a village farmer vs. child of a Kyiv lawyer) to quantify implicit bias and labeling effects.</w:t>
      </w:r>
    </w:p>
    <w:p>
      <w:pPr>
        <w:pStyle w:val="ListNumber"/>
        <w:spacing w:before="40" w:after="40"/>
      </w:pPr>
      <w:r>
        <w:rPr>
          <w:b/>
        </w:rPr>
        <w:t>Subjective Feelings of Alienation / Symbolic Violence:</w:t>
      </w:r>
      <w:r>
        <w:t xml:space="preserve"> Survey scales measuring student "sense of academic illegitimacy" (imposter syndrome, feeling that the school language is "alien" or "not for people like me") to test Bourdieu's concept of </w:t>
      </w:r>
      <w:r>
        <w:rPr>
          <w:i/>
        </w:rPr>
        <w:t>méconnaissance</w:t>
      </w:r>
      <w:r>
        <w:t>.</w:t>
      </w:r>
    </w:p>
    <w:p>
      <w:pPr>
        <w:spacing w:before="200" w:after="60"/>
      </w:pPr>
      <w:r>
        <w:rPr>
          <w:b/>
          <w:color w:val="2F5597"/>
          <w:sz w:val="24"/>
        </w:rPr>
        <w:t>3. Data Needed to Test Rational Action Theory (Relative Risk Aversion &amp; Shadow Education)</w:t>
      </w:r>
    </w:p>
    <w:p>
      <w:pPr>
        <w:spacing w:before="60" w:after="80"/>
      </w:pPr>
      <w:r>
        <w:rPr>
          <w:i/>
        </w:rPr>
        <w:t>Core Claim to Verify: Disparities stem from rational, forward-looking household decisions where high-SES families invest heavily in test preparation to prevent downward social mobility.</w:t>
      </w:r>
    </w:p>
    <w:p>
      <w:pPr>
        <w:spacing w:before="60" w:after="80"/>
      </w:pPr>
      <w:r>
        <w:t>To test this mechanism, we require financial micro-data and subjective decision-making metrics modeled after Boudon and Breen-Goldthorpe:</w:t>
      </w:r>
    </w:p>
    <w:p>
      <w:pPr>
        <w:pStyle w:val="ListNumber"/>
        <w:spacing w:before="40" w:after="40"/>
      </w:pPr>
      <w:r>
        <w:rPr>
          <w:b/>
        </w:rPr>
        <w:t>Disaggregated Shadow Education Household Expenditures:</w:t>
      </w:r>
      <w:r>
        <w:t xml:space="preserve"> Exact financial tracking of household spending on private NMT tutors, commercial online prep courses, and admissions consultants (measured as a percentage of total family disposable income).</w:t>
      </w:r>
    </w:p>
    <w:p>
      <w:pPr>
        <w:pStyle w:val="ListNumber"/>
        <w:spacing w:before="40" w:after="40"/>
      </w:pPr>
      <w:r>
        <w:rPr>
          <w:b/>
        </w:rPr>
        <w:t>Subjective Risk and Probability Elicitation:</w:t>
      </w:r>
      <w:r>
        <w:t xml:space="preserve"> Quantitative measurement of subjective probabilities: (a) perceived likelihood of passing the NMT, (b) perceived risk of downward social mobility if the child does not obtain a university degree, and (c) subjective assessment of minimum acceptable social status.</w:t>
      </w:r>
    </w:p>
    <w:p>
      <w:pPr>
        <w:pStyle w:val="ListNumber"/>
        <w:spacing w:before="40" w:after="40"/>
      </w:pPr>
      <w:r>
        <w:rPr>
          <w:b/>
        </w:rPr>
        <w:t>Multi-Stage Branching Point Tracking (Boudon Decomposition):</w:t>
      </w:r>
      <w:r>
        <w:t xml:space="preserve"> Panel data tracking students across the Grade 9 institutional branching point (academic lyceum vs. vocational college), testing whether high-SES students choose academic tracks even when their prior academic performance is mediocre (isolating the secondary effect of stratification).</w:t>
      </w:r>
    </w:p>
    <w:p>
      <w:pPr>
        <w:pStyle w:val="ListNumber"/>
        <w:spacing w:before="40" w:after="40"/>
      </w:pPr>
      <w:r>
        <w:rPr>
          <w:b/>
        </w:rPr>
        <w:t>Direct Cost &amp; Opportunity Cost Metrics:</w:t>
      </w:r>
      <w:r>
        <w:t xml:space="preserve"> Regional data on the financial costs of living away from home (dormitory fees, living expenses in Kyiv/Lviv) versus local vocational earnings, modeling the rational choice boundary for rural families.</w:t>
      </w:r>
    </w:p>
    <w:p>
      <w:pPr>
        <w:spacing w:before="200" w:after="60"/>
      </w:pPr>
      <w:r>
        <w:rPr>
          <w:b/>
          <w:color w:val="2F5597"/>
          <w:sz w:val="24"/>
        </w:rPr>
        <w:t>4. Essential Structural Controls: Ukrainian Wartime Disruption Metrics</w:t>
      </w:r>
    </w:p>
    <w:p>
      <w:pPr>
        <w:spacing w:before="60" w:after="80"/>
      </w:pPr>
      <w:r>
        <w:t>In the context of Ukraine (PISA 2022 and 2025), any valid sociological test must disentangle theoretical mechanisms from the severe structural shocks of war:</w:t>
      </w:r>
    </w:p>
    <w:p>
      <w:pPr>
        <w:pStyle w:val="ListNumber"/>
        <w:spacing w:before="40" w:after="40"/>
      </w:pPr>
      <w:r>
        <w:rPr>
          <w:b/>
        </w:rPr>
        <w:t>Direct Conflict Disruption Metrics:</w:t>
      </w:r>
      <w:r>
        <w:t xml:space="preserve"> Cumulative hours spent in bomb shelters during school hours, frequency and duration of power outages (blackouts), and physical facility damage.</w:t>
      </w:r>
    </w:p>
    <w:p>
      <w:pPr>
        <w:pStyle w:val="ListNumber"/>
        <w:spacing w:before="40" w:after="40"/>
      </w:pPr>
      <w:r>
        <w:rPr>
          <w:b/>
        </w:rPr>
        <w:t>Modality of Instruction:</w:t>
      </w:r>
      <w:r>
        <w:t xml:space="preserve"> Continuous indicators of fully offline, hybrid, versus asynchronous remote learning.</w:t>
      </w:r>
    </w:p>
    <w:p>
      <w:pPr>
        <w:pStyle w:val="ListNumber"/>
        <w:spacing w:before="40" w:after="40"/>
      </w:pPr>
      <w:r>
        <w:rPr>
          <w:b/>
        </w:rPr>
        <w:t>Displacement &amp; Separation Status:</w:t>
      </w:r>
      <w:r>
        <w:t xml:space="preserve"> Disaggregating internally displaced persons (IDP), returnees, and students whose families are separated by active military service.</w:t>
      </w:r>
    </w:p>
    <w:p>
      <w:pPr>
        <w:spacing w:before="200" w:after="60"/>
      </w:pPr>
      <w:r>
        <w:rPr>
          <w:b/>
          <w:color w:val="2F5597"/>
          <w:sz w:val="24"/>
        </w:rPr>
        <w:t>Summary: The Ideal Ukrainian Educational Panel Study (UEPS)</w:t>
      </w:r>
    </w:p>
    <w:p>
      <w:pPr>
        <w:spacing w:before="60" w:after="80"/>
      </w:pPr>
      <w:r>
        <w:t xml:space="preserve">The definitive test of sociological paradigms in Ukraine requires an integrated </w:t>
      </w:r>
      <w:r>
        <w:rPr>
          <w:b/>
        </w:rPr>
        <w:t>Ukrainian Educational Panel Study (UEPS)</w:t>
      </w:r>
      <w:r>
        <w:t xml:space="preserve"> that follows a cohort of students from age 10 to 25. By combining </w:t>
      </w:r>
      <w:r>
        <w:rPr>
          <w:b/>
        </w:rPr>
        <w:t>pre-school cognitive baselines (Functionalism)</w:t>
      </w:r>
      <w:r>
        <w:t xml:space="preserve">, </w:t>
      </w:r>
      <w:r>
        <w:rPr>
          <w:b/>
        </w:rPr>
        <w:t>linguistic ethnography of classroom habitus (Bourdieu)</w:t>
      </w:r>
      <w:r>
        <w:t xml:space="preserve">, and </w:t>
      </w:r>
      <w:r>
        <w:rPr>
          <w:b/>
        </w:rPr>
        <w:t>household shadow-education financial ledgers with subjective risk matrices (Rational Action)</w:t>
      </w:r>
      <w:r>
        <w:t>, Ukrainian sociologists could finally isolate the true mechanisms driving educational inequality and design evidence-based policies for a more equitable post-war educational reconstruction.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