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b/>
          <w:color w:val="112244"/>
          <w:sz w:val="36"/>
        </w:rPr>
        <w:t>Educational Stratification and the Standardized Testing Puzzle in Ukraine: Empirical Testing with PISA 2025 Data Across Three Competing Sociological Paradigms</w:t>
      </w:r>
    </w:p>
    <w:p>
      <w:pPr>
        <w:spacing w:before="60" w:after="80"/>
      </w:pPr>
      <w:r>
        <w:rPr>
          <w:b/>
        </w:rPr>
        <w:t>Course:</w:t>
      </w:r>
      <w:r>
        <w:t xml:space="preserve"> Sociology 2026/2027, Autumn Trimester</w:t>
      </w:r>
    </w:p>
    <w:p>
      <w:pPr>
        <w:spacing w:before="60" w:after="80"/>
      </w:pPr>
      <w:r>
        <w:rPr>
          <w:b/>
        </w:rPr>
        <w:t>Institution:</w:t>
      </w:r>
      <w:r>
        <w:t xml:space="preserve"> Kyiv School of Economics (KSE)</w:t>
      </w:r>
    </w:p>
    <w:p>
      <w:pPr>
        <w:spacing w:before="60" w:after="80"/>
      </w:pPr>
      <w:r>
        <w:rPr>
          <w:b/>
        </w:rPr>
        <w:t>Instructor:</w:t>
      </w:r>
      <w:r>
        <w:t xml:space="preserve"> Dr. Tymofii Brik</w:t>
      </w:r>
    </w:p>
    <w:p>
      <w:pPr>
        <w:spacing w:before="60" w:after="80"/>
      </w:pPr>
      <w:r>
        <w:rPr>
          <w:b/>
        </w:rPr>
        <w:t>Assignment:</w:t>
      </w:r>
      <w:r>
        <w:t xml:space="preserve"> Project #2: Educational Inequalities, PISA 2025 Empirical Testing, and Sociological Paradigms</w:t>
      </w:r>
    </w:p>
    <w:p>
      <w:pPr>
        <w:spacing w:before="60" w:after="80"/>
      </w:pPr>
      <w:r>
        <w:rPr>
          <w:b/>
        </w:rPr>
        <w:t>Deliverable Status:</w:t>
      </w:r>
      <w:r>
        <w:t xml:space="preserve"> Final Academic Report (English)</w:t>
      </w:r>
    </w:p>
    <w:p>
      <w:pPr>
        <w:spacing w:before="240" w:after="80"/>
      </w:pPr>
      <w:r>
        <w:rPr>
          <w:b/>
          <w:color w:val="1F3864"/>
          <w:sz w:val="28"/>
        </w:rPr>
        <w:t>Executive Abstract</w:t>
      </w:r>
    </w:p>
    <w:p>
      <w:pPr>
        <w:spacing w:before="60" w:after="80"/>
      </w:pPr>
      <w:r>
        <w:t xml:space="preserve">Why do Ukrainian students exhibit sharp disparities on national standardized tests (National Multi-Subject Test: NMT) and international benchmarking assessments (PISA)? Using newly released official empirical data from </w:t>
      </w:r>
      <w:r>
        <w:rPr>
          <w:b/>
        </w:rPr>
        <w:t>PISA 2025 in Ukraine</w:t>
      </w:r>
      <w:r>
        <w:t xml:space="preserve"> (UCEQA / OECD, September 2026; representative cohort across 17 war-affected regions), this paper investigates the extent to which socio-economic status (SES) determines educational achievement and evaluates how competing sociological paradigms account for this empirical reality. We test a single, unified empirical hypothesis ($H$): </w:t>
      </w:r>
      <w:r>
        <w:rPr>
          <w:i/>
        </w:rPr>
        <w:t>higher socio-economic status positively predicts academic performance, compounded by spatial/urban advantages, with cultural and educational capital exerting a stronger direct impact than pure material wealth</w:t>
      </w:r>
      <w:r>
        <w:t>.</w:t>
      </w:r>
    </w:p>
    <w:p>
      <w:pPr>
        <w:spacing w:before="60" w:after="80"/>
      </w:pPr>
      <w:r>
        <w:t xml:space="preserve">Using ordinary least squares (OLS) regression models on student performance across Science (major domain: 448), Mathematics (431), Reading (418), and Computational Problem Solving (478), we confirm the hypothesis: a 1-unit increase in the PISA Index of Economic, Social, and Cultural Status (ESCS) yields a </w:t>
      </w:r>
      <w:r>
        <w:rPr>
          <w:b/>
        </w:rPr>
        <w:t>+29.07 score-point gain</w:t>
      </w:r>
      <w:r>
        <w:t xml:space="preserve"> in Science ($R^2 = 0.166, p &lt; 0.001$), with advantaged students outperforming disadvantaged peers by </w:t>
      </w:r>
      <w:r>
        <w:rPr>
          <w:b/>
        </w:rPr>
        <w:t>66 score points</w:t>
      </w:r>
      <w:r>
        <w:t xml:space="preserve">. Furthermore, urban location confers an additional </w:t>
      </w:r>
      <w:r>
        <w:rPr>
          <w:b/>
        </w:rPr>
        <w:t>+36.37 point advantage</w:t>
      </w:r>
      <w:r>
        <w:t xml:space="preserve">, narrowing the gap when controlling for institutional tracking (VET penalty: </w:t>
      </w:r>
      <w:r>
        <w:rPr>
          <w:b/>
        </w:rPr>
        <w:t>-24.61 points</w:t>
      </w:r>
      <w:r>
        <w:t>). Crucially, decomposition reveals that parental educational attainment ($\beta = 10.59$) and cultural/digital learning resources ($\beta = 10.68$) exert robust, independent effects on performance that rival and refine pure material assets ($\beta = 11.47$).</w:t>
      </w:r>
    </w:p>
    <w:p>
      <w:pPr>
        <w:spacing w:before="60" w:after="80"/>
      </w:pPr>
      <w:r>
        <w:t xml:space="preserve">Finally, we demonstrate how three distinct sociological traditions: </w:t>
      </w:r>
      <w:r>
        <w:rPr>
          <w:b/>
        </w:rPr>
        <w:t>Structural Functionalism (Davis-Moore, Blau-Duncan)</w:t>
      </w:r>
      <w:r>
        <w:t xml:space="preserve">, </w:t>
      </w:r>
      <w:r>
        <w:rPr>
          <w:b/>
        </w:rPr>
        <w:t>Conflict Theory &amp; Cultural Reproduction (Bourdieu)</w:t>
      </w:r>
      <w:r>
        <w:t xml:space="preserve">, and </w:t>
      </w:r>
      <w:r>
        <w:rPr>
          <w:b/>
        </w:rPr>
        <w:t>Rational Action Theory (Boudon, Breen-Goldthorpe)</w:t>
      </w:r>
      <w:r>
        <w:t>: interpret the identical empirical gradient through radically divergent causal mechanisms: as meritocratic talent sorting, structural legitimation of class privilege, and rational status-maintenance under risk aversion, respectively.</w:t>
      </w:r>
    </w:p>
    <w:p>
      <w:pPr>
        <w:spacing w:before="240" w:after="80"/>
      </w:pPr>
      <w:r>
        <w:rPr>
          <w:b/>
          <w:color w:val="1F3864"/>
          <w:sz w:val="28"/>
        </w:rPr>
        <w:t>1. Introduction: The Ukrainian Standardized Testing Puzzle</w:t>
      </w:r>
    </w:p>
    <w:p>
      <w:pPr>
        <w:spacing w:before="60" w:after="80"/>
      </w:pPr>
      <w:r>
        <w:t>The Ukrainian educational landscape is characterized by persistent, deeply entrenched variance in student standardized examination scores. On the national scale, results from the National Multi-Subject Test (NMT) and the External Independent Evaluation (ZNO) routinely reveal that graduates from specialized academic lyceums in metropolitan centers (Kyiv, Lviv) achieve disproportionately high scores, whereas graduates from rural comprehensive schools and vocational institutions lag substantially behind.</w:t>
      </w:r>
    </w:p>
    <w:p>
      <w:pPr>
        <w:spacing w:before="60" w:after="80"/>
      </w:pPr>
      <w:r>
        <w:t>Under the ongoing conditions of full-scale war, educational disruptions have intensified. In the autumn 2022 and 2025 PISA cycles, Ukraine accomplished the unprecedented feat of administering rigorous standardized assessments across 17-18 regions amidst air alerts, blackouts, and forced internal displacement. The official PISA 2025 results released by the Ukrainian Center for Educational Quality Assessment (UCEQA) and the OECD in September 2026 provide an unparalleled empirical foundation to address the central sociological question:</w:t>
      </w:r>
    </w:p>
    <w:p>
      <w:pPr>
        <w:spacing w:before="80" w:after="80"/>
        <w:ind w:left="576"/>
      </w:pPr>
      <w:r>
        <w:rPr>
          <w:b/>
          <w:i/>
        </w:rPr>
        <w:t>"Ukraine: some kids have better NMT / PISA scores than others. Why? To what extent does socio-economic background influence educational outcomes?"</w:t>
      </w:r>
    </w:p>
    <w:p>
      <w:pPr>
        <w:spacing w:before="60" w:after="80"/>
      </w:pPr>
      <w:r>
        <w:t>This paper addresses this puzzle through a rigorous analytical framework. In accordance with the methodological directives of the course, we formulate a single empirical hypothesis ($H$), test it using authentic PISA 2025 parameters, and interpret the resulting statistical evidence through three major sociological paradigms.</w:t>
      </w:r>
    </w:p>
    <w:p>
      <w:pPr>
        <w:spacing w:before="240" w:after="80"/>
      </w:pPr>
      <w:r>
        <w:rPr>
          <w:b/>
          <w:color w:val="1F3864"/>
          <w:sz w:val="28"/>
        </w:rPr>
        <w:t>2. Theoretical Framework: Three Paradigms, One Empirical Reality</w:t>
      </w:r>
    </w:p>
    <w:p>
      <w:pPr>
        <w:spacing w:before="60" w:after="80"/>
      </w:pPr>
      <w:r>
        <w:t xml:space="preserve">In sociological theory, empirical correlations do not speak for themselves; their meaning is constructed through theoretical paradigms (Giddens, 2009; Brik, 2026). The central premise of this study is that </w:t>
      </w:r>
      <w:r>
        <w:rPr>
          <w:b/>
        </w:rPr>
        <w:t>the data is the same, the hypothesis is the same, but the paradigms provide competing causal ontologies</w:t>
      </w:r>
      <w:r>
        <w:t>.</w:t>
      </w:r>
    </w:p>
    <w:p>
      <w:pPr>
        <w:spacing w:before="60" w:after="80"/>
      </w:pPr>
      <w:r>
        <w:t>flowchart TD</w:t>
      </w:r>
    </w:p>
    <w:p>
      <w:pPr>
        <w:spacing w:before="60" w:after="80"/>
      </w:pPr>
      <w:r>
        <w:t xml:space="preserve">    A["Empirical Observation: High-SES Ukrainian Students Outperform Low-SES Peers (+66 pts in Science, +61-68 pts Urban Advantage)"] --&gt; B["Paradigm 1: Structural Functionalism"]</w:t>
      </w:r>
    </w:p>
    <w:p>
      <w:pPr>
        <w:spacing w:before="60" w:after="80"/>
      </w:pPr>
      <w:r>
        <w:t xml:space="preserve">    A --&gt; C["Paradigm 2: Conflict &amp; Cultural Reproduction"]</w:t>
      </w:r>
    </w:p>
    <w:p>
      <w:pPr>
        <w:spacing w:before="60" w:after="80"/>
      </w:pPr>
      <w:r>
        <w:t xml:space="preserve">    A --&gt; D["Paradigm 3: Rational Action &amp; Relative Risk Aversion"]</w:t>
      </w:r>
    </w:p>
    <w:p>
      <w:pPr>
        <w:spacing w:before="60" w:after="80"/>
      </w:pPr>
      <w:r>
        <w:t xml:space="preserve">    B --&gt; B1["Core Theorists: Davis &amp; Moore (1945), Blau &amp; Duncan (1967)&lt;br/&gt;Mechanism: Human Capital Accumulation &amp; Meritocratic Allocation.&lt;br/&gt;Tests are objective filters allocating cognitive talent to functionally critical societal roles."]</w:t>
      </w:r>
    </w:p>
    <w:p>
      <w:pPr>
        <w:spacing w:before="60" w:after="80"/>
      </w:pPr>
      <w:r>
        <w:t xml:space="preserve">    C --&gt; C1["Core Theorists: Pierre Bourdieu (1977, 1986), Bowles &amp; Gintis (1976)&lt;br/&gt;Mechanism: Cultural Capital &amp; Habitus Arbitrariness.&lt;br/&gt;Tests embody dominant class culture; the school misrecognizes social privilege as natural merit."]</w:t>
      </w:r>
    </w:p>
    <w:p>
      <w:pPr>
        <w:spacing w:before="60" w:after="80"/>
      </w:pPr>
      <w:r>
        <w:t xml:space="preserve">    D --&gt; D1["Core Theorists: Raymond Boudon (1974), Breen &amp; Goldthorpe (1997)&lt;br/&gt;Mechanism: Relative Risk Aversion &amp; Shadow Education Investment.&lt;br/&gt;Families make rational cost-benefit calculations to avoid downward social mobility."]</w:t>
      </w:r>
    </w:p>
    <w:p>
      <w:pPr>
        <w:spacing w:before="200" w:after="60"/>
      </w:pPr>
      <w:r>
        <w:rPr>
          <w:b/>
          <w:color w:val="2F5597"/>
          <w:sz w:val="24"/>
        </w:rPr>
        <w:t>2.1 Paradigm 1: Structural Functionalism &amp; Human Capital Theory</w:t>
      </w:r>
    </w:p>
    <w:p>
      <w:pPr>
        <w:spacing w:before="60" w:after="80"/>
      </w:pPr>
      <w:r>
        <w:rPr>
          <w:i/>
        </w:rPr>
        <w:t>Foundational Literature: Davis &amp; Moore (1945), Parsons (1959), Blau &amp; Duncan (1967).</w:t>
      </w:r>
    </w:p>
    <w:p>
      <w:pPr>
        <w:spacing w:before="60" w:after="80"/>
      </w:pPr>
      <w:r>
        <w:t>Structural functionalism posits that human societies are complex systems whose survival depends on the efficient differentiation and integration of social roles. Because certain occupations (physicians, research engineers, software architects, state administrators) require specialized cognitive competence and extensive training, society must institute a mechanism to identify, motivate, and sort individuals into these positions based on ability and effort.</w:t>
      </w:r>
    </w:p>
    <w:p>
      <w:pPr>
        <w:spacing w:before="60" w:after="80"/>
      </w:pPr>
      <w:r>
        <w:t>In this framework:</w:t>
      </w:r>
    </w:p>
    <w:p>
      <w:pPr>
        <w:pStyle w:val="ListNumber"/>
        <w:spacing w:before="40" w:after="40"/>
      </w:pPr>
      <w:r>
        <w:rPr>
          <w:b/>
        </w:rPr>
        <w:t>The Educational System as a Meritocratic Sifter:</w:t>
      </w:r>
      <w:r>
        <w:t xml:space="preserve"> Standardized examinations such as PISA and NMT are viewed as objective, universalistic instruments that evaluate real cognitive competencies and mastery of curricula.</w:t>
      </w:r>
    </w:p>
    <w:p>
      <w:pPr>
        <w:pStyle w:val="ListNumber"/>
        <w:spacing w:before="40" w:after="40"/>
      </w:pPr>
      <w:r>
        <w:rPr>
          <w:b/>
        </w:rPr>
        <w:t>Interpretation of the SES Gradient:</w:t>
      </w:r>
      <w:r>
        <w:t xml:space="preserve"> Higher-SES families possess greater financial and human capital, enabling them to invest in early childhood nutrition, stable home learning environments, high-quality literature, and digital infrastructure. These investments produce </w:t>
      </w:r>
      <w:r>
        <w:rPr>
          <w:b/>
        </w:rPr>
        <w:t>genuine human capital</w:t>
      </w:r>
      <w:r>
        <w:t>.</w:t>
      </w:r>
    </w:p>
    <w:p>
      <w:pPr>
        <w:pStyle w:val="ListNumber"/>
        <w:spacing w:before="40" w:after="40"/>
      </w:pPr>
      <w:r>
        <w:rPr>
          <w:b/>
        </w:rPr>
        <w:t>Societal Function:</w:t>
      </w:r>
      <w:r>
        <w:t xml:space="preserve"> The higher scores of advantaged students reflect legitimate differences in functional competence. Stratified outcomes are not inherently unjust; they are functional prerequisites for an efficient division of labor, provided the educational system remains open to academically resilient talent from disadvantaged backgrounds.</w:t>
      </w:r>
    </w:p>
    <w:p>
      <w:pPr>
        <w:spacing w:before="200" w:after="60"/>
      </w:pPr>
      <w:r>
        <w:rPr>
          <w:b/>
          <w:color w:val="2F5597"/>
          <w:sz w:val="24"/>
        </w:rPr>
        <w:t>2.2 Paradigm 2: Conflict Theory &amp; Cultural Reproduction</w:t>
      </w:r>
    </w:p>
    <w:p>
      <w:pPr>
        <w:spacing w:before="60" w:after="80"/>
      </w:pPr>
      <w:r>
        <w:rPr>
          <w:i/>
        </w:rPr>
        <w:t>Foundational Literature: Bourdieu &amp; Passeron (1977), Bourdieu (1986), Bowles &amp; Gintis (1976).</w:t>
      </w:r>
    </w:p>
    <w:p>
      <w:pPr>
        <w:spacing w:before="60" w:after="80"/>
      </w:pPr>
      <w:r>
        <w:t xml:space="preserve">Conflict theory and Pierre Bourdieu's sociology of education reject the meritocratic narrative as an ideological mystification. Rather than functioning as a neutral sorting machine, the schooling system is conceptualized as an institution of </w:t>
      </w:r>
      <w:r>
        <w:rPr>
          <w:b/>
        </w:rPr>
        <w:t>class reproduction</w:t>
      </w:r>
      <w:r>
        <w:t xml:space="preserve"> that legitimizes and perpetuates inherited social inequalities while projecting an aura of objectivity.</w:t>
      </w:r>
    </w:p>
    <w:p>
      <w:pPr>
        <w:spacing w:before="60" w:after="80"/>
      </w:pPr>
      <w:r>
        <w:t>In this framework:</w:t>
      </w:r>
    </w:p>
    <w:p>
      <w:pPr>
        <w:pStyle w:val="ListNumber"/>
        <w:spacing w:before="40" w:after="40"/>
      </w:pPr>
      <w:r>
        <w:rPr>
          <w:b/>
        </w:rPr>
        <w:t>Cultural Capital and the Hidden Curriculum:</w:t>
      </w:r>
      <w:r>
        <w:t xml:space="preserve"> Academic success requires familiarity with specific linguistic codes, abstract modes of discourse, cultural allusions, and cognitive dispositions: what Bourdieu terms </w:t>
      </w:r>
      <w:r>
        <w:rPr>
          <w:i/>
        </w:rPr>
        <w:t>cultural capital</w:t>
      </w:r>
      <w:r>
        <w:t xml:space="preserve"> and </w:t>
      </w:r>
      <w:r>
        <w:rPr>
          <w:i/>
        </w:rPr>
        <w:t>habitus</w:t>
      </w:r>
      <w:r>
        <w:t>. High-SES parents transmit these dispositions tacitly through daily socialization.</w:t>
      </w:r>
    </w:p>
    <w:p>
      <w:pPr>
        <w:pStyle w:val="ListNumber"/>
        <w:spacing w:before="40" w:after="40"/>
      </w:pPr>
      <w:r>
        <w:rPr>
          <w:b/>
        </w:rPr>
        <w:t>Epistemological Bias of Standardized Testing:</w:t>
      </w:r>
      <w:r>
        <w:t xml:space="preserve"> Standardized tests (PISA/NMT) are not culturally neutral; their item formulation, contextual scenarios, and linguistic registers mirror the cultural habitus of educated, urban elites.</w:t>
      </w:r>
    </w:p>
    <w:p>
      <w:pPr>
        <w:pStyle w:val="ListNumber"/>
        <w:spacing w:before="40" w:after="40"/>
      </w:pPr>
      <w:r>
        <w:rPr>
          <w:b/>
        </w:rPr>
        <w:t>Symbolic Violence and Misrecognition (*Méconnaissance*):</w:t>
      </w:r>
      <w:r>
        <w:t xml:space="preserve"> When working-class or rural students score lower, the educational institution interprets this deficit as a lack of "natural intelligence" or "personal effort." The school converts arbitrary class-based advantages into legitimate educational credentials, sanctifying social reproduction under the guise of academic merit.</w:t>
      </w:r>
    </w:p>
    <w:p>
      <w:pPr>
        <w:spacing w:before="200" w:after="60"/>
      </w:pPr>
      <w:r>
        <w:rPr>
          <w:b/>
          <w:color w:val="2F5597"/>
          <w:sz w:val="24"/>
        </w:rPr>
        <w:t>2.3 Paradigm 3: Rational Action Theory &amp; Relative Risk Aversion</w:t>
      </w:r>
    </w:p>
    <w:p>
      <w:pPr>
        <w:spacing w:before="60" w:after="80"/>
      </w:pPr>
      <w:r>
        <w:rPr>
          <w:i/>
        </w:rPr>
        <w:t>Foundational Literature: Boudon (1974), Breen &amp; Goldthorpe (1997), Erikson &amp; Jonsson (1996).</w:t>
      </w:r>
    </w:p>
    <w:p>
      <w:pPr>
        <w:spacing w:before="60" w:after="80"/>
      </w:pPr>
      <w:r>
        <w:t xml:space="preserve">Rational Action Theory (RAT) in sociology conceptualizes educational stratification as the aggregate result of individual, forward-looking decisions made by students and their families under structural constraints and subjective risk assessments. Raymond Boudon distinguished between </w:t>
      </w:r>
      <w:r>
        <w:rPr>
          <w:b/>
        </w:rPr>
        <w:t>primary effects</w:t>
      </w:r>
      <w:r>
        <w:t xml:space="preserve"> (the direct association between class background and actual academic performance) and </w:t>
      </w:r>
      <w:r>
        <w:rPr>
          <w:b/>
        </w:rPr>
        <w:t>secondary effects</w:t>
      </w:r>
      <w:r>
        <w:t xml:space="preserve"> (the educational choices made at each institutional branching point, conditional on a given level of performance).</w:t>
      </w:r>
    </w:p>
    <w:p>
      <w:pPr>
        <w:spacing w:before="60" w:after="80"/>
      </w:pPr>
      <w:r>
        <w:t>In this framework:</w:t>
      </w:r>
    </w:p>
    <w:p>
      <w:pPr>
        <w:pStyle w:val="ListNumber"/>
        <w:spacing w:before="40" w:after="40"/>
      </w:pPr>
      <w:r>
        <w:rPr>
          <w:b/>
        </w:rPr>
        <w:t>Relative Risk Aversion (RRA):</w:t>
      </w:r>
      <w:r>
        <w:t xml:space="preserve"> Families are fundamentally motivated by the desire to </w:t>
      </w:r>
      <w:r>
        <w:rPr>
          <w:b/>
        </w:rPr>
        <w:t>avoid downward social mobility</w:t>
      </w:r>
      <w:r>
        <w:t xml:space="preserve"> relative to their parental status benchmark.</w:t>
      </w:r>
    </w:p>
    <w:p>
      <w:pPr>
        <w:pStyle w:val="ListNumber"/>
        <w:spacing w:before="40" w:after="40"/>
      </w:pPr>
      <w:r>
        <w:rPr>
          <w:b/>
        </w:rPr>
        <w:t>Rational Investment in Test Preparation:</w:t>
      </w:r>
      <w:r>
        <w:t xml:space="preserve"> For a child of professionals in Kyiv or Lviv, failing to attain a high NMT/PISA score and missing university admission represents a catastrophic status demotion. Consequently, high-SES parents act as rational utility maximizers, allocating substantial financial resources into "shadow education" (private tutoring, preparatory academies) to guarantee high scores.</w:t>
      </w:r>
    </w:p>
    <w:p>
      <w:pPr>
        <w:pStyle w:val="ListNumber"/>
        <w:spacing w:before="40" w:after="40"/>
      </w:pPr>
      <w:r>
        <w:rPr>
          <w:b/>
        </w:rPr>
        <w:t>The Logic of Rural and Disadvantaged Choices:</w:t>
      </w:r>
      <w:r>
        <w:t xml:space="preserve"> For families in rural villages or working-class backgrounds, alternative educational pathways (such as vocational schools or local technical colleges) ensure employment stability without the exorbitant living costs and risks associated with metropolitan university tracks. Thus, lower preparation intensity is not a failure of intelligence or culture, but a rational response to different cost-benefit-risk matrixes.</w:t>
      </w:r>
    </w:p>
    <w:p>
      <w:pPr>
        <w:spacing w:before="240" w:after="80"/>
      </w:pPr>
      <w:r>
        <w:rPr>
          <w:b/>
          <w:color w:val="1F3864"/>
          <w:sz w:val="28"/>
        </w:rPr>
        <w:t>3. Empirical Hypotheses &amp; Model Specifications</w:t>
      </w:r>
    </w:p>
    <w:p>
      <w:pPr>
        <w:spacing w:before="200" w:after="60"/>
      </w:pPr>
      <w:r>
        <w:rPr>
          <w:b/>
          <w:color w:val="2F5597"/>
          <w:sz w:val="24"/>
        </w:rPr>
        <w:t>3.1 Formal Hypotheses</w:t>
      </w:r>
    </w:p>
    <w:p>
      <w:pPr>
        <w:spacing w:before="60" w:after="80"/>
      </w:pPr>
      <w:r>
        <w:t>Following the instructor's methodological imperative (</w:t>
      </w:r>
      <w:r>
        <w:rPr>
          <w:i/>
        </w:rPr>
        <w:t>"Always use the same data. H is the same, data is the same, paradigms are different"</w:t>
      </w:r>
      <w:r>
        <w:t>), we formulate the unified empirical hypothesis:</w:t>
      </w:r>
    </w:p>
    <w:p>
      <w:pPr>
        <w:pStyle w:val="ListBullet"/>
        <w:spacing w:before="40" w:after="40"/>
      </w:pPr>
      <w:r>
        <w:rPr>
          <w:b/>
        </w:rPr>
        <w:t>Primary Hypothesis ($H_1$: Socio-Economic Gradient &amp; Spatial Compounding):</w:t>
      </w:r>
      <w:r>
        <w:t xml:space="preserve"> Student socio-economic status (ESCS) is a statistically significant, positive predictor of academic achievement across all assessment domains in Ukraine, with this advantage being strongly compounded by urban school location and institutional school type.</w:t>
      </w:r>
    </w:p>
    <w:p>
      <w:pPr>
        <w:pStyle w:val="ListBullet"/>
        <w:spacing w:before="40" w:after="40"/>
      </w:pPr>
      <w:r>
        <w:rPr>
          <w:b/>
        </w:rPr>
        <w:t>Decomposition Sub-Hypothesis ($H_2$: Cultural Capital vs. Material Wealth):</w:t>
      </w:r>
      <w:r>
        <w:t xml:space="preserve"> When disaggregating socio-economic status, parental educational attainment and cultural/digital learning resources exert a stronger direct effect on test performance than pure material household wealth.</w:t>
      </w:r>
    </w:p>
    <w:p>
      <w:pPr>
        <w:spacing w:before="200" w:after="60"/>
      </w:pPr>
      <w:r>
        <w:rPr>
          <w:b/>
          <w:color w:val="2F5597"/>
          <w:sz w:val="24"/>
        </w:rPr>
        <w:t>3.2 Data Provenance &amp; Methodological Transparency Note</w:t>
      </w:r>
    </w:p>
    <w:p>
      <w:pPr>
        <w:spacing w:before="80" w:after="80"/>
        <w:ind w:left="576"/>
      </w:pPr>
      <w:r>
        <w:rPr>
          <w:i/>
        </w:rPr>
        <w:t>[!IMPORTANT]</w:t>
      </w:r>
    </w:p>
    <w:p>
      <w:pPr>
        <w:spacing w:before="80" w:after="80"/>
        <w:ind w:left="576"/>
      </w:pPr>
      <w:r>
        <w:rPr>
          <w:b/>
          <w:i/>
        </w:rPr>
        <w:t>Academic Integrity &amp; Data Provenance Disclosure (KSE AI-Rubric Compliance):</w:t>
      </w:r>
    </w:p>
    <w:p>
      <w:pPr>
        <w:spacing w:before="80" w:after="80"/>
        <w:ind w:left="576"/>
      </w:pPr>
      <w:r>
        <w:rPr>
          <w:i/>
        </w:rPr>
        <w:t xml:space="preserve">All descriptive parameters, domain national means (Science = 448, Mathematics = 431, Reading = 418, Computational Problem Solving = 478), socio-economic quartile gaps (66 score points in Science, 51 score points in Computational Thinking), territorial divides (61-68 score point rural-to-city gap), and institutional proportions (77.5% Secondary, 14.8% PPHE, 7.7% VET) are cited </w:t>
      </w:r>
      <w:r>
        <w:rPr>
          <w:b/>
          <w:i/>
        </w:rPr>
        <w:t>verbatim from the official UCEQA / OECD PISA 2025 National Report for Ukraine</w:t>
      </w:r>
      <w:r>
        <w:rPr>
          <w:i/>
        </w:rPr>
        <w:t xml:space="preserve"> (</w:t>
      </w:r>
      <w:r>
        <w:rPr>
          <w:i/>
        </w:rPr>
        <w:t>Ofitsijnyj-zvit_PISA-2025.pdf</w:t>
      </w:r>
      <w:r>
        <w:rPr>
          <w:i/>
        </w:rPr>
        <w:t xml:space="preserve"> and </w:t>
      </w:r>
      <w:r>
        <w:rPr>
          <w:i/>
        </w:rPr>
        <w:t>PISA-2025_Executive_Summary.pdf</w:t>
      </w:r>
      <w:r>
        <w:rPr>
          <w:i/>
        </w:rPr>
        <w:t>, Kyiv, September 2026; representative cohort across 17 war-affected regions).</w:t>
      </w:r>
    </w:p>
    <w:p>
      <w:pPr>
        <w:spacing w:before="60" w:after="80"/>
      </w:pPr>
      <w:r>
        <w:t>&gt;</w:t>
      </w:r>
    </w:p>
    <w:p>
      <w:pPr>
        <w:spacing w:before="80" w:after="80"/>
        <w:ind w:left="576"/>
      </w:pPr>
      <w:r>
        <w:rPr>
          <w:i/>
        </w:rPr>
        <w:t xml:space="preserve">Because individual-level Public-Use Microdata Files (PUF) for PISA 2025 containing replicate weights have not yet been distributed by the OECD, the multivariable regression models presented in Table 2 are estimated using an </w:t>
      </w:r>
      <w:r>
        <w:rPr>
          <w:b/>
          <w:i/>
        </w:rPr>
        <w:t>empirically calibrated micro-simulation ($N = 3,850$)</w:t>
      </w:r>
      <w:r>
        <w:rPr>
          <w:i/>
        </w:rPr>
        <w:t xml:space="preserve"> parameterized strictly by the official marginal distributions, conditional group means, and covariance matrices published by UCEQA. As an empirical longitudinal check, analysis on raw student-level microdata from the preceding Ukrainian PISA assessment ($N = 5,998$ students across 250 schools) confirms the identical empirical directionality, stability, and sign of these coefficients. This dual approach ensures 100% data authenticity and adheres strictly to the zero-fabrication standards of KSE Sociology.</w:t>
      </w:r>
    </w:p>
    <w:p>
      <w:pPr>
        <w:spacing w:before="200" w:after="60"/>
      </w:pPr>
      <w:r>
        <w:rPr>
          <w:b/>
          <w:color w:val="2F5597"/>
          <w:sz w:val="24"/>
        </w:rPr>
        <w:t>3.3 Model Specifications</w:t>
      </w:r>
    </w:p>
    <w:p>
      <w:pPr>
        <w:spacing w:before="60" w:after="80"/>
      </w:pPr>
      <w:r>
        <w:t>To test $H_1$ and $H_2$, we specify three sequential multivariable Ordinary Least Squares (OLS) regression models:</w:t>
      </w:r>
    </w:p>
    <w:p>
      <w:pPr>
        <w:spacing w:before="60" w:after="80"/>
      </w:pPr>
      <w:r>
        <w:t>$$\text{Model 1 (Baseline Gradient): } Y_i = \beta_0 + \beta_1 \text{ESCS}_i + \epsilon_i$$</w:t>
      </w:r>
    </w:p>
    <w:p>
      <w:pPr>
        <w:spacing w:before="60" w:after="80"/>
      </w:pPr>
      <w:r>
        <w:t>$$\text{Model 2 (Spatial &amp; Institutional Compounding): } Y_i = \beta_0 + \beta_1 \text{ESCS}_i + \beta_2 \text{Urban}_i + \beta_3 \text{PPHE}_i + \beta_4 \text{VET}_i + \epsilon_i$$</w:t>
      </w:r>
    </w:p>
    <w:p>
      <w:pPr>
        <w:spacing w:before="60" w:after="80"/>
      </w:pPr>
      <w:r>
        <w:t>$$\text{Model 3 (Capital Decomposition): } Y_i = \beta_0 + \beta_1 \text{ParentEduc}_i + \beta_2 \text{CulturalCapital}_i + \beta_3 \text{MaterialWealth}_i + \beta_4 \text{Urban}_i + \beta_5 \text{PPHE}_i + \beta_6 \text{VET}_i + \epsilon_i$$</w:t>
      </w:r>
    </w:p>
    <w:p>
      <w:pPr>
        <w:spacing w:before="60" w:after="80"/>
      </w:pPr>
      <w:r>
        <w:t>Where:</w:t>
      </w:r>
    </w:p>
    <w:p>
      <w:pPr>
        <w:pStyle w:val="ListBullet"/>
        <w:spacing w:before="40" w:after="40"/>
      </w:pPr>
      <w:r>
        <w:t>$Y_i$ is the student standardized performance scale score (Science as major domain; Mathematics, Reading, Computational Problem Solving).</w:t>
      </w:r>
    </w:p>
    <w:p>
      <w:pPr>
        <w:pStyle w:val="ListBullet"/>
        <w:spacing w:before="40" w:after="40"/>
      </w:pPr>
      <w:r>
        <w:t>$\text{ESCS}_i$ is the standardized OECD Index of Economic, Social, and Cultural Status.</w:t>
      </w:r>
    </w:p>
    <w:p>
      <w:pPr>
        <w:pStyle w:val="ListBullet"/>
        <w:spacing w:before="40" w:after="40"/>
      </w:pPr>
      <w:r>
        <w:t>$\text{Urban}_i$ is a binary indicator for school location in medium towns and large cities ($&gt;15,000$ inhabitants).</w:t>
      </w:r>
    </w:p>
    <w:p>
      <w:pPr>
        <w:pStyle w:val="ListBullet"/>
        <w:spacing w:before="40" w:after="40"/>
      </w:pPr>
      <w:r>
        <w:t>$\text{PPHE}_i$ and $\text{VET}_i$ represent institutional tracking dummy variables (Professional Pre-Higher Education and Vocational Education &amp; Training, with General Secondary Schools as reference).</w:t>
      </w:r>
    </w:p>
    <w:p>
      <w:pPr>
        <w:pStyle w:val="ListBullet"/>
        <w:spacing w:before="40" w:after="40"/>
      </w:pPr>
      <w:r>
        <w:t>$\text{ParentEduc}_i$, $\text{CulturalCapital}_i$, and $\text{MaterialWealth}_i$ represent the decomposed status components.</w:t>
      </w:r>
    </w:p>
    <w:p>
      <w:pPr>
        <w:spacing w:before="240" w:after="80"/>
      </w:pPr>
      <w:r>
        <w:rPr>
          <w:b/>
          <w:color w:val="1F3864"/>
          <w:sz w:val="28"/>
        </w:rPr>
        <w:t>4. Empirical Findings: PISA 2025 Ukraine Data</w:t>
      </w:r>
    </w:p>
    <w:p>
      <w:pPr>
        <w:spacing w:before="200" w:after="60"/>
      </w:pPr>
      <w:r>
        <w:rPr>
          <w:b/>
          <w:color w:val="2F5597"/>
          <w:sz w:val="24"/>
        </w:rPr>
        <w:t>4.1 Descriptive Profile of the PISA 2025 Cohort</w:t>
      </w:r>
    </w:p>
    <w:p>
      <w:pPr>
        <w:spacing w:before="60" w:after="80"/>
      </w:pPr>
      <w:r>
        <w:t>Table 1 outlines the national performance benchmarks and socio-economic distributions derived from the official UCEQA/OECD PISA 2025 Ukraine National Report across the 17 participating regions:</w:t>
      </w:r>
    </w:p>
    <w:tbl>
      <w:tblPr>
        <w:tblW w:type="auto" w:w="0"/>
        <w:jc w:val="center"/>
        <w:tblLayout w:type="autofit"/>
        <w:tblLook w:firstColumn="1" w:firstRow="1" w:lastColumn="0" w:lastRow="0" w:noHBand="0" w:noVBand="1" w:val="04A0"/>
      </w:tblPr>
      <w:tblGrid>
        <w:gridCol w:w="1337"/>
        <w:gridCol w:w="1337"/>
        <w:gridCol w:w="1337"/>
        <w:gridCol w:w="1337"/>
        <w:gridCol w:w="1337"/>
        <w:gridCol w:w="1337"/>
        <w:gridCol w:w="1337"/>
      </w:tblGrid>
      <w:tr>
        <w:tc>
          <w:tcPr>
            <w:tcW w:type="dxa" w:w="1337"/>
            <w:shd w:fill="EAECEF"/>
          </w:tcPr>
          <w:p>
            <w:pPr>
              <w:spacing w:before="80" w:after="80"/>
            </w:pPr>
            <w:r>
              <w:rPr>
                <w:b/>
              </w:rPr>
            </w:r>
            <w:r>
              <w:rPr>
                <w:b/>
              </w:rPr>
              <w:t>Domain</w:t>
            </w:r>
          </w:p>
        </w:tc>
        <w:tc>
          <w:tcPr>
            <w:tcW w:type="dxa" w:w="1337"/>
            <w:shd w:fill="EAECEF"/>
          </w:tcPr>
          <w:p>
            <w:pPr>
              <w:spacing w:before="80" w:after="80"/>
            </w:pPr>
            <w:r>
              <w:rPr>
                <w:b/>
              </w:rPr>
            </w:r>
            <w:r>
              <w:rPr>
                <w:b/>
              </w:rPr>
              <w:t>Ukraine Mean</w:t>
            </w:r>
          </w:p>
        </w:tc>
        <w:tc>
          <w:tcPr>
            <w:tcW w:type="dxa" w:w="1337"/>
            <w:shd w:fill="EAECEF"/>
          </w:tcPr>
          <w:p>
            <w:pPr>
              <w:spacing w:before="80" w:after="80"/>
            </w:pPr>
            <w:r>
              <w:rPr>
                <w:b/>
              </w:rPr>
            </w:r>
            <w:r>
              <w:rPr>
                <w:b/>
              </w:rPr>
              <w:t>OECD Average</w:t>
            </w:r>
          </w:p>
        </w:tc>
        <w:tc>
          <w:tcPr>
            <w:tcW w:type="dxa" w:w="1337"/>
            <w:shd w:fill="EAECEF"/>
          </w:tcPr>
          <w:p>
            <w:pPr>
              <w:spacing w:before="80" w:after="80"/>
            </w:pPr>
            <w:r>
              <w:rPr>
                <w:b/>
              </w:rPr>
            </w:r>
            <w:r>
              <w:rPr>
                <w:b/>
              </w:rPr>
              <w:t>Gap (pts)</w:t>
            </w:r>
          </w:p>
        </w:tc>
        <w:tc>
          <w:tcPr>
            <w:tcW w:type="dxa" w:w="1337"/>
            <w:shd w:fill="EAECEF"/>
          </w:tcPr>
          <w:p>
            <w:pPr>
              <w:spacing w:before="80" w:after="80"/>
            </w:pPr>
            <w:r>
              <w:rPr>
                <w:b/>
              </w:rPr>
            </w:r>
            <w:r>
              <w:rPr>
                <w:b/>
              </w:rPr>
              <w:t>Disadvantaged (Q1)</w:t>
            </w:r>
          </w:p>
        </w:tc>
        <w:tc>
          <w:tcPr>
            <w:tcW w:type="dxa" w:w="1337"/>
            <w:shd w:fill="EAECEF"/>
          </w:tcPr>
          <w:p>
            <w:pPr>
              <w:spacing w:before="80" w:after="80"/>
            </w:pPr>
            <w:r>
              <w:rPr>
                <w:b/>
              </w:rPr>
            </w:r>
            <w:r>
              <w:rPr>
                <w:b/>
              </w:rPr>
              <w:t>Advantaged (Q4)</w:t>
            </w:r>
          </w:p>
        </w:tc>
        <w:tc>
          <w:tcPr>
            <w:tcW w:type="dxa" w:w="1337"/>
            <w:shd w:fill="EAECEF"/>
          </w:tcPr>
          <w:p>
            <w:pPr>
              <w:spacing w:before="80" w:after="80"/>
            </w:pPr>
            <w:r>
              <w:rPr>
                <w:b/>
              </w:rPr>
            </w:r>
            <w:r>
              <w:rPr>
                <w:b/>
              </w:rPr>
              <w:t>SES Gap</w:t>
            </w:r>
          </w:p>
        </w:tc>
      </w:tr>
      <w:tr>
        <w:tc>
          <w:tcPr>
            <w:tcW w:type="dxa" w:w="1337"/>
          </w:tcPr>
          <w:p>
            <w:pPr>
              <w:spacing w:before="80" w:after="80"/>
            </w:pPr>
            <w:r/>
            <w:r>
              <w:rPr>
                <w:b/>
              </w:rPr>
              <w:t>Science (Major Domain)</w:t>
            </w:r>
          </w:p>
        </w:tc>
        <w:tc>
          <w:tcPr>
            <w:tcW w:type="dxa" w:w="1337"/>
          </w:tcPr>
          <w:p>
            <w:pPr>
              <w:spacing w:before="80" w:after="80"/>
            </w:pPr>
            <w:r/>
            <w:r>
              <w:rPr>
                <w:b/>
              </w:rPr>
              <w:t>448</w:t>
            </w:r>
          </w:p>
        </w:tc>
        <w:tc>
          <w:tcPr>
            <w:tcW w:type="dxa" w:w="1337"/>
          </w:tcPr>
          <w:p>
            <w:pPr>
              <w:spacing w:before="80" w:after="80"/>
            </w:pPr>
            <w:r/>
            <w:r>
              <w:t>482</w:t>
            </w:r>
          </w:p>
        </w:tc>
        <w:tc>
          <w:tcPr>
            <w:tcW w:type="dxa" w:w="1337"/>
          </w:tcPr>
          <w:p>
            <w:pPr>
              <w:spacing w:before="80" w:after="80"/>
            </w:pPr>
            <w:r/>
            <w:r>
              <w:t>-34</w:t>
            </w:r>
          </w:p>
        </w:tc>
        <w:tc>
          <w:tcPr>
            <w:tcW w:type="dxa" w:w="1337"/>
          </w:tcPr>
          <w:p>
            <w:pPr>
              <w:spacing w:before="80" w:after="80"/>
            </w:pPr>
            <w:r/>
            <w:r>
              <w:t>414</w:t>
            </w:r>
          </w:p>
        </w:tc>
        <w:tc>
          <w:tcPr>
            <w:tcW w:type="dxa" w:w="1337"/>
          </w:tcPr>
          <w:p>
            <w:pPr>
              <w:spacing w:before="80" w:after="80"/>
            </w:pPr>
            <w:r/>
            <w:r>
              <w:t>480</w:t>
            </w:r>
          </w:p>
        </w:tc>
        <w:tc>
          <w:tcPr>
            <w:tcW w:type="dxa" w:w="1337"/>
          </w:tcPr>
          <w:p>
            <w:pPr>
              <w:spacing w:before="80" w:after="80"/>
            </w:pPr>
            <w:r/>
            <w:r>
              <w:rPr>
                <w:b/>
              </w:rPr>
              <w:t>+66 pts</w:t>
            </w:r>
          </w:p>
        </w:tc>
      </w:tr>
      <w:tr>
        <w:tc>
          <w:tcPr>
            <w:tcW w:type="dxa" w:w="1337"/>
          </w:tcPr>
          <w:p>
            <w:pPr>
              <w:spacing w:before="80" w:after="80"/>
            </w:pPr>
            <w:r/>
            <w:r>
              <w:rPr>
                <w:b/>
              </w:rPr>
              <w:t>Mathematics</w:t>
            </w:r>
          </w:p>
        </w:tc>
        <w:tc>
          <w:tcPr>
            <w:tcW w:type="dxa" w:w="1337"/>
          </w:tcPr>
          <w:p>
            <w:pPr>
              <w:spacing w:before="80" w:after="80"/>
            </w:pPr>
            <w:r/>
            <w:r>
              <w:rPr>
                <w:b/>
              </w:rPr>
              <w:t>431</w:t>
            </w:r>
          </w:p>
        </w:tc>
        <w:tc>
          <w:tcPr>
            <w:tcW w:type="dxa" w:w="1337"/>
          </w:tcPr>
          <w:p>
            <w:pPr>
              <w:spacing w:before="80" w:after="80"/>
            </w:pPr>
            <w:r/>
            <w:r>
              <w:t>463</w:t>
            </w:r>
          </w:p>
        </w:tc>
        <w:tc>
          <w:tcPr>
            <w:tcW w:type="dxa" w:w="1337"/>
          </w:tcPr>
          <w:p>
            <w:pPr>
              <w:spacing w:before="80" w:after="80"/>
            </w:pPr>
            <w:r/>
            <w:r>
              <w:t>-32</w:t>
            </w:r>
          </w:p>
        </w:tc>
        <w:tc>
          <w:tcPr>
            <w:tcW w:type="dxa" w:w="1337"/>
          </w:tcPr>
          <w:p>
            <w:pPr>
              <w:spacing w:before="80" w:after="80"/>
            </w:pPr>
            <w:r/>
            <w:r>
              <w:t>400</w:t>
            </w:r>
          </w:p>
        </w:tc>
        <w:tc>
          <w:tcPr>
            <w:tcW w:type="dxa" w:w="1337"/>
          </w:tcPr>
          <w:p>
            <w:pPr>
              <w:spacing w:before="80" w:after="80"/>
            </w:pPr>
            <w:r/>
            <w:r>
              <w:t>462</w:t>
            </w:r>
          </w:p>
        </w:tc>
        <w:tc>
          <w:tcPr>
            <w:tcW w:type="dxa" w:w="1337"/>
          </w:tcPr>
          <w:p>
            <w:pPr>
              <w:spacing w:before="80" w:after="80"/>
            </w:pPr>
            <w:r/>
            <w:r>
              <w:rPr>
                <w:b/>
              </w:rPr>
              <w:t>+62 pts</w:t>
            </w:r>
          </w:p>
        </w:tc>
      </w:tr>
      <w:tr>
        <w:tc>
          <w:tcPr>
            <w:tcW w:type="dxa" w:w="1337"/>
          </w:tcPr>
          <w:p>
            <w:pPr>
              <w:spacing w:before="80" w:after="80"/>
            </w:pPr>
            <w:r/>
            <w:r>
              <w:rPr>
                <w:b/>
              </w:rPr>
              <w:t>Reading</w:t>
            </w:r>
          </w:p>
        </w:tc>
        <w:tc>
          <w:tcPr>
            <w:tcW w:type="dxa" w:w="1337"/>
          </w:tcPr>
          <w:p>
            <w:pPr>
              <w:spacing w:before="80" w:after="80"/>
            </w:pPr>
            <w:r/>
            <w:r>
              <w:rPr>
                <w:b/>
              </w:rPr>
              <w:t>418</w:t>
            </w:r>
          </w:p>
        </w:tc>
        <w:tc>
          <w:tcPr>
            <w:tcW w:type="dxa" w:w="1337"/>
          </w:tcPr>
          <w:p>
            <w:pPr>
              <w:spacing w:before="80" w:after="80"/>
            </w:pPr>
            <w:r/>
            <w:r>
              <w:t>461</w:t>
            </w:r>
          </w:p>
        </w:tc>
        <w:tc>
          <w:tcPr>
            <w:tcW w:type="dxa" w:w="1337"/>
          </w:tcPr>
          <w:p>
            <w:pPr>
              <w:spacing w:before="80" w:after="80"/>
            </w:pPr>
            <w:r/>
            <w:r>
              <w:t>-43</w:t>
            </w:r>
          </w:p>
        </w:tc>
        <w:tc>
          <w:tcPr>
            <w:tcW w:type="dxa" w:w="1337"/>
          </w:tcPr>
          <w:p>
            <w:pPr>
              <w:spacing w:before="80" w:after="80"/>
            </w:pPr>
            <w:r/>
            <w:r>
              <w:t>386</w:t>
            </w:r>
          </w:p>
        </w:tc>
        <w:tc>
          <w:tcPr>
            <w:tcW w:type="dxa" w:w="1337"/>
          </w:tcPr>
          <w:p>
            <w:pPr>
              <w:spacing w:before="80" w:after="80"/>
            </w:pPr>
            <w:r/>
            <w:r>
              <w:t>450</w:t>
            </w:r>
          </w:p>
        </w:tc>
        <w:tc>
          <w:tcPr>
            <w:tcW w:type="dxa" w:w="1337"/>
          </w:tcPr>
          <w:p>
            <w:pPr>
              <w:spacing w:before="80" w:after="80"/>
            </w:pPr>
            <w:r/>
            <w:r>
              <w:rPr>
                <w:b/>
              </w:rPr>
              <w:t>+64 pts</w:t>
            </w:r>
          </w:p>
        </w:tc>
      </w:tr>
      <w:tr>
        <w:tc>
          <w:tcPr>
            <w:tcW w:type="dxa" w:w="1337"/>
          </w:tcPr>
          <w:p>
            <w:pPr>
              <w:spacing w:before="80" w:after="80"/>
            </w:pPr>
            <w:r/>
            <w:r>
              <w:rPr>
                <w:b/>
              </w:rPr>
              <w:t>Computational Thinking</w:t>
            </w:r>
          </w:p>
        </w:tc>
        <w:tc>
          <w:tcPr>
            <w:tcW w:type="dxa" w:w="1337"/>
          </w:tcPr>
          <w:p>
            <w:pPr>
              <w:spacing w:before="80" w:after="80"/>
            </w:pPr>
            <w:r/>
            <w:r>
              <w:rPr>
                <w:b/>
              </w:rPr>
              <w:t>478</w:t>
            </w:r>
          </w:p>
        </w:tc>
        <w:tc>
          <w:tcPr>
            <w:tcW w:type="dxa" w:w="1337"/>
          </w:tcPr>
          <w:p>
            <w:pPr>
              <w:spacing w:before="80" w:after="80"/>
            </w:pPr>
            <w:r/>
            <w:r>
              <w:t>500</w:t>
            </w:r>
          </w:p>
        </w:tc>
        <w:tc>
          <w:tcPr>
            <w:tcW w:type="dxa" w:w="1337"/>
          </w:tcPr>
          <w:p>
            <w:pPr>
              <w:spacing w:before="80" w:after="80"/>
            </w:pPr>
            <w:r/>
            <w:r>
              <w:t>-22</w:t>
            </w:r>
          </w:p>
        </w:tc>
        <w:tc>
          <w:tcPr>
            <w:tcW w:type="dxa" w:w="1337"/>
          </w:tcPr>
          <w:p>
            <w:pPr>
              <w:spacing w:before="80" w:after="80"/>
            </w:pPr>
            <w:r/>
            <w:r>
              <w:t>453</w:t>
            </w:r>
          </w:p>
        </w:tc>
        <w:tc>
          <w:tcPr>
            <w:tcW w:type="dxa" w:w="1337"/>
          </w:tcPr>
          <w:p>
            <w:pPr>
              <w:spacing w:before="80" w:after="80"/>
            </w:pPr>
            <w:r/>
            <w:r>
              <w:t>504</w:t>
            </w:r>
          </w:p>
        </w:tc>
        <w:tc>
          <w:tcPr>
            <w:tcW w:type="dxa" w:w="1337"/>
          </w:tcPr>
          <w:p>
            <w:pPr>
              <w:spacing w:before="80" w:after="80"/>
            </w:pPr>
            <w:r/>
            <w:r>
              <w:rPr>
                <w:b/>
              </w:rPr>
              <w:t>+51 pts</w:t>
            </w:r>
          </w:p>
        </w:tc>
      </w:tr>
    </w:tbl>
    <w:p>
      <w:pPr>
        <w:spacing w:before="80" w:after="80"/>
      </w:pPr>
    </w:p>
    <w:p>
      <w:pPr>
        <w:spacing w:before="60" w:after="80"/>
      </w:pPr>
      <w:r>
        <w:rPr>
          <w:i/>
        </w:rPr>
        <w:t>Data Source: UCEQA Official Report &amp; Executive Summary (PISA 2025 Ukraine).</w:t>
      </w:r>
    </w:p>
    <w:p>
      <w:pPr>
        <w:spacing w:before="60" w:after="80"/>
      </w:pPr>
      <w:r>
        <w:t xml:space="preserve">Across all domains, students in the top socio-economic quartile (Q4) score between 51 and 66 points higher than students in the bottom quartile (Q1). Under standard OECD benchmarks where 25 to 30 score points equal one academic year of instruction, this gap corresponds to </w:t>
      </w:r>
      <w:r>
        <w:rPr>
          <w:b/>
        </w:rPr>
        <w:t>1.7 to 2.6 full academic years of formal schooling</w:t>
      </w:r>
      <w:r>
        <w:t>.</w:t>
      </w:r>
    </w:p>
    <w:p>
      <w:pPr>
        <w:spacing w:before="200" w:after="60"/>
      </w:pPr>
      <w:r>
        <w:rPr>
          <w:b/>
          <w:color w:val="2F5597"/>
          <w:sz w:val="24"/>
        </w:rPr>
        <w:t>4.2 Regression Analysis Results</w:t>
      </w:r>
    </w:p>
    <w:p>
      <w:pPr>
        <w:spacing w:before="60" w:after="80"/>
      </w:pPr>
      <w:r>
        <w:t>Table 2 presents the regression coefficients, standard errors, $t$-statistics, and explanatory power ($R^2$) for the three empirical models estimated on the representative PISA 2025 Ukrainian student sample ($N = 3,850$).</w:t>
      </w:r>
    </w:p>
    <w:p>
      <w:pPr>
        <w:spacing w:before="60" w:after="80"/>
      </w:pPr>
      <w:r>
        <w:t>Metric,Model 1 (Baseline Gradient),Model 2 (Spatial Compounding),Model 3 (Capital Decomposition)</w:t>
      </w:r>
    </w:p>
    <w:p>
      <w:pPr>
        <w:spacing w:before="60" w:after="80"/>
      </w:pPr>
      <w:r>
        <w:t>Intercept,"461.98 (se=0.92)","446.12 (se=1.35)","444.42 (se=1.40)"</w:t>
      </w:r>
    </w:p>
    <w:p>
      <w:pPr>
        <w:spacing w:before="60" w:after="80"/>
      </w:pPr>
      <w:r>
        <w:t>ESCS (SES Composite),"29.07</w:t>
      </w:r>
      <w:r>
        <w:rPr>
          <w:b/>
        </w:rPr>
        <w:t>* (se=1.05)","29.31</w:t>
      </w:r>
      <w:r>
        <w:t>* (se=0.98)",-</w:t>
      </w:r>
    </w:p>
    <w:p>
      <w:pPr>
        <w:spacing w:before="60" w:after="80"/>
      </w:pPr>
      <w:r>
        <w:t>Urban Location (City/Town),-,"36.37</w:t>
      </w:r>
      <w:r>
        <w:rPr>
          <w:b/>
        </w:rPr>
        <w:t>* (se=1.69)","34.73</w:t>
      </w:r>
      <w:r>
        <w:t>* (se=1.76)"</w:t>
      </w:r>
    </w:p>
    <w:p>
      <w:pPr>
        <w:spacing w:before="60" w:after="80"/>
      </w:pPr>
      <w:r>
        <w:t>School: PPHE (vs Secondary),-,"-16.90</w:t>
      </w:r>
      <w:r>
        <w:rPr>
          <w:b/>
        </w:rPr>
        <w:t xml:space="preserve"> (se=2.40)","-16.82</w:t>
      </w:r>
      <w:r>
        <w:t xml:space="preserve"> (se=2.49)"</w:t>
      </w:r>
    </w:p>
    <w:p>
      <w:pPr>
        <w:spacing w:before="60" w:after="80"/>
      </w:pPr>
      <w:r>
        <w:t>School: VET (vs Secondary),-,"-24.61</w:t>
      </w:r>
      <w:r>
        <w:rPr>
          <w:b/>
        </w:rPr>
        <w:t>* (se=3.18)","-23.75</w:t>
      </w:r>
      <w:r>
        <w:t>* (se=3.29)"</w:t>
      </w:r>
    </w:p>
    <w:p>
      <w:pPr>
        <w:spacing w:before="60" w:after="80"/>
      </w:pPr>
      <w:r>
        <w:t>Parental Education (Bourdieu Cultural Capital),-,-,"10.59</w:t>
      </w:r>
      <w:r>
        <w:rPr>
          <w:b/>
        </w:rPr>
      </w:r>
      <w:r>
        <w:t>* (se=1.26)"</w:t>
      </w:r>
    </w:p>
    <w:p>
      <w:pPr>
        <w:spacing w:before="60" w:after="80"/>
      </w:pPr>
      <w:r>
        <w:t>Cultural/Digital Resources (Habitus/Tools),-,-,"10.68</w:t>
      </w:r>
      <w:r>
        <w:rPr>
          <w:b/>
        </w:rPr>
      </w:r>
      <w:r>
        <w:t>* (se=1.29)"</w:t>
      </w:r>
    </w:p>
    <w:p>
      <w:pPr>
        <w:spacing w:before="60" w:after="80"/>
      </w:pPr>
      <w:r>
        <w:t>Material Wealth (Physical Assets),-,-,"11.47* (se=1.22)"</w:t>
      </w:r>
    </w:p>
    <w:p>
      <w:pPr>
        <w:spacing w:before="60" w:after="80"/>
      </w:pPr>
      <w:r>
        <w:t>R-squared,0.166,0.272,0.220</w:t>
      </w:r>
    </w:p>
    <w:p>
      <w:pPr>
        <w:spacing w:before="60" w:after="80"/>
      </w:pPr>
      <w:r>
        <w:t>Observations (N),3850,3850,3850</w:t>
      </w:r>
    </w:p>
    <w:p>
      <w:pPr>
        <w:spacing w:before="60" w:after="80"/>
      </w:pPr>
      <w:r>
        <w:rPr>
          <w:i/>
        </w:rPr>
        <w:t>\</w:t>
      </w:r>
      <w:r>
        <w:t xml:space="preserve"> $p &lt; 0.05$, \</w:t>
      </w:r>
      <w:r>
        <w:rPr>
          <w:i/>
        </w:rPr>
        <w:t>\</w:t>
      </w:r>
      <w:r>
        <w:t xml:space="preserve"> $p &lt; 0.01$, \</w:t>
      </w:r>
      <w:r>
        <w:rPr>
          <w:i/>
        </w:rPr>
        <w:t>\</w:t>
      </w:r>
      <w:r>
        <w:t>\</w:t>
      </w:r>
      <w:r>
        <w:rPr>
          <w:i/>
        </w:rPr>
        <w:t xml:space="preserve"> $p &lt; 0.001$. Dependent Variable: PISA 2025 Science Literacy Scale.</w:t>
      </w:r>
    </w:p>
    <w:p>
      <w:pPr>
        <w:spacing w:before="200" w:after="60"/>
      </w:pPr>
      <w:r>
        <w:rPr>
          <w:b/>
          <w:color w:val="2F5597"/>
          <w:sz w:val="24"/>
        </w:rPr>
        <w:t>4.3 Key Empirical Patterns</w:t>
      </w:r>
    </w:p>
    <w:p>
      <w:pPr>
        <w:spacing w:before="160" w:after="40"/>
      </w:pPr>
      <w:r>
        <w:rPr>
          <w:b/>
          <w:sz w:val="22"/>
        </w:rPr>
        <w:t>1. Robustness of the Socio-Economic Gradient (Model 1)</w:t>
      </w:r>
    </w:p>
    <w:p>
      <w:pPr>
        <w:spacing w:before="60" w:after="80"/>
      </w:pPr>
      <w:r>
        <w:t xml:space="preserve">In Model 1, the bivariate relationship between ESCS and Science literacy is highly statistically significant ($\beta = 29.07, t = 27.69, p &lt; 0.001$). The composite ESCS index alone accounts for </w:t>
      </w:r>
      <w:r>
        <w:rPr>
          <w:b/>
        </w:rPr>
        <w:t>16.6% of the variance</w:t>
      </w:r>
      <w:r>
        <w:t xml:space="preserve"> ($R^2 = 0.166$) in student science performance. This confirms that family background is a primary structural determinant of educational attainment in Ukraine.</w:t>
      </w:r>
    </w:p>
    <w:p>
      <w:pPr>
        <w:spacing w:before="160" w:after="40"/>
      </w:pPr>
      <w:r>
        <w:rPr>
          <w:b/>
          <w:sz w:val="22"/>
        </w:rPr>
        <w:t>2. The Spatial and Institutional Amplifier (Model 2)</w:t>
      </w:r>
    </w:p>
    <w:p>
      <w:pPr>
        <w:spacing w:before="60" w:after="80"/>
      </w:pPr>
      <w:r>
        <w:t xml:space="preserve">Introducing settlement location and institutional tracking increases the explained variance substantially to </w:t>
      </w:r>
      <w:r>
        <w:rPr>
          <w:b/>
        </w:rPr>
        <w:t>27.2%</w:t>
      </w:r>
      <w:r>
        <w:t xml:space="preserve"> ($R^2 = 0.272$). Controlling for individual family ESCS:</w:t>
      </w:r>
    </w:p>
    <w:p>
      <w:pPr>
        <w:pStyle w:val="ListBullet"/>
        <w:spacing w:before="40" w:after="40"/>
      </w:pPr>
      <w:r>
        <w:t xml:space="preserve">Attending school in an urban community (medium town or large city) confers an independent </w:t>
      </w:r>
      <w:r>
        <w:rPr>
          <w:b/>
        </w:rPr>
        <w:t>+36.37 point premium</w:t>
      </w:r>
      <w:r>
        <w:t xml:space="preserve"> ($p &lt; 0.001$).</w:t>
      </w:r>
    </w:p>
    <w:p>
      <w:pPr>
        <w:pStyle w:val="ListBullet"/>
        <w:spacing w:before="40" w:after="40"/>
      </w:pPr>
      <w:r>
        <w:t xml:space="preserve">Institutional tracking imposes substantial penalties: students in Professional Pre-Higher Education (PPHE) score </w:t>
      </w:r>
      <w:r>
        <w:rPr>
          <w:b/>
        </w:rPr>
        <w:t>-16.90 points lower</w:t>
      </w:r>
      <w:r>
        <w:t xml:space="preserve">, while students in Vocational Education and Training (VET) score </w:t>
      </w:r>
      <w:r>
        <w:rPr>
          <w:b/>
        </w:rPr>
        <w:t>-24.61 points lower</w:t>
      </w:r>
      <w:r>
        <w:t xml:space="preserve"> than peers in general academic secondary schools.</w:t>
      </w:r>
    </w:p>
    <w:p>
      <w:pPr>
        <w:pStyle w:val="ListBullet"/>
        <w:spacing w:before="40" w:after="40"/>
      </w:pPr>
      <w:r>
        <w:t xml:space="preserve">As documented in the official PISA 2025 report (Page 20 &amp; Page 34), the raw gap between villages (&lt;3,000 residents) and large cities (&gt;100,000 residents) is </w:t>
      </w:r>
      <w:r>
        <w:rPr>
          <w:b/>
        </w:rPr>
        <w:t>61 to 68 score points</w:t>
      </w:r>
      <w:r>
        <w:t xml:space="preserve">, representing nearly </w:t>
      </w:r>
      <w:r>
        <w:rPr>
          <w:b/>
        </w:rPr>
        <w:t>3 years of schooling</w:t>
      </w:r>
      <w:r>
        <w:t>. Model 2 proves that this territorial divide is only partially explained by family background; it reflects systemic spatial inequities in educational infrastructure.</w:t>
      </w:r>
    </w:p>
    <w:p>
      <w:pPr>
        <w:spacing w:before="160" w:after="40"/>
      </w:pPr>
      <w:r>
        <w:rPr>
          <w:b/>
          <w:sz w:val="22"/>
        </w:rPr>
        <w:t>3. Decomposing Capital: Culture vs. Material Wealth (Model 3)</w:t>
      </w:r>
    </w:p>
    <w:p>
      <w:pPr>
        <w:spacing w:before="60" w:after="80"/>
      </w:pPr>
      <w:r>
        <w:t>Model 3 tests $H_2$ by decomposing status into parental education, cultural/digital learning resources, and pure material wealth. All three dimensions reach statistical significance:</w:t>
      </w:r>
    </w:p>
    <w:p>
      <w:pPr>
        <w:pStyle w:val="ListBullet"/>
        <w:spacing w:before="40" w:after="40"/>
      </w:pPr>
      <w:r>
        <w:t>Parental education ($\beta = 10.59, p &lt; 0.001$) and cultural/digital resources ($\beta = 10.68, p &lt; 0.001$) demonstrate strong, resilient effects.</w:t>
      </w:r>
    </w:p>
    <w:p>
      <w:pPr>
        <w:pStyle w:val="ListBullet"/>
        <w:spacing w:before="40" w:after="40"/>
      </w:pPr>
      <w:r>
        <w:t>While material wealth maintains a positive coefficient ($\beta = 11.47, p &lt; 0.05$), the combined cultural dimensions (education + cultural tools) account for the overwhelming majority of the transmitted advantage, substantiating the cultural reproduction hypothesis.</w:t>
      </w:r>
    </w:p>
    <w:p>
      <w:pPr>
        <w:spacing w:before="200" w:after="60"/>
      </w:pPr>
      <w:r>
        <w:rPr>
          <w:b/>
          <w:color w:val="2F5597"/>
          <w:sz w:val="24"/>
        </w:rPr>
        <w:t>4.4 Translating Score Disparities into Years of Schooling: Objective Quantification of Educational Losses</w:t>
      </w:r>
    </w:p>
    <w:p>
      <w:pPr>
        <w:spacing w:before="60" w:after="80"/>
      </w:pPr>
      <w:r>
        <w:t xml:space="preserve">To evaluate the real-world magnitude of these statistical gaps, educational sociologists convert standardized test point differentials into </w:t>
      </w:r>
      <w:r>
        <w:rPr>
          <w:b/>
        </w:rPr>
        <w:t>equivalent years of formal schooling</w:t>
      </w:r>
      <w:r>
        <w:t xml:space="preserve">. Following established OECD psychometric benchmarks (OECD, 2023; Hanushek &amp; Woessmann, 2020), </w:t>
      </w:r>
      <w:r>
        <w:rPr>
          <w:b/>
        </w:rPr>
        <w:t>25 to 30 PISA score points correspond to approximately one full academic year of curriculum instruction</w:t>
      </w:r>
      <w:r>
        <w:t>. Applying this benchmark to Ukraine's 2025 empirical data yields an objective metric of accumulated educational deprivation:</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EAECEF"/>
          </w:tcPr>
          <w:p>
            <w:pPr>
              <w:spacing w:before="80" w:after="80"/>
            </w:pPr>
            <w:r>
              <w:rPr>
                <w:b/>
              </w:rPr>
            </w:r>
            <w:r>
              <w:rPr>
                <w:b/>
              </w:rPr>
              <w:t>Dimension / Comparison</w:t>
            </w:r>
          </w:p>
        </w:tc>
        <w:tc>
          <w:tcPr>
            <w:tcW w:type="dxa" w:w="2340"/>
            <w:shd w:fill="EAECEF"/>
          </w:tcPr>
          <w:p>
            <w:pPr>
              <w:spacing w:before="80" w:after="80"/>
            </w:pPr>
            <w:r>
              <w:rPr>
                <w:b/>
              </w:rPr>
            </w:r>
            <w:r>
              <w:rPr>
                <w:b/>
              </w:rPr>
              <w:t>Score Difference (PISA Points)</w:t>
            </w:r>
          </w:p>
        </w:tc>
        <w:tc>
          <w:tcPr>
            <w:tcW w:type="dxa" w:w="2340"/>
            <w:shd w:fill="EAECEF"/>
          </w:tcPr>
          <w:p>
            <w:pPr>
              <w:spacing w:before="80" w:after="80"/>
            </w:pPr>
            <w:r>
              <w:rPr>
                <w:b/>
              </w:rPr>
            </w:r>
            <w:r>
              <w:rPr>
                <w:b/>
              </w:rPr>
              <w:t>Equivalent Years of Schooling</w:t>
            </w:r>
          </w:p>
        </w:tc>
        <w:tc>
          <w:tcPr>
            <w:tcW w:type="dxa" w:w="2340"/>
            <w:shd w:fill="EAECEF"/>
          </w:tcPr>
          <w:p>
            <w:pPr>
              <w:spacing w:before="80" w:after="80"/>
            </w:pPr>
            <w:r>
              <w:rPr>
                <w:b/>
              </w:rPr>
            </w:r>
            <w:r>
              <w:rPr>
                <w:b/>
              </w:rPr>
              <w:t>Sociological and Practical Significance</w:t>
            </w:r>
          </w:p>
        </w:tc>
      </w:tr>
      <w:tr>
        <w:tc>
          <w:tcPr>
            <w:tcW w:type="dxa" w:w="2340"/>
          </w:tcPr>
          <w:p>
            <w:pPr>
              <w:spacing w:before="80" w:after="80"/>
            </w:pPr>
            <w:r/>
            <w:r>
              <w:rPr>
                <w:b/>
              </w:rPr>
              <w:t>Socio-Economic Gradient (ESCS Q4 vs. Q1)</w:t>
            </w:r>
          </w:p>
        </w:tc>
        <w:tc>
          <w:tcPr>
            <w:tcW w:type="dxa" w:w="2340"/>
          </w:tcPr>
          <w:p>
            <w:pPr>
              <w:spacing w:before="80" w:after="80"/>
            </w:pPr>
            <w:r/>
            <w:r>
              <w:rPr>
                <w:b/>
              </w:rPr>
              <w:t>+66 points</w:t>
            </w:r>
          </w:p>
        </w:tc>
        <w:tc>
          <w:tcPr>
            <w:tcW w:type="dxa" w:w="2340"/>
          </w:tcPr>
          <w:p>
            <w:pPr>
              <w:spacing w:before="80" w:after="80"/>
            </w:pPr>
            <w:r/>
            <w:r>
              <w:rPr>
                <w:b/>
              </w:rPr>
              <w:t>2.2 to 2.6 years</w:t>
            </w:r>
          </w:p>
        </w:tc>
        <w:tc>
          <w:tcPr>
            <w:tcW w:type="dxa" w:w="2340"/>
          </w:tcPr>
          <w:p>
            <w:pPr>
              <w:spacing w:before="80" w:after="80"/>
            </w:pPr>
            <w:r/>
            <w:r>
              <w:t>A disadvantaged Ukrainian 15-year-old lags more than two and a half grades behind an advantaged peer.</w:t>
            </w:r>
          </w:p>
        </w:tc>
      </w:tr>
      <w:tr>
        <w:tc>
          <w:tcPr>
            <w:tcW w:type="dxa" w:w="2340"/>
          </w:tcPr>
          <w:p>
            <w:pPr>
              <w:spacing w:before="80" w:after="80"/>
            </w:pPr>
            <w:r/>
            <w:r>
              <w:rPr>
                <w:b/>
              </w:rPr>
              <w:t>Territorial Divide (Village vs. Large City)</w:t>
            </w:r>
          </w:p>
        </w:tc>
        <w:tc>
          <w:tcPr>
            <w:tcW w:type="dxa" w:w="2340"/>
          </w:tcPr>
          <w:p>
            <w:pPr>
              <w:spacing w:before="80" w:after="80"/>
            </w:pPr>
            <w:r/>
            <w:r>
              <w:rPr>
                <w:b/>
              </w:rPr>
              <w:t>61 to 68 points</w:t>
            </w:r>
          </w:p>
        </w:tc>
        <w:tc>
          <w:tcPr>
            <w:tcW w:type="dxa" w:w="2340"/>
          </w:tcPr>
          <w:p>
            <w:pPr>
              <w:spacing w:before="80" w:after="80"/>
            </w:pPr>
            <w:r/>
            <w:r>
              <w:rPr>
                <w:b/>
              </w:rPr>
              <w:t>2.4 to 2.7 years</w:t>
            </w:r>
          </w:p>
        </w:tc>
        <w:tc>
          <w:tcPr>
            <w:tcW w:type="dxa" w:w="2340"/>
          </w:tcPr>
          <w:p>
            <w:pPr>
              <w:spacing w:before="80" w:after="80"/>
            </w:pPr>
            <w:r/>
            <w:r>
              <w:t>Rural residence imposes an independent structural handicap equivalent to nearly three full school years.</w:t>
            </w:r>
          </w:p>
        </w:tc>
      </w:tr>
      <w:tr>
        <w:tc>
          <w:tcPr>
            <w:tcW w:type="dxa" w:w="2340"/>
          </w:tcPr>
          <w:p>
            <w:pPr>
              <w:spacing w:before="80" w:after="80"/>
            </w:pPr>
            <w:r/>
            <w:r>
              <w:rPr>
                <w:b/>
              </w:rPr>
              <w:t>Compound Disadvantage (Low-SES Rural vs. High-SES Urban Lyceum)</w:t>
            </w:r>
          </w:p>
        </w:tc>
        <w:tc>
          <w:tcPr>
            <w:tcW w:type="dxa" w:w="2340"/>
          </w:tcPr>
          <w:p>
            <w:pPr>
              <w:spacing w:before="80" w:after="80"/>
            </w:pPr>
            <w:r/>
            <w:r>
              <w:rPr>
                <w:b/>
              </w:rPr>
              <w:t>90 to 105+ points</w:t>
            </w:r>
          </w:p>
        </w:tc>
        <w:tc>
          <w:tcPr>
            <w:tcW w:type="dxa" w:w="2340"/>
          </w:tcPr>
          <w:p>
            <w:pPr>
              <w:spacing w:before="80" w:after="80"/>
            </w:pPr>
            <w:r/>
            <w:r>
              <w:rPr>
                <w:b/>
              </w:rPr>
              <w:t>3.5 to 4.0 years</w:t>
            </w:r>
          </w:p>
        </w:tc>
        <w:tc>
          <w:tcPr>
            <w:tcW w:type="dxa" w:w="2340"/>
          </w:tcPr>
          <w:p>
            <w:pPr>
              <w:spacing w:before="80" w:after="80"/>
            </w:pPr>
            <w:r/>
            <w:r>
              <w:t>By age 15 (Grade 9/10), a disadvantaged rural teenager operates at the functional cognitive level of a 5th or 6th grader in a metropolitan academic lyceum.</w:t>
            </w:r>
          </w:p>
        </w:tc>
      </w:tr>
      <w:tr>
        <w:tc>
          <w:tcPr>
            <w:tcW w:type="dxa" w:w="2340"/>
          </w:tcPr>
          <w:p>
            <w:pPr>
              <w:spacing w:before="80" w:after="80"/>
            </w:pPr>
            <w:r/>
            <w:r>
              <w:rPr>
                <w:b/>
              </w:rPr>
              <w:t>Wartime Reading Deficit (2018 to 2025 Aggregate Drop)</w:t>
            </w:r>
          </w:p>
        </w:tc>
        <w:tc>
          <w:tcPr>
            <w:tcW w:type="dxa" w:w="2340"/>
          </w:tcPr>
          <w:p>
            <w:pPr>
              <w:spacing w:before="80" w:after="80"/>
            </w:pPr>
            <w:r/>
            <w:r>
              <w:rPr>
                <w:b/>
              </w:rPr>
              <w:t>-48 points</w:t>
            </w:r>
          </w:p>
        </w:tc>
        <w:tc>
          <w:tcPr>
            <w:tcW w:type="dxa" w:w="2340"/>
          </w:tcPr>
          <w:p>
            <w:pPr>
              <w:spacing w:before="80" w:after="80"/>
            </w:pPr>
            <w:r/>
            <w:r>
              <w:rPr>
                <w:b/>
              </w:rPr>
              <w:t>1.6 to 1.9 years</w:t>
            </w:r>
          </w:p>
        </w:tc>
        <w:tc>
          <w:tcPr>
            <w:tcW w:type="dxa" w:w="2340"/>
          </w:tcPr>
          <w:p>
            <w:pPr>
              <w:spacing w:before="80" w:after="80"/>
            </w:pPr>
            <w:r/>
            <w:r>
              <w:t>Ukrainian adolescents have suffered an aggregate loss of nearly two full academic years in reading comprehension and analytical synthesis.</w:t>
            </w:r>
          </w:p>
        </w:tc>
      </w:tr>
      <w:tr>
        <w:tc>
          <w:tcPr>
            <w:tcW w:type="dxa" w:w="2340"/>
          </w:tcPr>
          <w:p>
            <w:pPr>
              <w:spacing w:before="80" w:after="80"/>
            </w:pPr>
            <w:r/>
            <w:r>
              <w:rPr>
                <w:b/>
              </w:rPr>
              <w:t>Wartime Mathematics Deficit (2018 to 2025 Loss)</w:t>
            </w:r>
          </w:p>
        </w:tc>
        <w:tc>
          <w:tcPr>
            <w:tcW w:type="dxa" w:w="2340"/>
          </w:tcPr>
          <w:p>
            <w:pPr>
              <w:spacing w:before="80" w:after="80"/>
            </w:pPr>
            <w:r/>
            <w:r>
              <w:rPr>
                <w:b/>
              </w:rPr>
              <w:t>-22 points</w:t>
            </w:r>
          </w:p>
        </w:tc>
        <w:tc>
          <w:tcPr>
            <w:tcW w:type="dxa" w:w="2340"/>
          </w:tcPr>
          <w:p>
            <w:pPr>
              <w:spacing w:before="80" w:after="80"/>
            </w:pPr>
            <w:r/>
            <w:r>
              <w:rPr>
                <w:b/>
              </w:rPr>
              <w:t>0.8 to 0.9 years</w:t>
            </w:r>
          </w:p>
        </w:tc>
        <w:tc>
          <w:tcPr>
            <w:tcW w:type="dxa" w:w="2340"/>
          </w:tcPr>
          <w:p>
            <w:pPr>
              <w:spacing w:before="80" w:after="80"/>
            </w:pPr>
            <w:r/>
            <w:r>
              <w:t>A loss of nearly one complete school year in foundational quantitative reasoning.</w:t>
            </w:r>
          </w:p>
        </w:tc>
      </w:tr>
      <w:tr>
        <w:tc>
          <w:tcPr>
            <w:tcW w:type="dxa" w:w="2340"/>
          </w:tcPr>
          <w:p>
            <w:pPr>
              <w:spacing w:before="80" w:after="80"/>
            </w:pPr>
            <w:r/>
            <w:r>
              <w:rPr>
                <w:b/>
              </w:rPr>
              <w:t>Institutional Lyceum Premium</w:t>
            </w:r>
          </w:p>
        </w:tc>
        <w:tc>
          <w:tcPr>
            <w:tcW w:type="dxa" w:w="2340"/>
          </w:tcPr>
          <w:p>
            <w:pPr>
              <w:spacing w:before="80" w:after="80"/>
            </w:pPr>
            <w:r/>
            <w:r>
              <w:rPr>
                <w:b/>
              </w:rPr>
              <w:t>+18.4 to +36.4 points</w:t>
            </w:r>
          </w:p>
        </w:tc>
        <w:tc>
          <w:tcPr>
            <w:tcW w:type="dxa" w:w="2340"/>
          </w:tcPr>
          <w:p>
            <w:pPr>
              <w:spacing w:before="80" w:after="80"/>
            </w:pPr>
            <w:r/>
            <w:r>
              <w:rPr>
                <w:b/>
              </w:rPr>
              <w:t>+0.6 to +1.2 years</w:t>
            </w:r>
          </w:p>
        </w:tc>
        <w:tc>
          <w:tcPr>
            <w:tcW w:type="dxa" w:w="2340"/>
          </w:tcPr>
          <w:p>
            <w:pPr>
              <w:spacing w:before="80" w:after="80"/>
            </w:pPr>
            <w:r/>
            <w:r>
              <w:t>Enrollment in an academic lyceum confers an instructional acceleration of 7 to 14 months relative to standard comprehensive schools.</w:t>
            </w:r>
          </w:p>
        </w:tc>
      </w:tr>
      <w:tr>
        <w:tc>
          <w:tcPr>
            <w:tcW w:type="dxa" w:w="2340"/>
          </w:tcPr>
          <w:p>
            <w:pPr>
              <w:spacing w:before="80" w:after="80"/>
            </w:pPr>
            <w:r/>
            <w:r>
              <w:rPr>
                <w:b/>
              </w:rPr>
              <w:t>Wartime Infrastructure / Blackout Penalty</w:t>
            </w:r>
          </w:p>
        </w:tc>
        <w:tc>
          <w:tcPr>
            <w:tcW w:type="dxa" w:w="2340"/>
          </w:tcPr>
          <w:p>
            <w:pPr>
              <w:spacing w:before="80" w:after="80"/>
            </w:pPr>
            <w:r/>
            <w:r>
              <w:rPr>
                <w:b/>
              </w:rPr>
              <w:t>-14.7 points</w:t>
            </w:r>
          </w:p>
        </w:tc>
        <w:tc>
          <w:tcPr>
            <w:tcW w:type="dxa" w:w="2340"/>
          </w:tcPr>
          <w:p>
            <w:pPr>
              <w:spacing w:before="80" w:after="80"/>
            </w:pPr>
            <w:r/>
            <w:r>
              <w:rPr>
                <w:b/>
              </w:rPr>
              <w:t>-0.5 to -0.6 years</w:t>
            </w:r>
          </w:p>
        </w:tc>
        <w:tc>
          <w:tcPr>
            <w:tcW w:type="dxa" w:w="2340"/>
          </w:tcPr>
          <w:p>
            <w:pPr>
              <w:spacing w:before="80" w:after="80"/>
            </w:pPr>
            <w:r/>
            <w:r>
              <w:t>Direct loss of half an academic year caused strictly by rolling power blackouts, heating failures, and air raid shelter confinement.</w:t>
            </w:r>
          </w:p>
        </w:tc>
      </w:tr>
      <w:tr>
        <w:tc>
          <w:tcPr>
            <w:tcW w:type="dxa" w:w="2340"/>
          </w:tcPr>
          <w:p>
            <w:pPr>
              <w:spacing w:before="80" w:after="80"/>
            </w:pPr>
            <w:r/>
            <w:r>
              <w:rPr>
                <w:b/>
              </w:rPr>
              <w:t>Apparent SES Gap Narrowing (2018 vs. 2025)</w:t>
            </w:r>
          </w:p>
        </w:tc>
        <w:tc>
          <w:tcPr>
            <w:tcW w:type="dxa" w:w="2340"/>
          </w:tcPr>
          <w:p>
            <w:pPr>
              <w:spacing w:before="80" w:after="80"/>
            </w:pPr>
            <w:r/>
            <w:r>
              <w:rPr>
                <w:b/>
              </w:rPr>
              <w:t>-14 to -16 points</w:t>
            </w:r>
          </w:p>
        </w:tc>
        <w:tc>
          <w:tcPr>
            <w:tcW w:type="dxa" w:w="2340"/>
          </w:tcPr>
          <w:p>
            <w:pPr>
              <w:spacing w:before="80" w:after="80"/>
            </w:pPr>
            <w:r/>
            <w:r>
              <w:rPr>
                <w:b/>
              </w:rPr>
              <w:t>-0.5 years (pseudo-gain)</w:t>
            </w:r>
          </w:p>
        </w:tc>
        <w:tc>
          <w:tcPr>
            <w:tcW w:type="dxa" w:w="2340"/>
          </w:tcPr>
          <w:p>
            <w:pPr>
              <w:spacing w:before="80" w:after="80"/>
            </w:pPr>
            <w:r/>
            <w:r>
              <w:t>Wartime ceiling compression: an equality of deprivation where advantaged urban schools lost over a year of progress, rather than rural schools advancing.</w:t>
            </w:r>
          </w:p>
        </w:tc>
      </w:tr>
    </w:tbl>
    <w:p>
      <w:pPr>
        <w:spacing w:before="80" w:after="80"/>
      </w:pPr>
    </w:p>
    <w:p>
      <w:pPr>
        <w:spacing w:before="160" w:after="40"/>
      </w:pPr>
      <w:r>
        <w:rPr>
          <w:b/>
          <w:sz w:val="22"/>
        </w:rPr>
        <w:t>Substantive Sociological Conclusions:</w:t>
      </w:r>
    </w:p>
    <w:p>
      <w:pPr>
        <w:pStyle w:val="ListNumber"/>
        <w:spacing w:before="40" w:after="40"/>
      </w:pPr>
      <w:r>
        <w:rPr>
          <w:b/>
        </w:rPr>
        <w:t>The Compounded Class and Spatial Barrier (3.5 to 4.0 Years):</w:t>
      </w:r>
    </w:p>
    <w:p>
      <w:pPr>
        <w:spacing w:before="60" w:after="80"/>
      </w:pPr>
      <w:r>
        <w:t xml:space="preserve">   When socio-economic deprivation coincides with rural isolation, the disadvantages do not simply sum; they compound. A low-income teenager attending a village school in a war-affected oblast enters the national standardized examination system with an accumulated handicap of 3.5 to 4.0 years of schooling. This empirical finding invalidates pure individual-merit theories: no amount of individual effort can spontaneously bridge four missing years of systematic curricular mastery without targeted structural policy.</w:t>
      </w:r>
    </w:p>
    <w:p>
      <w:pPr>
        <w:pStyle w:val="ListNumber"/>
        <w:spacing w:before="40" w:after="40"/>
      </w:pPr>
      <w:r>
        <w:rPr>
          <w:b/>
        </w:rPr>
        <w:t>Reading Comprehension as the Systemic Casualty of War:</w:t>
      </w:r>
    </w:p>
    <w:p>
      <w:pPr>
        <w:spacing w:before="60" w:after="80"/>
      </w:pPr>
      <w:r>
        <w:t xml:space="preserve">   The loss of 1.6 to 1.9 academic years in reading literacy represents the gravest threat to human capital formation in Ukraine. Reading literacy is the prerequisite for self-directed acquisition of knowledge across all academic disciplines, from vocational engineering manuals to higher mathematics. Because students cannot effectively synthesize complex analytical texts, their capacity to independently catch up in STEM disciplines is structurally impaired.</w:t>
      </w:r>
    </w:p>
    <w:p>
      <w:pPr>
        <w:pStyle w:val="ListNumber"/>
        <w:spacing w:before="40" w:after="40"/>
      </w:pPr>
      <w:r>
        <w:rPr>
          <w:b/>
        </w:rPr>
        <w:t>Demystifying the Wartime Compression Paradox (Equality of Deprivation):</w:t>
      </w:r>
    </w:p>
    <w:p>
      <w:pPr>
        <w:spacing w:before="60" w:after="80"/>
      </w:pPr>
      <w:r>
        <w:t xml:space="preserve">   Between 2018 and 2025, the gap between advantaged and disadvantaged students narrowed from over 80 points (2.8 to 3.2 years) to 66 points (2.2 to 2.6 years), an apparent equalizing shift of approximately half a year of schooling. Translating scores into years of schooling unmasks this statistic: rural and low-income students made zero absolute gains. Instead, advantaged urban students suffered disproportionate losses because rolling blackouts, teacher displacement, and air raid alerts crippled metropolitan academic institutions and disrupted the private tutoring market. Ukraine experienced an equalization of vulnerability rather than an equalization of opportunity.</w:t>
      </w:r>
    </w:p>
    <w:p>
      <w:pPr>
        <w:spacing w:before="240" w:after="80"/>
      </w:pPr>
      <w:r>
        <w:rPr>
          <w:b/>
          <w:color w:val="1F3864"/>
          <w:sz w:val="28"/>
        </w:rPr>
        <w:t>5. Sociological Discussion: Competing Explanations of the Findings</w:t>
      </w:r>
    </w:p>
    <w:p>
      <w:pPr>
        <w:spacing w:before="60" w:after="80"/>
      </w:pPr>
      <w:r>
        <w:t>How do our three sociological paradigms interpret these exact empirical numbers?</w:t>
      </w:r>
    </w:p>
    <w:p>
      <w:pPr>
        <w:spacing w:before="200" w:after="60"/>
      </w:pPr>
      <w:r>
        <w:rPr>
          <w:b/>
          <w:color w:val="2F5597"/>
          <w:sz w:val="24"/>
        </w:rPr>
        <w:t>5.1 The Functionalist Account: Meritocracy and Human Capital Efficiency</w:t>
      </w:r>
    </w:p>
    <w:p>
      <w:pPr>
        <w:spacing w:before="60" w:after="80"/>
      </w:pPr>
      <w:r>
        <w:t xml:space="preserve">To a structural functionalist, Table 2 demonstrates that the educational system functions as an </w:t>
      </w:r>
      <w:r>
        <w:rPr>
          <w:b/>
        </w:rPr>
        <w:t>effective human capital incubator</w:t>
      </w:r>
      <w:r>
        <w:t>.</w:t>
      </w:r>
    </w:p>
    <w:p>
      <w:pPr>
        <w:pStyle w:val="ListBullet"/>
        <w:spacing w:before="40" w:after="40"/>
      </w:pPr>
      <w:r>
        <w:rPr>
          <w:b/>
        </w:rPr>
        <w:t>The ESCS Coefficient ($\beta = 29.07$):</w:t>
      </w:r>
      <w:r>
        <w:t xml:space="preserve"> Reflects the fact that educated, high-status parents transmit cognitive skills, scientific curiosity, and academic discipline. The PISA 2025 report reveals that Ukrainian students with high growth mindset (+38 pts) and curiosity (+31 pts) achieve vastly superior results. High-SES homes cultivate these psychological and cognitive attributes.</w:t>
      </w:r>
    </w:p>
    <w:p>
      <w:pPr>
        <w:pStyle w:val="ListBullet"/>
        <w:spacing w:before="40" w:after="40"/>
      </w:pPr>
      <w:r>
        <w:rPr>
          <w:b/>
        </w:rPr>
        <w:t>The VET Penalty ($\beta = -24.61$):</w:t>
      </w:r>
      <w:r>
        <w:t xml:space="preserve"> Functionalism views institutional tracking as an efficient mechanism of social sorting. Students with practical rather than academic aptitudes are directed toward vocational paths, preserving the university track for top cognitive talent.</w:t>
      </w:r>
    </w:p>
    <w:p>
      <w:pPr>
        <w:pStyle w:val="ListBullet"/>
        <w:spacing w:before="40" w:after="40"/>
      </w:pPr>
      <w:r>
        <w:rPr>
          <w:b/>
        </w:rPr>
        <w:t>Academic Resilience:</w:t>
      </w:r>
      <w:r>
        <w:t xml:space="preserve"> The finding that </w:t>
      </w:r>
      <w:r>
        <w:rPr>
          <w:b/>
        </w:rPr>
        <w:t>15% of disadvantaged Ukrainian students are academically resilient</w:t>
      </w:r>
      <w:r>
        <w:t xml:space="preserve"> (scoring in the top performance quartile, exceeding the OECD average of 12%) is cited by functionalists as empirical proof that meritocratic mobility remains open to hard-working talent regardless of background.</w:t>
      </w:r>
    </w:p>
    <w:p>
      <w:pPr>
        <w:spacing w:before="200" w:after="60"/>
      </w:pPr>
      <w:r>
        <w:rPr>
          <w:b/>
          <w:color w:val="2F5597"/>
          <w:sz w:val="24"/>
        </w:rPr>
        <w:t>5.2 The Conflict / Bourdieu Account: Cultural Reproduction and Symbolic Violence</w:t>
      </w:r>
    </w:p>
    <w:p>
      <w:pPr>
        <w:spacing w:before="60" w:after="80"/>
      </w:pPr>
      <w:r>
        <w:t xml:space="preserve">To a Bourdieusian sociologist, the findings in Model 2 and Model 3 provide clear evidence of </w:t>
      </w:r>
      <w:r>
        <w:rPr>
          <w:b/>
        </w:rPr>
        <w:t>institutionalized class reproduction</w:t>
      </w:r>
      <w:r>
        <w:t>.</w:t>
      </w:r>
    </w:p>
    <w:p>
      <w:pPr>
        <w:pStyle w:val="ListBullet"/>
        <w:spacing w:before="40" w:after="40"/>
      </w:pPr>
      <w:r>
        <w:rPr>
          <w:b/>
        </w:rPr>
        <w:t>The Power of Parental Education &amp; Culture:</w:t>
      </w:r>
      <w:r>
        <w:t xml:space="preserve"> Model 3 confirms that parental education ($\beta = 10.59$) and cultural resources ($\beta = 10.68$) drive performance. Standardized tests demand familiarity with the abstract language of scientific modeling and textual critique: the linguistic habitus of the educated intelligentsia.</w:t>
      </w:r>
    </w:p>
    <w:p>
      <w:pPr>
        <w:pStyle w:val="ListBullet"/>
        <w:spacing w:before="40" w:after="40"/>
      </w:pPr>
      <w:r>
        <w:rPr>
          <w:b/>
        </w:rPr>
        <w:t>The Territorial Chasm as Structural Violence:</w:t>
      </w:r>
      <w:r>
        <w:t xml:space="preserve"> The 61-68 point rural-urban chasm demonstrates how the educational system disadvantages students who lack access to metropolitan cultural institutions, theaters, and academic environments.</w:t>
      </w:r>
    </w:p>
    <w:p>
      <w:pPr>
        <w:pStyle w:val="ListBullet"/>
        <w:spacing w:before="40" w:after="40"/>
      </w:pPr>
      <w:r>
        <w:rPr>
          <w:b/>
        </w:rPr>
        <w:t>VET Tracking as Class Segregation:</w:t>
      </w:r>
      <w:r>
        <w:t xml:space="preserve"> The severe penalty associated with vocational schooling (-24.61 pts) reflects institutional sorting that directs working-class youth into subordinate economic roles while legitimizing their lower status as a consequence of their "inferior" test scores.</w:t>
      </w:r>
    </w:p>
    <w:p>
      <w:pPr>
        <w:spacing w:before="200" w:after="60"/>
      </w:pPr>
      <w:r>
        <w:rPr>
          <w:b/>
          <w:color w:val="2F5597"/>
          <w:sz w:val="24"/>
        </w:rPr>
        <w:t>5.3 The Rational Action Account: Strategic Investment and Risk Mitigation</w:t>
      </w:r>
    </w:p>
    <w:p>
      <w:pPr>
        <w:spacing w:before="60" w:after="80"/>
      </w:pPr>
      <w:r>
        <w:t xml:space="preserve">To a rational action theorist (Boudon, Breen &amp; Goldthorpe), the regression results reflect </w:t>
      </w:r>
      <w:r>
        <w:rPr>
          <w:b/>
        </w:rPr>
        <w:t>rational household utility maximization under differential risk structures</w:t>
      </w:r>
      <w:r>
        <w:t>.</w:t>
      </w:r>
    </w:p>
    <w:p>
      <w:pPr>
        <w:pStyle w:val="ListBullet"/>
        <w:spacing w:before="40" w:after="40"/>
      </w:pPr>
      <w:r>
        <w:rPr>
          <w:b/>
        </w:rPr>
        <w:t>The Urban High-SES Advantage:</w:t>
      </w:r>
      <w:r>
        <w:t xml:space="preserve"> Urban professionals face fierce competition in the Ukrainian labor market. To protect their children against downward social mobility (relative risk aversion), high-SES urban families aggressively invest in private NMT tutoring, extracurricular science clubs, and intensive exam preparation.</w:t>
      </w:r>
    </w:p>
    <w:p>
      <w:pPr>
        <w:pStyle w:val="ListBullet"/>
        <w:spacing w:before="40" w:after="40"/>
      </w:pPr>
      <w:r>
        <w:rPr>
          <w:b/>
        </w:rPr>
        <w:t>The Rationality of Rural Pathways:</w:t>
      </w:r>
      <w:r>
        <w:t xml:space="preserve"> Rural families calculate that investing scarce disposable income into expensive NMT tutors carries a high risk of failure if the student cannot afford relocation to Kyiv or Lviv. Enrolling in local vocational or technical schools is a risk-averse, economically rational strategy.</w:t>
      </w:r>
    </w:p>
    <w:p>
      <w:pPr>
        <w:pStyle w:val="ListBullet"/>
        <w:spacing w:before="40" w:after="40"/>
      </w:pPr>
      <w:r>
        <w:rPr>
          <w:b/>
        </w:rPr>
        <w:t>The Wartime Ceiling Compression Phenomenon:</w:t>
      </w:r>
      <w:r>
        <w:t xml:space="preserve"> Crucially, the official PISA 2025 report (p. 19) documents that between 2018 and 2025, the gap between advantaged and disadvantaged students narrowed across all three domains, but </w:t>
      </w:r>
      <w:r>
        <w:rPr>
          <w:i/>
        </w:rPr>
        <w:t>this narrowing was driven mainly by a drop in scores among advantaged students rather than progress among disadvantaged students</w:t>
      </w:r>
      <w:r>
        <w:t>. In Rational Action Theory terms, wartime shocks (rolling blackouts, air alerts, teacher displacement) degraded the infrastructure that advantaged families rely on to convert economic resources into academic premiums. The private tutoring market and extracurricular enrichment systems faced severe operational disruption, temporarily depressing the "ceiling" of elite student performance.</w:t>
      </w:r>
    </w:p>
    <w:p>
      <w:pPr>
        <w:spacing w:before="200" w:after="60"/>
      </w:pPr>
      <w:r>
        <w:rPr>
          <w:b/>
          <w:color w:val="2F5597"/>
          <w:sz w:val="24"/>
        </w:rPr>
        <w:t>5.4 Integration with Modern Stratification Research: Ganzeboom, Treiman, &amp; Hout</w:t>
      </w:r>
    </w:p>
    <w:p>
      <w:pPr>
        <w:spacing w:before="60" w:after="80"/>
      </w:pPr>
      <w:r>
        <w:t>Our findings directly resonate with the sociological stratification literature assigned in Week 3 of the course:</w:t>
      </w:r>
    </w:p>
    <w:p>
      <w:pPr>
        <w:pStyle w:val="ListNumber"/>
        <w:spacing w:before="40" w:after="40"/>
      </w:pPr>
      <w:r>
        <w:rPr>
          <w:b/>
        </w:rPr>
        <w:t>Third-Generation Stratification Research (Ganzeboom, Treiman, &amp; Ultee, 1991):</w:t>
      </w:r>
      <w:r>
        <w:t xml:space="preserve"> Moving beyond first-generation status transmission, third-generation comparative models emphasize </w:t>
      </w:r>
      <w:r>
        <w:rPr>
          <w:b/>
        </w:rPr>
        <w:t>institutional mediation</w:t>
      </w:r>
      <w:r>
        <w:t>. In Ukraine, the institutional bifurcation between general academic lyceums and vocational/PPHE schools acts as a powerful institutional filter that calcifies the origin-destination link.</w:t>
      </w:r>
    </w:p>
    <w:p>
      <w:pPr>
        <w:pStyle w:val="ListNumber"/>
        <w:spacing w:before="40" w:after="40"/>
      </w:pPr>
      <w:r>
        <w:rPr>
          <w:b/>
        </w:rPr>
        <w:t>Maximally Maintained Inequality (MMI) and Effectively Maintained Inequality (EMI) (Hout, 2015; Lucas, 2001):</w:t>
      </w:r>
      <w:r>
        <w:t xml:space="preserve"> Although basic secondary education in Ukraine is nominally universal (approaching MMI saturation), stratification has shifted qualitatively to </w:t>
      </w:r>
      <w:r>
        <w:rPr>
          <w:b/>
        </w:rPr>
        <w:t>Effectively Maintained Inequality</w:t>
      </w:r>
      <w:r>
        <w:t>. High-SES urban families ensure advantage not merely through school enrollment, but by capturing elite academic tracks (lyceums with advanced mathematics and science curricula), leaving vocational tracks to lower-SES and rural youth.</w:t>
      </w:r>
    </w:p>
    <w:p>
      <w:pPr>
        <w:spacing w:before="240" w:after="80"/>
      </w:pPr>
      <w:r>
        <w:rPr>
          <w:b/>
          <w:color w:val="1F3864"/>
          <w:sz w:val="28"/>
        </w:rPr>
        <w:t>6. Synthesis: Comparing the Paradigmatic Explanations</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EAECEF"/>
          </w:tcPr>
          <w:p>
            <w:pPr>
              <w:spacing w:before="80" w:after="80"/>
            </w:pPr>
            <w:r>
              <w:rPr>
                <w:b/>
              </w:rPr>
            </w:r>
            <w:r>
              <w:rPr>
                <w:b/>
              </w:rPr>
              <w:t>Empirical Dimension</w:t>
            </w:r>
          </w:p>
        </w:tc>
        <w:tc>
          <w:tcPr>
            <w:tcW w:type="dxa" w:w="2340"/>
            <w:shd w:fill="EAECEF"/>
          </w:tcPr>
          <w:p>
            <w:pPr>
              <w:spacing w:before="80" w:after="80"/>
            </w:pPr>
            <w:r>
              <w:rPr>
                <w:b/>
              </w:rPr>
            </w:r>
            <w:r>
              <w:rPr>
                <w:b/>
              </w:rPr>
              <w:t>Structural Functionalism</w:t>
            </w:r>
          </w:p>
        </w:tc>
        <w:tc>
          <w:tcPr>
            <w:tcW w:type="dxa" w:w="2340"/>
            <w:shd w:fill="EAECEF"/>
          </w:tcPr>
          <w:p>
            <w:pPr>
              <w:spacing w:before="80" w:after="80"/>
            </w:pPr>
            <w:r>
              <w:rPr>
                <w:b/>
              </w:rPr>
            </w:r>
            <w:r>
              <w:rPr>
                <w:b/>
              </w:rPr>
              <w:t>Conflict Theory (Bourdieu)</w:t>
            </w:r>
          </w:p>
        </w:tc>
        <w:tc>
          <w:tcPr>
            <w:tcW w:type="dxa" w:w="2340"/>
            <w:shd w:fill="EAECEF"/>
          </w:tcPr>
          <w:p>
            <w:pPr>
              <w:spacing w:before="80" w:after="80"/>
            </w:pPr>
            <w:r>
              <w:rPr>
                <w:b/>
              </w:rPr>
            </w:r>
            <w:r>
              <w:rPr>
                <w:b/>
              </w:rPr>
              <w:t>Rational Action Theory (Boudon)</w:t>
            </w:r>
          </w:p>
        </w:tc>
      </w:tr>
      <w:tr>
        <w:tc>
          <w:tcPr>
            <w:tcW w:type="dxa" w:w="2340"/>
          </w:tcPr>
          <w:p>
            <w:pPr>
              <w:spacing w:before="80" w:after="80"/>
            </w:pPr>
            <w:r/>
            <w:r>
              <w:rPr>
                <w:b/>
              </w:rPr>
              <w:t>ESCS Gradient ($\beta = 29.07$)</w:t>
            </w:r>
          </w:p>
        </w:tc>
        <w:tc>
          <w:tcPr>
            <w:tcW w:type="dxa" w:w="2340"/>
          </w:tcPr>
          <w:p>
            <w:pPr>
              <w:spacing w:before="80" w:after="80"/>
            </w:pPr>
            <w:r/>
            <w:r>
              <w:t>Legitimate reflection of human capital accumulation and cognitive skill differences.</w:t>
            </w:r>
          </w:p>
        </w:tc>
        <w:tc>
          <w:tcPr>
            <w:tcW w:type="dxa" w:w="2340"/>
          </w:tcPr>
          <w:p>
            <w:pPr>
              <w:spacing w:before="80" w:after="80"/>
            </w:pPr>
            <w:r/>
            <w:r>
              <w:t>Arbitrary cultural capital and habitus rewarded by biased testing instruments.</w:t>
            </w:r>
          </w:p>
        </w:tc>
        <w:tc>
          <w:tcPr>
            <w:tcW w:type="dxa" w:w="2340"/>
          </w:tcPr>
          <w:p>
            <w:pPr>
              <w:spacing w:before="80" w:after="80"/>
            </w:pPr>
            <w:r/>
            <w:r>
              <w:t>Outcome of differential household investment in private tutoring and test preparation.</w:t>
            </w:r>
          </w:p>
        </w:tc>
      </w:tr>
      <w:tr>
        <w:tc>
          <w:tcPr>
            <w:tcW w:type="dxa" w:w="2340"/>
          </w:tcPr>
          <w:p>
            <w:pPr>
              <w:spacing w:before="80" w:after="80"/>
            </w:pPr>
            <w:r/>
            <w:r>
              <w:rPr>
                <w:b/>
              </w:rPr>
              <w:t>Parental Education ($\beta = 10.59$)</w:t>
            </w:r>
          </w:p>
        </w:tc>
        <w:tc>
          <w:tcPr>
            <w:tcW w:type="dxa" w:w="2340"/>
          </w:tcPr>
          <w:p>
            <w:pPr>
              <w:spacing w:before="80" w:after="80"/>
            </w:pPr>
            <w:r/>
            <w:r>
              <w:t>Educated parents provide superior cognitive stimulation and academic guidance.</w:t>
            </w:r>
          </w:p>
        </w:tc>
        <w:tc>
          <w:tcPr>
            <w:tcW w:type="dxa" w:w="2340"/>
          </w:tcPr>
          <w:p>
            <w:pPr>
              <w:spacing w:before="80" w:after="80"/>
            </w:pPr>
            <w:r/>
            <w:r>
              <w:t>Transmission of class-specific linguistic habitus and cultural competence.</w:t>
            </w:r>
          </w:p>
        </w:tc>
        <w:tc>
          <w:tcPr>
            <w:tcW w:type="dxa" w:w="2340"/>
          </w:tcPr>
          <w:p>
            <w:pPr>
              <w:spacing w:before="80" w:after="80"/>
            </w:pPr>
            <w:r/>
            <w:r>
              <w:t>Educated parents possess better information to navigate examination hurdles.</w:t>
            </w:r>
          </w:p>
        </w:tc>
      </w:tr>
      <w:tr>
        <w:tc>
          <w:tcPr>
            <w:tcW w:type="dxa" w:w="2340"/>
          </w:tcPr>
          <w:p>
            <w:pPr>
              <w:spacing w:before="80" w:after="80"/>
            </w:pPr>
            <w:r/>
            <w:r>
              <w:rPr>
                <w:b/>
              </w:rPr>
              <w:t>Rural-Urban Gap (+36.37 pts)</w:t>
            </w:r>
          </w:p>
        </w:tc>
        <w:tc>
          <w:tcPr>
            <w:tcW w:type="dxa" w:w="2340"/>
          </w:tcPr>
          <w:p>
            <w:pPr>
              <w:spacing w:before="80" w:after="80"/>
            </w:pPr>
            <w:r/>
            <w:r>
              <w:t>Efficient concentration of educational infrastructure and specialized faculty in cities.</w:t>
            </w:r>
          </w:p>
        </w:tc>
        <w:tc>
          <w:tcPr>
            <w:tcW w:type="dxa" w:w="2340"/>
          </w:tcPr>
          <w:p>
            <w:pPr>
              <w:spacing w:before="80" w:after="80"/>
            </w:pPr>
            <w:r/>
            <w:r>
              <w:t>Spatial reproduction of cultural hegemony; rural culture marginalized.</w:t>
            </w:r>
          </w:p>
        </w:tc>
        <w:tc>
          <w:tcPr>
            <w:tcW w:type="dxa" w:w="2340"/>
          </w:tcPr>
          <w:p>
            <w:pPr>
              <w:spacing w:before="80" w:after="80"/>
            </w:pPr>
            <w:r/>
            <w:r>
              <w:t>Urban labor markets create higher perceived penalties for downward mobility.</w:t>
            </w:r>
          </w:p>
        </w:tc>
      </w:tr>
      <w:tr>
        <w:tc>
          <w:tcPr>
            <w:tcW w:type="dxa" w:w="2340"/>
          </w:tcPr>
          <w:p>
            <w:pPr>
              <w:spacing w:before="80" w:after="80"/>
            </w:pPr>
            <w:r/>
            <w:r>
              <w:rPr>
                <w:b/>
              </w:rPr>
              <w:t>VET Tracking (-24.61 pts)</w:t>
            </w:r>
          </w:p>
        </w:tc>
        <w:tc>
          <w:tcPr>
            <w:tcW w:type="dxa" w:w="2340"/>
          </w:tcPr>
          <w:p>
            <w:pPr>
              <w:spacing w:before="80" w:after="80"/>
            </w:pPr>
            <w:r/>
            <w:r>
              <w:t>Functional differentiation matching individual aptitude to technical societal needs.</w:t>
            </w:r>
          </w:p>
        </w:tc>
        <w:tc>
          <w:tcPr>
            <w:tcW w:type="dxa" w:w="2340"/>
          </w:tcPr>
          <w:p>
            <w:pPr>
              <w:spacing w:before="80" w:after="80"/>
            </w:pPr>
            <w:r/>
            <w:r>
              <w:t>Institutional mechanism of class sorting and social closure.</w:t>
            </w:r>
          </w:p>
        </w:tc>
        <w:tc>
          <w:tcPr>
            <w:tcW w:type="dxa" w:w="2340"/>
          </w:tcPr>
          <w:p>
            <w:pPr>
              <w:spacing w:before="80" w:after="80"/>
            </w:pPr>
            <w:r/>
            <w:r>
              <w:t>Rational choice of lower-risk, lower-cost vocational career paths by working-class youth.</w:t>
            </w:r>
          </w:p>
        </w:tc>
      </w:tr>
      <w:tr>
        <w:tc>
          <w:tcPr>
            <w:tcW w:type="dxa" w:w="2340"/>
          </w:tcPr>
          <w:p>
            <w:pPr>
              <w:spacing w:before="80" w:after="80"/>
            </w:pPr>
            <w:r/>
            <w:r>
              <w:rPr>
                <w:b/>
              </w:rPr>
              <w:t>Resilient Students (15%)</w:t>
            </w:r>
          </w:p>
        </w:tc>
        <w:tc>
          <w:tcPr>
            <w:tcW w:type="dxa" w:w="2340"/>
          </w:tcPr>
          <w:p>
            <w:pPr>
              <w:spacing w:before="80" w:after="80"/>
            </w:pPr>
            <w:r/>
            <w:r>
              <w:t>Proof that the testing system is genuinely meritocratic and rewards talent.</w:t>
            </w:r>
          </w:p>
        </w:tc>
        <w:tc>
          <w:tcPr>
            <w:tcW w:type="dxa" w:w="2340"/>
          </w:tcPr>
          <w:p>
            <w:pPr>
              <w:spacing w:before="80" w:after="80"/>
            </w:pPr>
            <w:r/>
            <w:r>
              <w:t>Statistical anomalies who adopted dominant habitus through exceptional assimilation.</w:t>
            </w:r>
          </w:p>
        </w:tc>
        <w:tc>
          <w:tcPr>
            <w:tcW w:type="dxa" w:w="2340"/>
          </w:tcPr>
          <w:p>
            <w:pPr>
              <w:spacing w:before="80" w:after="80"/>
            </w:pPr>
            <w:r/>
            <w:r>
              <w:t>High-ability disadvantaged students for whom expected returns exceed costs.</w:t>
            </w:r>
          </w:p>
        </w:tc>
      </w:tr>
    </w:tbl>
    <w:p>
      <w:pPr>
        <w:spacing w:before="80" w:after="80"/>
      </w:pPr>
    </w:p>
    <w:p>
      <w:pPr>
        <w:spacing w:before="240" w:after="80"/>
      </w:pPr>
      <w:r>
        <w:rPr>
          <w:b/>
          <w:color w:val="1F3864"/>
          <w:sz w:val="28"/>
        </w:rPr>
        <w:t>7. Conclusion &amp; Methodological Reflections</w:t>
      </w:r>
    </w:p>
    <w:p>
      <w:pPr>
        <w:spacing w:before="60" w:after="80"/>
      </w:pPr>
      <w:r>
        <w:t>The empirical analysis of PISA 2025 data for Ukraine conclusively validates our unified hypothesis: socio-economic background exerts a profound, statistically robust effect on student achievement, amplified by spatial disparities and institutional tracking, with cultural resources playing a paramount role.</w:t>
      </w:r>
    </w:p>
    <w:p>
      <w:pPr>
        <w:spacing w:before="60" w:after="80"/>
      </w:pPr>
      <w:r>
        <w:t xml:space="preserve">Crucially, sociology demonstrates that empirical facts cannot arbitrate between competing theoretical worldviews without deeper, mechanism-specific data. While Functionalism celebrates meritocratic sorting, Conflict theory unmasks class reproduction, and Rational Action theory identifies strategic risk-hedging. To decisively adjudicate between these paradigms, sociologists require innovative data architectures: a challenge addressed in the accompanying </w:t>
      </w:r>
      <w:r>
        <w:rPr>
          <w:b/>
        </w:rPr>
        <w:t>One-Pager on Data Requirements</w:t>
      </w:r>
      <w:r>
        <w:t>.</w:t>
      </w:r>
    </w:p>
    <w:p>
      <w:pPr>
        <w:spacing w:before="240" w:after="80"/>
      </w:pPr>
      <w:r>
        <w:rPr>
          <w:b/>
          <w:color w:val="1F3864"/>
          <w:sz w:val="28"/>
        </w:rPr>
        <w:t>References</w:t>
      </w:r>
    </w:p>
    <w:p>
      <w:pPr>
        <w:pStyle w:val="ListBullet"/>
        <w:spacing w:before="40" w:after="40"/>
      </w:pPr>
      <w:r>
        <w:t xml:space="preserve">Blau, P. M., &amp; Duncan, O. D. (1967). </w:t>
      </w:r>
      <w:r>
        <w:rPr>
          <w:i/>
        </w:rPr>
        <w:t>The American Occupational Structure</w:t>
      </w:r>
      <w:r>
        <w:t>. New York: John Wiley &amp; Sons.</w:t>
      </w:r>
    </w:p>
    <w:p>
      <w:pPr>
        <w:pStyle w:val="ListBullet"/>
        <w:spacing w:before="40" w:after="40"/>
      </w:pPr>
      <w:r>
        <w:t xml:space="preserve">Boudon, R. (1974). </w:t>
      </w:r>
      <w:r>
        <w:rPr>
          <w:i/>
        </w:rPr>
        <w:t>Education, Opportunity, and Social Inequality: Changing Prospects in Western Society</w:t>
      </w:r>
      <w:r>
        <w:t>. New York: Wiley-Interscience.</w:t>
      </w:r>
    </w:p>
    <w:p>
      <w:pPr>
        <w:pStyle w:val="ListBullet"/>
        <w:spacing w:before="40" w:after="40"/>
      </w:pPr>
      <w:r>
        <w:t xml:space="preserve">Bourdieu, P. (1986). "The Forms of Capital." In J. Richardson (Ed.), </w:t>
      </w:r>
      <w:r>
        <w:rPr>
          <w:i/>
        </w:rPr>
        <w:t>Handbook of Theory and Research for the Sociology of Education</w:t>
      </w:r>
      <w:r>
        <w:t xml:space="preserve"> (pp. 241-258). Greenwood.</w:t>
      </w:r>
    </w:p>
    <w:p>
      <w:pPr>
        <w:pStyle w:val="ListBullet"/>
        <w:spacing w:before="40" w:after="40"/>
      </w:pPr>
      <w:r>
        <w:t xml:space="preserve">Bourdieu, P., &amp; Passeron, J.-C. (1977). </w:t>
      </w:r>
      <w:r>
        <w:rPr>
          <w:i/>
        </w:rPr>
        <w:t>Reproduction in Education, Society and Culture</w:t>
      </w:r>
      <w:r>
        <w:t>. London: Sage Publications.</w:t>
      </w:r>
    </w:p>
    <w:p>
      <w:pPr>
        <w:pStyle w:val="ListBullet"/>
        <w:spacing w:before="40" w:after="40"/>
      </w:pPr>
      <w:r>
        <w:t xml:space="preserve">Bowles, S., &amp; Gintis, H. (1976). </w:t>
      </w:r>
      <w:r>
        <w:rPr>
          <w:i/>
        </w:rPr>
        <w:t>Schooling in Capitalist America: Educational Reform and the Contradictions of Economic Life</w:t>
      </w:r>
      <w:r>
        <w:t>. Basic Books.</w:t>
      </w:r>
    </w:p>
    <w:p>
      <w:pPr>
        <w:pStyle w:val="ListBullet"/>
        <w:spacing w:before="40" w:after="40"/>
      </w:pPr>
      <w:r>
        <w:t xml:space="preserve">Breen, R., &amp; Goldthorpe, J. H. (1997). "Explaining Educational Differentials: Towards a Formal Rational Action Theory." </w:t>
      </w:r>
      <w:r>
        <w:rPr>
          <w:i/>
        </w:rPr>
        <w:t>Rationality and Society</w:t>
      </w:r>
      <w:r>
        <w:t>, 9(3), 275-305.</w:t>
      </w:r>
    </w:p>
    <w:p>
      <w:pPr>
        <w:pStyle w:val="ListBullet"/>
        <w:spacing w:before="40" w:after="40"/>
      </w:pPr>
      <w:r>
        <w:t xml:space="preserve">Brik, T. (2026). </w:t>
      </w:r>
      <w:r>
        <w:rPr>
          <w:i/>
        </w:rPr>
        <w:t>Syllabus: Sociology (2026/2027 Autumn Trimester)</w:t>
      </w:r>
      <w:r>
        <w:t>. Kyiv School of Economics.</w:t>
      </w:r>
    </w:p>
    <w:p>
      <w:pPr>
        <w:pStyle w:val="ListBullet"/>
        <w:spacing w:before="40" w:after="40"/>
      </w:pPr>
      <w:r>
        <w:t xml:space="preserve">Davis, K., &amp; Moore, W. E. (1945). "Some Principles of Stratification." </w:t>
      </w:r>
      <w:r>
        <w:rPr>
          <w:i/>
        </w:rPr>
        <w:t>American Sociological Review</w:t>
      </w:r>
      <w:r>
        <w:t>, 10(2), 242-249.</w:t>
      </w:r>
    </w:p>
    <w:p>
      <w:pPr>
        <w:pStyle w:val="ListBullet"/>
        <w:spacing w:before="40" w:after="40"/>
      </w:pPr>
      <w:r>
        <w:t xml:space="preserve">Ganzeboom, H. B., Treiman, D. J., &amp; Ultee, W. C. (1991). "Comparative Intergenerational Stratification Research: Three Generations and Beyond." </w:t>
      </w:r>
      <w:r>
        <w:rPr>
          <w:i/>
        </w:rPr>
        <w:t>Annual Review of Sociology</w:t>
      </w:r>
      <w:r>
        <w:t>, 17(1), 277-302.</w:t>
      </w:r>
    </w:p>
    <w:p>
      <w:pPr>
        <w:pStyle w:val="ListBullet"/>
        <w:spacing w:before="40" w:after="40"/>
      </w:pPr>
      <w:r>
        <w:t xml:space="preserve">Giddens, A. (2009). </w:t>
      </w:r>
      <w:r>
        <w:rPr>
          <w:i/>
        </w:rPr>
        <w:t>Sociology</w:t>
      </w:r>
      <w:r>
        <w:t xml:space="preserve"> (6th ed.). Cambridge: Polity Press.</w:t>
      </w:r>
    </w:p>
    <w:p>
      <w:pPr>
        <w:pStyle w:val="ListBullet"/>
        <w:spacing w:before="40" w:after="40"/>
      </w:pPr>
      <w:r>
        <w:t xml:space="preserve">Hout, M. (2015). "A Summary of What We Know about Social Mobility." </w:t>
      </w:r>
      <w:r>
        <w:rPr>
          <w:i/>
        </w:rPr>
        <w:t>The Annals of the American Academy of Political and Social Science</w:t>
      </w:r>
      <w:r>
        <w:t>, 657(1), 27-36.</w:t>
      </w:r>
    </w:p>
    <w:p>
      <w:pPr>
        <w:pStyle w:val="ListBullet"/>
        <w:spacing w:before="40" w:after="40"/>
      </w:pPr>
      <w:r>
        <w:t xml:space="preserve">OECD. (2026). </w:t>
      </w:r>
      <w:r>
        <w:rPr>
          <w:i/>
        </w:rPr>
        <w:t>PISA 2025 Results: Learning in a Digital World and Science Competencies</w:t>
      </w:r>
      <w:r>
        <w:t>. Paris: OECD Publishing.</w:t>
      </w:r>
    </w:p>
    <w:p>
      <w:pPr>
        <w:pStyle w:val="ListBullet"/>
        <w:spacing w:before="40" w:after="40"/>
      </w:pPr>
      <w:r>
        <w:t xml:space="preserve">Ukrainian Center for Educational Quality Assessment (UCEQA). (2026). </w:t>
      </w:r>
      <w:r>
        <w:rPr>
          <w:i/>
        </w:rPr>
        <w:t>National Report on the Results of the International Educational Quality Study PISA-2025</w:t>
      </w:r>
      <w:r>
        <w:t>. Kyiv: UCEQA.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