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879A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3D4DEBBF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7159DF31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1FD44EB8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2EDC9C52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6065C776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3BA1D342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4A325934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0894EBA6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5420E4EB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0CFAEC42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11464E23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513043FE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38366134" w14:textId="77777777" w:rsidR="007B7ACD" w:rsidRPr="00CF67E9" w:rsidRDefault="007B7ACD" w:rsidP="00CF6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193BD90A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2802239C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751CDC61" w14:textId="77777777" w:rsidR="00215074" w:rsidRPr="00CF67E9" w:rsidRDefault="00215074" w:rsidP="002150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к.в.н., доцент Федин Ф.О.</w:t>
      </w:r>
    </w:p>
    <w:p w14:paraId="6F3F64BB" w14:textId="653380E3" w:rsidR="00215074" w:rsidRDefault="00CF67E9" w:rsidP="002150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ассистент, Ершов Н.С.</w:t>
      </w:r>
    </w:p>
    <w:p w14:paraId="03E469C6" w14:textId="77777777" w:rsidR="00CF67E9" w:rsidRPr="00CF67E9" w:rsidRDefault="00CF67E9" w:rsidP="002150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6E083E8F" w14:textId="77777777" w:rsidR="00215074" w:rsidRPr="00CF67E9" w:rsidRDefault="00215074" w:rsidP="002150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МЕТОДИЧЕСКАЯ РАЗРАБОТКА </w:t>
      </w:r>
    </w:p>
    <w:p w14:paraId="4D54F20E" w14:textId="77777777" w:rsidR="00215074" w:rsidRPr="00CF67E9" w:rsidRDefault="00215074" w:rsidP="002150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ЧАСТЬ 3</w:t>
      </w:r>
    </w:p>
    <w:p w14:paraId="4ED6D189" w14:textId="77777777" w:rsidR="00215074" w:rsidRPr="00CF67E9" w:rsidRDefault="00215074" w:rsidP="002150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2231556E" w14:textId="77777777" w:rsidR="007F0F83" w:rsidRPr="00CF67E9" w:rsidRDefault="007F0F83" w:rsidP="007F0F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Применение стандарта моделирования потоков данных</w:t>
      </w:r>
      <w:r w:rsidR="002E4BFF"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2E4BFF" w:rsidRPr="00CF67E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DFD</w:t>
      </w:r>
      <w:r w:rsidR="002E4BFF"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)</w:t>
      </w:r>
    </w:p>
    <w:p w14:paraId="59A71C93" w14:textId="77777777" w:rsidR="00215074" w:rsidRPr="00CF67E9" w:rsidRDefault="007F0F83" w:rsidP="007F0F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для построения модели «</w:t>
      </w:r>
      <w:r w:rsidR="002E4BFF" w:rsidRPr="00CF67E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AS</w:t>
      </w:r>
      <w:r w:rsidR="002E4BFF"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-</w:t>
      </w:r>
      <w:r w:rsidR="002E4BFF" w:rsidRPr="00CF67E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IS</w:t>
      </w:r>
      <w:r w:rsidR="002E4BFF"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»</w:t>
      </w:r>
    </w:p>
    <w:p w14:paraId="7B001568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4D422719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7DE2CEB5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0120F3CA" w14:textId="77777777" w:rsidR="007B7ACD" w:rsidRPr="00CF67E9" w:rsidRDefault="007B7ACD" w:rsidP="007B7AC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68352D93" w14:textId="77777777" w:rsidR="007B7ACD" w:rsidRPr="00CF67E9" w:rsidRDefault="007B7ACD" w:rsidP="007B7ACD">
      <w:pPr>
        <w:widowControl w:val="0"/>
        <w:spacing w:after="0" w:line="240" w:lineRule="auto"/>
        <w:rPr>
          <w:rFonts w:ascii="Times New Roman" w:eastAsia="Courier New" w:hAnsi="Times New Roman" w:cs="Times New Roman"/>
          <w:bCs/>
          <w:color w:val="0033CC"/>
          <w:sz w:val="28"/>
          <w:szCs w:val="28"/>
          <w:lang w:eastAsia="ru-RU"/>
        </w:rPr>
      </w:pPr>
      <w:r w:rsidRPr="00CF67E9">
        <w:rPr>
          <w:rFonts w:ascii="Times New Roman" w:eastAsia="Courier New" w:hAnsi="Times New Roman" w:cs="Times New Roman"/>
          <w:bCs/>
          <w:color w:val="0033CC"/>
          <w:sz w:val="28"/>
          <w:szCs w:val="28"/>
          <w:lang w:eastAsia="ru-RU"/>
        </w:rPr>
        <w:br w:type="page"/>
      </w:r>
    </w:p>
    <w:p w14:paraId="4DD03AC0" w14:textId="6B08A15C" w:rsidR="00CB4386" w:rsidRPr="00CF67E9" w:rsidRDefault="00CF67E9" w:rsidP="00CB43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3.1 Особенности стандарта моделирования потоков данных</w:t>
      </w:r>
    </w:p>
    <w:p w14:paraId="486AB5A3" w14:textId="48097763" w:rsidR="00C02885" w:rsidRPr="00CF67E9" w:rsidRDefault="00C02885" w:rsidP="00C0288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методологии является построение модели рассматриваемой системы в виде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диаграммы потоков данных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Data Flow Diagram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DFD). Диаграммы потоков данных предназначены прежде всего для описания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документооборота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обработки информации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хотя допускают и представление других объектов.</w:t>
      </w:r>
    </w:p>
    <w:p w14:paraId="40C6F88B" w14:textId="77777777" w:rsidR="00C02885" w:rsidRPr="00CF67E9" w:rsidRDefault="00C02885" w:rsidP="0020225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создании диаграммы потоков данных используются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четыре основных понятия:</w:t>
      </w:r>
    </w:p>
    <w:p w14:paraId="2C39CD88" w14:textId="77777777" w:rsidR="00C02885" w:rsidRPr="00CF67E9" w:rsidRDefault="00C02885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потоки данных;</w:t>
      </w:r>
    </w:p>
    <w:p w14:paraId="408E9680" w14:textId="77777777" w:rsidR="00C02885" w:rsidRPr="00CF67E9" w:rsidRDefault="00C02885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 (работы) преобразования входных потоков данных в выходные,</w:t>
      </w:r>
    </w:p>
    <w:p w14:paraId="393079E7" w14:textId="77777777" w:rsidR="00C02885" w:rsidRPr="00CF67E9" w:rsidRDefault="00C02885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внешние сущности;</w:t>
      </w:r>
    </w:p>
    <w:p w14:paraId="13C15EC0" w14:textId="77777777" w:rsidR="00C02885" w:rsidRPr="00CF67E9" w:rsidRDefault="00C02885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накопители данных (хранилища).</w:t>
      </w:r>
    </w:p>
    <w:p w14:paraId="7C5C9854" w14:textId="77777777" w:rsidR="0018774D" w:rsidRPr="00CF67E9" w:rsidRDefault="00C02885" w:rsidP="0020225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iCs/>
          <w:color w:val="0033CC"/>
          <w:sz w:val="28"/>
          <w:szCs w:val="28"/>
          <w:lang w:eastAsia="ru-RU"/>
        </w:rPr>
        <w:t xml:space="preserve">Потоки данных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 абстракциями, использующимися для моделирования передачи информации (</w:t>
      </w:r>
      <w:r w:rsidR="0018774D"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стандартом также допускается передача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физических компонент) из одной части системы в другую. </w:t>
      </w:r>
    </w:p>
    <w:p w14:paraId="074CD1A5" w14:textId="77777777" w:rsidR="00C02885" w:rsidRPr="00CF67E9" w:rsidRDefault="00C02885" w:rsidP="0020225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Потоки на диаграммах изображаются именованными стрелками, ориентация которых указывает направление движения информации.</w:t>
      </w:r>
      <w:r w:rsidR="00C22213"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Стрелки описывают движение информационных потоков (или объектов) из одной части системы в другую (</w:t>
      </w:r>
      <w:r w:rsidR="00C22213"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>отсюда следует, что диаграмма DFD не может иметь граничных стрелок</w:t>
      </w:r>
      <w:r w:rsidR="00C22213"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Поскольку все стороны работы в DFD равнозначны, стрелки могут начинаться и заканчиваться на любой стороне прямоугольника работы. Стрелки могут быть двунаправлены.</w:t>
      </w:r>
    </w:p>
    <w:p w14:paraId="291355A0" w14:textId="77777777" w:rsidR="00D22318" w:rsidRPr="00CF67E9" w:rsidRDefault="00D22318" w:rsidP="0020225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C894D1" w14:textId="77777777" w:rsidR="00D22318" w:rsidRPr="00CF67E9" w:rsidRDefault="00D22318" w:rsidP="00CF67E9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14E0AA" wp14:editId="6DFBCF9E">
            <wp:extent cx="1583140" cy="427159"/>
            <wp:effectExtent l="0" t="0" r="0" b="0"/>
            <wp:docPr id="15" name="Рисунок 17" descr="https://pandia.ru/text/80/146/images/image006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s://pandia.ru/text/80/146/images/image006_1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36" cy="43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10E2" w14:textId="564515E6" w:rsidR="00D22318" w:rsidRPr="00CF67E9" w:rsidRDefault="00D22318" w:rsidP="00CF67E9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Рисунок </w:t>
      </w:r>
      <w:r w:rsidRPr="00CF67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 – Поток данных</w:t>
      </w:r>
    </w:p>
    <w:p w14:paraId="20D68421" w14:textId="77777777" w:rsidR="00C02885" w:rsidRPr="00CF67E9" w:rsidRDefault="00C02885" w:rsidP="00C0288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iCs/>
          <w:color w:val="0033CC"/>
          <w:sz w:val="28"/>
          <w:szCs w:val="28"/>
          <w:lang w:eastAsia="ru-RU"/>
        </w:rPr>
        <w:t xml:space="preserve">Процессы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(работы) служат для преобразования входных потоков данных в выходные. Имя процесса должно содержать глагол в неопределенной форме с последующим дополнением (например, «получить документы по отгрузке продукции»). Каждый процесс имеет уникальный номер для ссылок на него внутри диаграммы, который может использоваться совместно с номером диаграммы для получения уникального индекса процесса во всей модели.</w:t>
      </w:r>
    </w:p>
    <w:p w14:paraId="6097A2AE" w14:textId="77777777" w:rsidR="00D22318" w:rsidRPr="00CF67E9" w:rsidRDefault="00D22318" w:rsidP="00C0288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C6C6DB" w14:textId="336603C7" w:rsidR="00D22318" w:rsidRPr="00CF67E9" w:rsidRDefault="00D22318" w:rsidP="00CF67E9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58E159" wp14:editId="1CCA0467">
            <wp:extent cx="3343910" cy="1351280"/>
            <wp:effectExtent l="0" t="0" r="8890" b="1270"/>
            <wp:docPr id="16" name="Рисунок 18" descr="https://pandia.ru/text/80/146/images/image007_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pandia.ru/text/80/146/images/image007_1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F43D" w14:textId="13FBE3A3" w:rsidR="00D22318" w:rsidRPr="00CF67E9" w:rsidRDefault="00D22318" w:rsidP="00CF67E9">
      <w:pPr>
        <w:shd w:val="clear" w:color="auto" w:fill="FFFFFF"/>
        <w:spacing w:line="360" w:lineRule="auto"/>
        <w:ind w:firstLine="709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Рисунок </w:t>
      </w:r>
      <w:r w:rsidRPr="00CF67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 – Обозначение процесса в разных нотациях DFD</w:t>
      </w:r>
    </w:p>
    <w:p w14:paraId="6D6C91AA" w14:textId="77777777" w:rsidR="00C02885" w:rsidRPr="00CF67E9" w:rsidRDefault="00C02885" w:rsidP="00C0288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iCs/>
          <w:color w:val="0033CC"/>
          <w:sz w:val="28"/>
          <w:szCs w:val="28"/>
          <w:lang w:eastAsia="ru-RU"/>
        </w:rPr>
        <w:t xml:space="preserve">Хранилище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(накопитель) данных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моделирует данные, которые будут сохраняться в памяти между процессами. Информация, которую содержит хранилище, может использоваться в любое время после ее получения, при этом данные могут выбираться в любом порядке. Имя хранилища должно определять его содержимое и быть существительным.</w:t>
      </w:r>
    </w:p>
    <w:p w14:paraId="791D07DD" w14:textId="77777777" w:rsidR="00D22318" w:rsidRPr="00CF67E9" w:rsidRDefault="00D22318" w:rsidP="00C0288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69C392B5" w14:textId="77777777" w:rsidR="00D22318" w:rsidRPr="00CF67E9" w:rsidRDefault="00D22318" w:rsidP="00D22318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0D179AA5" wp14:editId="5D945A65">
            <wp:extent cx="2853236" cy="750627"/>
            <wp:effectExtent l="0" t="0" r="4445" b="0"/>
            <wp:docPr id="17" name="Рисунок 19" descr="https://pandia.ru/text/80/146/images/image008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pandia.ru/text/80/146/images/image008_1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05" cy="76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197A" w14:textId="77777777" w:rsidR="00D22318" w:rsidRPr="00CF67E9" w:rsidRDefault="00D22318" w:rsidP="00D22318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p w14:paraId="55175F4A" w14:textId="2260F206" w:rsidR="00D22318" w:rsidRPr="00CF67E9" w:rsidRDefault="00D22318" w:rsidP="00CF67E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Рисунок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 – Обозначение хранилища в разных нотациях DFD</w:t>
      </w:r>
    </w:p>
    <w:p w14:paraId="7CAF88C6" w14:textId="77777777" w:rsidR="00C02885" w:rsidRPr="00CF67E9" w:rsidRDefault="00C02885" w:rsidP="00C0288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iCs/>
          <w:color w:val="0033CC"/>
          <w:sz w:val="28"/>
          <w:szCs w:val="28"/>
          <w:lang w:eastAsia="ru-RU"/>
        </w:rPr>
        <w:t xml:space="preserve">Внешняя сущность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материальный объект вне контекста системы, являющейся источником или приемником данных. Ее имя должно содержать существительное, например, «склад товаров». Предполагается, что объекты, представленные как внешние сущности,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должны участвовать ни в какой обработке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1F0D89" w14:textId="77777777" w:rsidR="00D22318" w:rsidRPr="00CF67E9" w:rsidRDefault="00D22318" w:rsidP="00CF67E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57397B" w14:textId="77777777" w:rsidR="00D22318" w:rsidRPr="00CF67E9" w:rsidRDefault="00D22318" w:rsidP="00D22318">
      <w:pPr>
        <w:shd w:val="clear" w:color="auto" w:fill="FFFFFF"/>
        <w:spacing w:line="360" w:lineRule="auto"/>
        <w:ind w:firstLine="709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5CC636" wp14:editId="452CC036">
            <wp:extent cx="2908758" cy="962167"/>
            <wp:effectExtent l="0" t="0" r="6350" b="0"/>
            <wp:docPr id="18" name="Рисунок 20" descr="https://pandia.ru/text/80/146/images/image009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pandia.ru/text/80/146/images/image009_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12" cy="99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E82E" w14:textId="72CBB51A" w:rsidR="00D22318" w:rsidRPr="00CF67E9" w:rsidRDefault="00D22318" w:rsidP="00D22318">
      <w:pPr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Рисунок </w:t>
      </w:r>
      <w:r w:rsidRPr="00CF67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 – Обозначение внешней сущности в разных нотациях DFD</w:t>
      </w:r>
    </w:p>
    <w:p w14:paraId="15CCB84A" w14:textId="77777777" w:rsidR="00C02885" w:rsidRPr="00CF67E9" w:rsidRDefault="00C02885" w:rsidP="00C0288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основных элементов, в состав DFD входят словари данных и миниспецификации.</w:t>
      </w:r>
    </w:p>
    <w:p w14:paraId="69C6AC3F" w14:textId="77777777" w:rsidR="007D0BA6" w:rsidRPr="00CF67E9" w:rsidRDefault="00C02885" w:rsidP="00A62FE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iCs/>
          <w:color w:val="0033CC"/>
          <w:sz w:val="28"/>
          <w:szCs w:val="28"/>
          <w:lang w:eastAsia="ru-RU"/>
        </w:rPr>
        <w:t xml:space="preserve">Словари данных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 каталогами всех элементов данных, присутствующих в DFD, включая потоки данных, хранилища и процессы, а также все их атрибуты.</w:t>
      </w:r>
    </w:p>
    <w:p w14:paraId="05CAE407" w14:textId="77777777" w:rsidR="00C02885" w:rsidRPr="00CF67E9" w:rsidRDefault="00C02885" w:rsidP="00A62FE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iCs/>
          <w:color w:val="0033CC"/>
          <w:sz w:val="28"/>
          <w:szCs w:val="28"/>
          <w:lang w:eastAsia="ru-RU"/>
        </w:rPr>
        <w:t xml:space="preserve">Миниспецификации обработки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описывают DFD-процессы нижнего уровня. Фактически миниспецификации представляют собой алгоритмы описания задач, выполняемых процессами: множество всех миниспецификаций является полной спецификацией системы.</w:t>
      </w:r>
    </w:p>
    <w:p w14:paraId="539A8CAD" w14:textId="77777777" w:rsidR="00A62FEB" w:rsidRPr="00CF67E9" w:rsidRDefault="00C02885" w:rsidP="00A62FE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Диаграммы потоков данных строятся в виде иерархии. Сначала строится контекстная диаграмма. При проектировании относительно простых систем строится единственная контекстная диаграмма </w:t>
      </w:r>
      <w:r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>со звездообразной топологией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центре которой находится так называемый главный процесс, соединенный с приемниками и источниками информации, посредством которых с системой взаимодействуют пользователи и другие внешние системы. Перед</w:t>
      </w:r>
      <w:r w:rsidR="00A62FEB"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построением контекстной DFD необходимо проанализировать внешние события (внешние сущности), оказывающие влияние на функционирование системы. Количество потоков на контекстной диаграмме должно быть по возможности небольшим, поскольку каждый из них может быть в дальнейшем разбит на несколько потоков на следующих уровнях диаграммы.</w:t>
      </w:r>
    </w:p>
    <w:p w14:paraId="6B13A229" w14:textId="77777777" w:rsidR="00A62FEB" w:rsidRPr="00CF67E9" w:rsidRDefault="00A62FEB" w:rsidP="00A62FE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сложных систем (признаками сложности могут быть наличие большого количества внешних сущностей (десять и более), распределенная природа системы или ее многофункциональность) строится </w:t>
      </w:r>
      <w:r w:rsidRPr="00CF67E9">
        <w:rPr>
          <w:rFonts w:ascii="Times New Roman" w:eastAsia="Times New Roman" w:hAnsi="Times New Roman" w:cs="Times New Roman"/>
          <w:iCs/>
          <w:color w:val="0033CC"/>
          <w:sz w:val="28"/>
          <w:szCs w:val="28"/>
          <w:lang w:eastAsia="ru-RU"/>
        </w:rPr>
        <w:t>иерархия контекстных диаграмм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этом контекстная диаграмма верхнего уровня содержит не единственный главный процесс, а набор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подсистем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соединенных потоками данных. Контекстные диаграммы следующего уровня детализируют контекст и структуру подсистем.</w:t>
      </w:r>
    </w:p>
    <w:p w14:paraId="6B40EC83" w14:textId="77777777" w:rsidR="00A62FEB" w:rsidRPr="00CF67E9" w:rsidRDefault="00A62FEB" w:rsidP="00A62FE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проверки контекстной диаграммы можно составить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событий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Список событий должен состоять из описаний действий внешних сущностей (событий) и соответствующих реакций системы на события. Каждое событие должно соответствовать одному или более потокам данных: входные потоки интерпретируются как воздействия, а выходные потоки – как реакции системы на входные потоки.</w:t>
      </w:r>
    </w:p>
    <w:p w14:paraId="34BE53E7" w14:textId="77777777" w:rsidR="00A62FEB" w:rsidRPr="00CF67E9" w:rsidRDefault="00A62FEB" w:rsidP="00921A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процесс на DFD, в свою очередь, может быть детализирован при помощи DFD или (если процесс элементарный) спецификации. </w:t>
      </w:r>
      <w:r w:rsidRPr="00CF67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Спецификация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 должна формулировать его основные функции таким образом, чтобы в дальнейшем специалист, выполняющий реализацию проекта, смог выполнить их или разработать соответствующую программу. Спецификация является конечной вершиной иерархии DFD. Решение о завершении детализации процесса и использовании спецификации принимается аналитиком исходя из следующих критериев:</w:t>
      </w:r>
    </w:p>
    <w:p w14:paraId="04A59791" w14:textId="77777777" w:rsidR="00A62FEB" w:rsidRPr="00CF67E9" w:rsidRDefault="00A62FEB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наличия у процесса относительно небольшого количества входных и выходных потоков данных (2-3 потока);</w:t>
      </w:r>
    </w:p>
    <w:p w14:paraId="5FB45690" w14:textId="77777777" w:rsidR="00A62FEB" w:rsidRPr="00CF67E9" w:rsidRDefault="00A62FEB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описания преобразования данных процессов в виде последовательного алгоритма;</w:t>
      </w:r>
    </w:p>
    <w:p w14:paraId="2469B7B1" w14:textId="77777777" w:rsidR="00A62FEB" w:rsidRPr="00CF67E9" w:rsidRDefault="00A62FEB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процессом единственной логической функции преобразования входной информации в выходную;</w:t>
      </w:r>
    </w:p>
    <w:p w14:paraId="06B8D1ED" w14:textId="77777777" w:rsidR="00A62FEB" w:rsidRPr="00CF67E9" w:rsidRDefault="00A62FEB" w:rsidP="006D4D4B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описания логики процесса при помощи спецификации небольшого объема (не более 20-30 строк).</w:t>
      </w:r>
    </w:p>
    <w:p w14:paraId="7B5A35A7" w14:textId="77777777" w:rsidR="00A62FEB" w:rsidRPr="00CF67E9" w:rsidRDefault="00A62FEB" w:rsidP="00A62FE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языка спецификаций обычно используются структурированный естественный язык или псевдокод.</w:t>
      </w:r>
    </w:p>
    <w:p w14:paraId="4EC94F96" w14:textId="77777777" w:rsidR="00CB4386" w:rsidRPr="00CF67E9" w:rsidRDefault="00CB4386" w:rsidP="00CB43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FF1A84" w14:textId="77777777" w:rsidR="00CB4386" w:rsidRPr="00CF67E9" w:rsidRDefault="00CB4386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33CC"/>
          <w:sz w:val="28"/>
          <w:szCs w:val="24"/>
          <w:lang w:eastAsia="ru-RU"/>
        </w:rPr>
      </w:pPr>
      <w:r w:rsidRPr="00CF67E9">
        <w:rPr>
          <w:rFonts w:ascii="Times New Roman" w:eastAsia="Times New Roman" w:hAnsi="Times New Roman" w:cs="Times New Roman"/>
          <w:color w:val="0033CC"/>
          <w:sz w:val="28"/>
          <w:szCs w:val="24"/>
          <w:lang w:eastAsia="ru-RU"/>
        </w:rPr>
        <w:t>Примечание:</w:t>
      </w:r>
    </w:p>
    <w:p w14:paraId="24A8F872" w14:textId="77777777" w:rsidR="00CB4386" w:rsidRPr="00CF67E9" w:rsidRDefault="00CB4386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отличие от стрелок, описывающих объекты в движении, </w:t>
      </w:r>
      <w:r w:rsidR="00087B5C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хранилища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данных изображают объекты в покое (рисунок 7.1). В материальных системах </w:t>
      </w:r>
      <w:r w:rsidR="00087B5C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хранилища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данных изображаются там, где объекты ожидают обработки, например</w:t>
      </w:r>
      <w:r w:rsidR="003F4494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очереди. В системах обработки информации </w:t>
      </w:r>
      <w:r w:rsidR="00087B5C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хранилища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данных являются механизмом, которые позволяют сохранить данные для последующих процессов. Одноименные </w:t>
      </w:r>
      <w:r w:rsidR="00087B5C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хранилища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данных также могут быть использованы многократно на одной или нескольких диаграммах. Для добавления </w:t>
      </w:r>
      <w:r w:rsidR="00087B5C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хранилища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данных, используется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Data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Store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Tool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60D6B31A" wp14:editId="27A1E455">
            <wp:extent cx="2667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014FF3A0" w14:textId="77777777" w:rsidR="00CB4386" w:rsidRPr="00CF67E9" w:rsidRDefault="00CB4386" w:rsidP="00306EE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CF67E9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08C15C56" wp14:editId="7CFFFF58">
            <wp:extent cx="895350" cy="5617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04" cy="5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FC2A" w14:textId="77777777" w:rsidR="00CB4386" w:rsidRPr="00CF67E9" w:rsidRDefault="00CB4386" w:rsidP="00306EE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Рисунок 7.1 – </w:t>
      </w:r>
      <w:r w:rsidR="00087B5C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Хранилище</w:t>
      </w:r>
      <w:r w:rsidR="00EB2304"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данных</w:t>
      </w:r>
    </w:p>
    <w:p w14:paraId="4573DC8E" w14:textId="77777777" w:rsidR="00976ADF" w:rsidRPr="00CF67E9" w:rsidRDefault="00976ADF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E11E5D" w14:textId="77777777" w:rsidR="00A62FEB" w:rsidRPr="00CF67E9" w:rsidRDefault="00A62FEB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Примечание:</w:t>
      </w:r>
    </w:p>
    <w:p w14:paraId="3F56830B" w14:textId="77777777" w:rsidR="00A62FEB" w:rsidRPr="00CF67E9" w:rsidRDefault="00A62FEB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методологии DFD используются две нотации: Йодана-Де Марко (Yourdan) и Гейна-Сарсона (Gane-Sarson) – таблица 1. </w:t>
      </w:r>
    </w:p>
    <w:p w14:paraId="74EE0BBE" w14:textId="77777777" w:rsidR="00A62FEB" w:rsidRPr="00CF67E9" w:rsidRDefault="00A62FEB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 – Элементы методологии DFD в нотациях Гейна-Сарсона и Йодана-Де Марко</w:t>
      </w:r>
    </w:p>
    <w:p w14:paraId="6B45748D" w14:textId="77777777" w:rsidR="00A62FEB" w:rsidRPr="00CF67E9" w:rsidRDefault="00A62FEB" w:rsidP="00306EEF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F67E9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03F3C457" wp14:editId="39BFEA57">
            <wp:extent cx="4480988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721" cy="34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13A" w14:textId="77777777" w:rsidR="00505339" w:rsidRPr="00CF67E9" w:rsidRDefault="00505339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Следует отметить, что в </w:t>
      </w:r>
      <w:r w:rsidRPr="00CF67E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ERWin</w:t>
      </w: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Process</w:t>
      </w: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Modeler</w:t>
      </w: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формально используется нотация Гейна-Сарсона, </w:t>
      </w:r>
      <w:r w:rsidRPr="00CF67E9">
        <w:rPr>
          <w:rFonts w:ascii="Times New Roman" w:eastAsia="Times New Roman" w:hAnsi="Times New Roman" w:cs="Times New Roman"/>
          <w:color w:val="0033CC"/>
          <w:sz w:val="28"/>
          <w:szCs w:val="24"/>
          <w:lang w:eastAsia="ru-RU"/>
        </w:rPr>
        <w:t>но с рядом отступлений</w:t>
      </w:r>
      <w:r w:rsidRPr="00CF67E9">
        <w:rPr>
          <w:rFonts w:ascii="Times New Roman" w:eastAsia="Times New Roman" w:hAnsi="Times New Roman" w:cs="Times New Roman"/>
          <w:sz w:val="28"/>
          <w:szCs w:val="24"/>
          <w:lang w:eastAsia="ru-RU"/>
        </w:rPr>
        <w:t>: отсутствуют миниспецификации, отличается изображение функций, контекстная диаграмма не может содержать подсистемы.</w:t>
      </w:r>
    </w:p>
    <w:p w14:paraId="3F383E73" w14:textId="77777777" w:rsidR="00A62FEB" w:rsidRPr="00CF67E9" w:rsidRDefault="00A62FEB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09D43" w14:textId="77777777" w:rsidR="00C32A97" w:rsidRPr="00CF67E9" w:rsidRDefault="00AB4156" w:rsidP="00306EE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>3.</w:t>
      </w:r>
      <w:r w:rsidR="00C32A97"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>3</w:t>
      </w:r>
      <w:r w:rsidR="00852EB4"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 xml:space="preserve"> Построение контекстной диаграммы верхнего уровня</w:t>
      </w:r>
    </w:p>
    <w:p w14:paraId="575E0B39" w14:textId="77777777" w:rsidR="00852EB4" w:rsidRPr="00CF67E9" w:rsidRDefault="00852EB4" w:rsidP="00306EE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 xml:space="preserve">модели </w:t>
      </w:r>
      <w:r w:rsidR="00D12A4E"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 xml:space="preserve">деятельности по </w:t>
      </w:r>
      <w:r w:rsidR="00E62BED"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>продаже товаров</w:t>
      </w:r>
      <w:r w:rsidR="00D12A4E"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>(стандарт DFD)</w:t>
      </w:r>
    </w:p>
    <w:p w14:paraId="4DE17B86" w14:textId="77777777" w:rsidR="00852EB4" w:rsidRPr="00CF67E9" w:rsidRDefault="00852EB4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4C9A25" w14:textId="77777777" w:rsidR="00710A42" w:rsidRPr="00CF67E9" w:rsidRDefault="00325E73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Аналогично тому, как это делалось при использовании стандарта </w:t>
      </w:r>
      <w:r w:rsidRPr="00CF67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0, выполним с</w:t>
      </w:r>
      <w:r w:rsidR="00710A42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оздание модели в стандарте </w:t>
      </w:r>
      <w:r w:rsidR="00710A42" w:rsidRPr="00CF67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</w:t>
      </w:r>
      <w:r w:rsidR="00710A42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3203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BC26ECF" w14:textId="77777777" w:rsidR="00852EB4" w:rsidRPr="00CF67E9" w:rsidRDefault="00D12A4E" w:rsidP="00B8336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28DCFF1" wp14:editId="656F1D33">
            <wp:extent cx="2768428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2744" cy="32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E39" w14:textId="77777777" w:rsidR="00710A42" w:rsidRPr="00CF67E9" w:rsidRDefault="00710A42" w:rsidP="00710A4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11E14" w14:textId="77777777" w:rsidR="00B64445" w:rsidRPr="00CF67E9" w:rsidRDefault="00B64445" w:rsidP="00B6444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типа модели (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как есть или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как должно быть), цели создания модели, с чей точки зрения описывается модель, источников информации и пр. в программе CA ERWin Process Modeler осуществляется в диалоговом окне «Свойства модели» (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Properties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Это окно вызывается выбором пункта меню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–&gt;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Properties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рисунке 1 показана закладка для определения</w:t>
      </w:r>
      <w:r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 xml:space="preserve"> цели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Purpose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создания модели и </w:t>
      </w:r>
      <w:r w:rsidRPr="00CF67E9">
        <w:rPr>
          <w:rFonts w:ascii="Times New Roman" w:eastAsia="Times New Roman" w:hAnsi="Times New Roman" w:cs="Times New Roman"/>
          <w:color w:val="0033CC"/>
          <w:sz w:val="28"/>
          <w:szCs w:val="28"/>
          <w:lang w:eastAsia="ru-RU"/>
        </w:rPr>
        <w:t xml:space="preserve">точки зрения 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Viewpoint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11B8FAD" w14:textId="77777777" w:rsidR="00A028A5" w:rsidRPr="00CF67E9" w:rsidRDefault="00A028A5" w:rsidP="00A028A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 характеристики модели можно задать в закладках «Общие» (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General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«Определение» (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Definition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«Источник» (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др.</w:t>
      </w:r>
    </w:p>
    <w:p w14:paraId="0963B259" w14:textId="77777777" w:rsidR="00A028A5" w:rsidRPr="00CF67E9" w:rsidRDefault="00A028A5" w:rsidP="00A028A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свойствах модели и разрабатываемых диаграммах отображается в «каркасе» каждой диаграммы – ячейках рамки по ее периметру.</w:t>
      </w:r>
    </w:p>
    <w:p w14:paraId="50BDB348" w14:textId="77777777" w:rsidR="00A028A5" w:rsidRPr="00CF67E9" w:rsidRDefault="00A028A5" w:rsidP="00A028A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Первоначально, созданная модель включает только контекстную диаграмму, на которой размещена единственная работа. Дадим этой работе название «</w:t>
      </w:r>
      <w:r w:rsidR="00E50D32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товарно-транспортную накладную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1893BEC7" w14:textId="77777777" w:rsidR="00B64445" w:rsidRPr="00CF67E9" w:rsidRDefault="00B64445" w:rsidP="00B6444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0AA82A" w14:textId="77777777" w:rsidR="00B64445" w:rsidRPr="00CF67E9" w:rsidRDefault="002456D8" w:rsidP="00B6444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2C026C2" wp14:editId="509BDCA2">
            <wp:extent cx="4524375" cy="4505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4539" w14:textId="77777777" w:rsidR="00663889" w:rsidRPr="00CF67E9" w:rsidRDefault="00663889" w:rsidP="00B6444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86802F" w14:textId="77777777" w:rsidR="00B64445" w:rsidRPr="00CF67E9" w:rsidRDefault="00B64445" w:rsidP="00B6444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D12A4E"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– Закладка «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Purpose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 диалоговом окне «Свойства модели»</w:t>
      </w:r>
    </w:p>
    <w:p w14:paraId="37F07B3E" w14:textId="77777777" w:rsidR="00B64445" w:rsidRPr="00CF67E9" w:rsidRDefault="00B64445" w:rsidP="00B6444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D038" w14:textId="77777777" w:rsidR="00532035" w:rsidRPr="00CF67E9" w:rsidRDefault="00532035" w:rsidP="006270E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Далее, аналогично тому, как это делалось для модели </w:t>
      </w:r>
      <w:r w:rsidRPr="00CF67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0, определим цель</w:t>
      </w:r>
      <w:r w:rsidR="00D04174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270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анализ процесса оформления ТТН и выявить недостатки в СЗИ</w:t>
      </w:r>
      <w:r w:rsidR="001B72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" (AS-IS - как есть)</w:t>
      </w:r>
      <w:r w:rsidR="00D04174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область и единую точку зрения </w:t>
      </w:r>
      <w:r w:rsidR="00325E7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зрения </w:t>
      </w:r>
      <w:r w:rsidR="00E50D32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 службы</w:t>
      </w:r>
      <w:r w:rsidR="001B72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информационной безопасности</w:t>
      </w:r>
      <w:r w:rsidR="00325E7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моделируемую систему.</w:t>
      </w:r>
    </w:p>
    <w:p w14:paraId="76A4ADE3" w14:textId="77777777" w:rsidR="009F6071" w:rsidRPr="00CF67E9" w:rsidRDefault="00532035" w:rsidP="00710A4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</w:t>
      </w:r>
      <w:r w:rsidR="007E321F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добавим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краям диаграммы</w:t>
      </w:r>
      <w:r w:rsidR="007E321F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70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="007E321F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внешни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E321F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ущности</w:t>
      </w:r>
      <w:r w:rsidR="00A056AC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которыми осуществляется взаимодействие </w:t>
      </w:r>
      <w:r w:rsidR="006270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оформления ТТН</w:t>
      </w:r>
      <w:r w:rsidR="009F607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6AFCA7D" w14:textId="77777777" w:rsidR="009F6071" w:rsidRPr="00CF67E9" w:rsidRDefault="009F6071" w:rsidP="006D4D4B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270E9"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 склада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14:paraId="40F7DBFA" w14:textId="77777777" w:rsidR="009F6071" w:rsidRPr="00CF67E9" w:rsidRDefault="009F6071" w:rsidP="006270E9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270E9"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</w:t>
      </w:r>
      <w:r w:rsidRPr="00CF6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BED2FE" w14:textId="77777777" w:rsidR="00B44C13" w:rsidRPr="00CF67E9" w:rsidRDefault="00B44C13" w:rsidP="006270E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Добавим также накопител</w:t>
      </w:r>
      <w:r w:rsidR="006270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являющиеся источник</w:t>
      </w:r>
      <w:r w:rsidR="006270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70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выдаваемой системой </w:t>
      </w:r>
      <w:r w:rsidR="007D6F0C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ЗИ</w:t>
      </w:r>
      <w:r w:rsidR="001D6E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B15DEC" w14:textId="77777777" w:rsidR="007E321F" w:rsidRPr="00CF67E9" w:rsidRDefault="00A056AC" w:rsidP="00710A4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стрелок</w:t>
      </w:r>
      <w:r w:rsidR="00CC693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обозначают потоки информации (</w:t>
      </w:r>
      <w:r w:rsidR="00B44C1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допускает также потоки объектов</w:t>
      </w:r>
      <w:r w:rsidR="00CC693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D6E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свяжем</w:t>
      </w:r>
      <w:r w:rsidR="001D6E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E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внешние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</w:t>
      </w:r>
      <w:r w:rsidR="001D6E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E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все накопители данных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работой </w:t>
      </w:r>
      <w:r w:rsidR="00CC693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270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товарно-транспортную накладную</w:t>
      </w:r>
      <w:r w:rsidR="001D6E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C693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69387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</w:t>
      </w:r>
      <w:r w:rsidR="00A028A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="0069387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1EA2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9387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C693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D6D061E" w14:textId="77777777" w:rsidR="00532035" w:rsidRPr="00CF67E9" w:rsidRDefault="00532035" w:rsidP="00710A4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08F82" w14:textId="77777777" w:rsidR="00217F6D" w:rsidRPr="00CF67E9" w:rsidRDefault="00217F6D" w:rsidP="00217F6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66C0BF2" wp14:editId="7A12F543">
            <wp:extent cx="5940425" cy="3726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333" w14:textId="77777777" w:rsidR="00B74BBD" w:rsidRPr="00CF67E9" w:rsidRDefault="00B74BBD" w:rsidP="00EA22E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94579" w14:textId="77777777" w:rsidR="00EA22EA" w:rsidRPr="00CF67E9" w:rsidRDefault="00CC6935" w:rsidP="00CC693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1B72F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1EA2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Контекстная диаграмма верхнего уровня, построенная с использованием стандарта </w:t>
      </w:r>
      <w:r w:rsidRPr="00CF67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(нотация Гейна-Сарсона)</w:t>
      </w:r>
    </w:p>
    <w:p w14:paraId="5FEB2D03" w14:textId="77777777" w:rsidR="00A577F5" w:rsidRPr="00CF67E9" w:rsidRDefault="00A577F5" w:rsidP="009D33D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AC83F" w14:textId="77777777" w:rsidR="00D93090" w:rsidRPr="00CF67E9" w:rsidRDefault="00D93090" w:rsidP="009D33D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Далее, в целях более подробного рассмотрения деятельности по </w:t>
      </w:r>
      <w:r w:rsidR="00D75D2A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продаже товаров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выполним декомпозицию контекстной диаграммы верхнего уровня.</w:t>
      </w:r>
    </w:p>
    <w:p w14:paraId="7050F1E6" w14:textId="77777777" w:rsidR="00D93090" w:rsidRPr="00CF67E9" w:rsidRDefault="00D93090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CFCAA" w14:textId="77777777" w:rsidR="00B96FE1" w:rsidRPr="00CF67E9" w:rsidRDefault="00AB4156" w:rsidP="00306EE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bCs/>
          <w:color w:val="0033CC"/>
          <w:sz w:val="28"/>
          <w:szCs w:val="28"/>
          <w:lang w:eastAsia="ru-RU"/>
        </w:rPr>
        <w:t>3.</w:t>
      </w:r>
      <w:r w:rsidR="007F0F83" w:rsidRPr="00CF67E9">
        <w:rPr>
          <w:rFonts w:ascii="Times New Roman" w:eastAsia="Times New Roman" w:hAnsi="Times New Roman" w:cs="Times New Roman"/>
          <w:bCs/>
          <w:color w:val="0033CC"/>
          <w:sz w:val="28"/>
          <w:szCs w:val="28"/>
          <w:lang w:eastAsia="ru-RU"/>
        </w:rPr>
        <w:t>4</w:t>
      </w:r>
      <w:r w:rsidR="00B96FE1" w:rsidRPr="00CF67E9">
        <w:rPr>
          <w:rFonts w:ascii="Times New Roman" w:eastAsia="Times New Roman" w:hAnsi="Times New Roman" w:cs="Times New Roman"/>
          <w:bCs/>
          <w:color w:val="0033CC"/>
          <w:sz w:val="28"/>
          <w:szCs w:val="28"/>
          <w:lang w:eastAsia="ru-RU"/>
        </w:rPr>
        <w:t xml:space="preserve"> Построение декомпозиции контекстной диаграммы верхнего уровня модели </w:t>
      </w:r>
      <w:r w:rsidR="000B47F0" w:rsidRPr="00CF67E9">
        <w:rPr>
          <w:rFonts w:ascii="Times New Roman" w:eastAsia="Times New Roman" w:hAnsi="Times New Roman" w:cs="Times New Roman"/>
          <w:bCs/>
          <w:color w:val="0033CC"/>
          <w:sz w:val="28"/>
          <w:szCs w:val="28"/>
          <w:lang w:eastAsia="ru-RU"/>
        </w:rPr>
        <w:t xml:space="preserve">деятельности по </w:t>
      </w:r>
      <w:r w:rsidR="00D75D2A" w:rsidRPr="00CF67E9">
        <w:rPr>
          <w:rFonts w:ascii="Times New Roman" w:eastAsia="Times New Roman" w:hAnsi="Times New Roman" w:cs="Times New Roman"/>
          <w:bCs/>
          <w:color w:val="0033CC"/>
          <w:sz w:val="28"/>
          <w:szCs w:val="28"/>
          <w:lang w:eastAsia="ru-RU"/>
        </w:rPr>
        <w:t>продаже товаров</w:t>
      </w:r>
      <w:r w:rsidR="00B96FE1" w:rsidRPr="00CF67E9">
        <w:rPr>
          <w:rFonts w:ascii="Times New Roman" w:eastAsia="Times New Roman" w:hAnsi="Times New Roman" w:cs="Times New Roman"/>
          <w:bCs/>
          <w:color w:val="0033CC"/>
          <w:sz w:val="28"/>
          <w:szCs w:val="28"/>
          <w:lang w:eastAsia="ru-RU"/>
        </w:rPr>
        <w:t xml:space="preserve"> (стандарт DFD)</w:t>
      </w:r>
    </w:p>
    <w:p w14:paraId="4655E631" w14:textId="77777777" w:rsidR="00B96FE1" w:rsidRPr="00CF67E9" w:rsidRDefault="00B96FE1" w:rsidP="002D449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6CB6F2" w14:textId="77777777" w:rsidR="00B96FE1" w:rsidRPr="00CF67E9" w:rsidRDefault="00223CF0" w:rsidP="002D449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Декомпозицию контекстной диаграммы верхнего уровня выполним исходя из того, что в</w:t>
      </w:r>
      <w:r w:rsidR="00BC6CB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4BB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деятельности по </w:t>
      </w:r>
      <w:r w:rsidR="00A812A6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продаже товаров включает</w:t>
      </w:r>
      <w:r w:rsidR="0095435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12A6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</w:t>
      </w:r>
      <w:r w:rsidR="0095435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</w:t>
      </w:r>
      <w:r w:rsidR="00454BB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="0095435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3)</w:t>
      </w:r>
      <w:r w:rsidR="00BC6CB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B35741" w14:textId="77777777" w:rsidR="00DE2502" w:rsidRPr="00CF67E9" w:rsidRDefault="002B00B6" w:rsidP="006D4D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BC6CB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клиента</w:t>
      </w:r>
      <w:r w:rsidR="00BC6CB3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532A0D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271D52" w14:textId="77777777" w:rsidR="00550371" w:rsidRPr="00CF67E9" w:rsidRDefault="00550371" w:rsidP="0055037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2. «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новую ТТН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9CC247" w14:textId="77777777" w:rsidR="00E91B0B" w:rsidRPr="00CF67E9" w:rsidRDefault="00550371" w:rsidP="0055037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3. «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табличную часть ТТН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7D628C9" w14:textId="77777777" w:rsidR="00550371" w:rsidRPr="00CF67E9" w:rsidRDefault="00550371" w:rsidP="0055037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4. «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Распечатать ТТН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7DE77EC2" w14:textId="77777777" w:rsidR="00454BB1" w:rsidRPr="00CF67E9" w:rsidRDefault="00454BB1" w:rsidP="00454BB1">
      <w:pPr>
        <w:pStyle w:val="a4"/>
        <w:widowControl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F6CD37" w14:textId="77777777" w:rsidR="00454BB1" w:rsidRPr="00CF67E9" w:rsidRDefault="00217F6D" w:rsidP="00454BB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4580DF1" wp14:editId="011BA11C">
            <wp:extent cx="5940425" cy="33305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90D1" w14:textId="77777777" w:rsidR="00454BB1" w:rsidRPr="00CF67E9" w:rsidRDefault="00454BB1" w:rsidP="00454BB1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Диаграмма декомпозиции контекстной диаграммы верхнего уровня</w:t>
      </w:r>
    </w:p>
    <w:p w14:paraId="515F99F6" w14:textId="77777777" w:rsidR="006D4D0A" w:rsidRPr="00CF67E9" w:rsidRDefault="001A0830" w:rsidP="006D4D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декомпозиции контекстной диаграммы верхнего уровня, выполненной ранее в стандарте </w:t>
      </w:r>
      <w:r w:rsidRPr="00CF67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0, данная декомпозиция включает внешнюю сущность «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 склада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и 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шесть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 клиентов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, «Журнал ТТН», «Справочник товаров», «Данные системы ЗИ», «Данные предприятия», «Табличные части ТТН»</w:t>
      </w:r>
      <w:r w:rsidR="002B0E2E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A24BE8" w14:textId="77777777" w:rsidR="006D4D0A" w:rsidRPr="00CF67E9" w:rsidRDefault="006D4D0A" w:rsidP="006D4D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6DF71" w14:textId="77777777" w:rsidR="00AE4CF7" w:rsidRPr="00306EEF" w:rsidRDefault="00AB4156" w:rsidP="00306EE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EEF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F0F83" w:rsidRPr="00306EE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E4CF7" w:rsidRPr="00306E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диаграммы декомпозиции </w:t>
      </w:r>
      <w:r w:rsidR="00A42ACF" w:rsidRPr="00306EEF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</w:t>
      </w:r>
      <w:r w:rsidR="00AE4CF7" w:rsidRPr="00306E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E91B0B" w:rsidRPr="00306EE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клиента</w:t>
      </w:r>
      <w:r w:rsidR="00AE4CF7" w:rsidRPr="00306EE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5F6DBED" w14:textId="77777777" w:rsidR="00B74BBD" w:rsidRPr="00CF67E9" w:rsidRDefault="00B74BBD" w:rsidP="00326A0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FDFE7" w14:textId="767E8443" w:rsidR="00907815" w:rsidRPr="00CF67E9" w:rsidRDefault="00907815" w:rsidP="00CB438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функционирования 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 «Выбрать клиента»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выполняются </w:t>
      </w:r>
      <w:r w:rsidR="00CF67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</w:t>
      </w:r>
      <w:r w:rsidR="008D4AF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4):</w:t>
      </w:r>
    </w:p>
    <w:p w14:paraId="3B1D5B5D" w14:textId="77777777" w:rsidR="00FC6A90" w:rsidRPr="00CF67E9" w:rsidRDefault="00895EE8" w:rsidP="006D4D4B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781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40B6D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имеющимися полномочиями, получить доступ к клиент</w:t>
      </w:r>
      <w:r w:rsidR="000B5FDA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ской базе</w:t>
      </w:r>
      <w:r w:rsidR="00907815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11C8F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13A5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работа может выполняться только тем пользователем </w:t>
      </w:r>
      <w:r w:rsidR="00040B6D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13A5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С, который успешно прошел процедуру аутентификации в </w:t>
      </w:r>
      <w:r w:rsidR="00040B6D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="00B13A5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46CC55" w14:textId="77777777" w:rsidR="00EF069C" w:rsidRPr="00CF67E9" w:rsidRDefault="00FC6A90" w:rsidP="006D4D4B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40B6D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поиск клиента</w:t>
      </w:r>
      <w:r w:rsidR="001812B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(поиск по фамилии или по идентификатору)</w:t>
      </w:r>
      <w:r w:rsidR="00EF069C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19D901" w14:textId="77777777" w:rsidR="0007725C" w:rsidRPr="00CF67E9" w:rsidRDefault="0007725C" w:rsidP="006D4D4B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«Получить статус клиента»;</w:t>
      </w:r>
    </w:p>
    <w:p w14:paraId="4CD66497" w14:textId="3FAA7056" w:rsidR="00340594" w:rsidRPr="00CF67E9" w:rsidRDefault="00FC6A90" w:rsidP="00CF67E9">
      <w:pPr>
        <w:pStyle w:val="a4"/>
        <w:widowControl w:val="0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40B6D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код выбранного клиента</w:t>
      </w:r>
      <w:r w:rsidR="00CF11C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7DDC4E1" w14:textId="10E7A8C3" w:rsidR="00340594" w:rsidRPr="00CF67E9" w:rsidRDefault="00A56A58" w:rsidP="0067392A">
      <w:pPr>
        <w:pStyle w:val="a4"/>
        <w:widowControl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1ED33" wp14:editId="7678D104">
            <wp:extent cx="5851654" cy="3566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9147" r="26992" b="27170"/>
                    <a:stretch/>
                  </pic:blipFill>
                  <pic:spPr bwMode="auto">
                    <a:xfrm>
                      <a:off x="0" y="0"/>
                      <a:ext cx="5862437" cy="357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123CD" w14:textId="0D7CC49E" w:rsidR="00852EB4" w:rsidRPr="00CF67E9" w:rsidRDefault="00907815" w:rsidP="00CF67E9">
      <w:pPr>
        <w:widowControl w:val="0"/>
        <w:spacing w:before="24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B13A51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унок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4 – Диаграмма декомпозиции блока</w:t>
      </w:r>
      <w:r w:rsidR="00CF67E9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клиента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12741D3" w14:textId="77777777" w:rsidR="00A07A63" w:rsidRPr="00CF67E9" w:rsidRDefault="00AB1309" w:rsidP="00CB438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Детализация других работ диаграммы декомпозиции контекстной диаграммы верхнего уровня модели деятельности по </w:t>
      </w:r>
      <w:r w:rsidR="00E91B0B"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продаже товаров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 аналогичным образом.</w:t>
      </w:r>
    </w:p>
    <w:sectPr w:rsidR="00A07A63" w:rsidRPr="00CF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–"/>
      <w:lvlJc w:val="left"/>
      <w:pPr>
        <w:ind w:left="101" w:hanging="211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046" w:hanging="211"/>
      </w:pPr>
    </w:lvl>
    <w:lvl w:ilvl="2">
      <w:numFmt w:val="bullet"/>
      <w:lvlText w:val="•"/>
      <w:lvlJc w:val="left"/>
      <w:pPr>
        <w:ind w:left="1992" w:hanging="211"/>
      </w:pPr>
    </w:lvl>
    <w:lvl w:ilvl="3">
      <w:numFmt w:val="bullet"/>
      <w:lvlText w:val="•"/>
      <w:lvlJc w:val="left"/>
      <w:pPr>
        <w:ind w:left="2938" w:hanging="211"/>
      </w:pPr>
    </w:lvl>
    <w:lvl w:ilvl="4">
      <w:numFmt w:val="bullet"/>
      <w:lvlText w:val="•"/>
      <w:lvlJc w:val="left"/>
      <w:pPr>
        <w:ind w:left="3884" w:hanging="211"/>
      </w:pPr>
    </w:lvl>
    <w:lvl w:ilvl="5">
      <w:numFmt w:val="bullet"/>
      <w:lvlText w:val="•"/>
      <w:lvlJc w:val="left"/>
      <w:pPr>
        <w:ind w:left="4830" w:hanging="211"/>
      </w:pPr>
    </w:lvl>
    <w:lvl w:ilvl="6">
      <w:numFmt w:val="bullet"/>
      <w:lvlText w:val="•"/>
      <w:lvlJc w:val="left"/>
      <w:pPr>
        <w:ind w:left="5776" w:hanging="211"/>
      </w:pPr>
    </w:lvl>
    <w:lvl w:ilvl="7">
      <w:numFmt w:val="bullet"/>
      <w:lvlText w:val="•"/>
      <w:lvlJc w:val="left"/>
      <w:pPr>
        <w:ind w:left="6722" w:hanging="211"/>
      </w:pPr>
    </w:lvl>
    <w:lvl w:ilvl="8">
      <w:numFmt w:val="bullet"/>
      <w:lvlText w:val="•"/>
      <w:lvlJc w:val="left"/>
      <w:pPr>
        <w:ind w:left="7668" w:hanging="211"/>
      </w:pPr>
    </w:lvl>
  </w:abstractNum>
  <w:abstractNum w:abstractNumId="1" w15:restartNumberingAfterBreak="0">
    <w:nsid w:val="08C528D7"/>
    <w:multiLevelType w:val="hybridMultilevel"/>
    <w:tmpl w:val="0302C244"/>
    <w:lvl w:ilvl="0" w:tplc="F2344F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4C3CA7"/>
    <w:multiLevelType w:val="hybridMultilevel"/>
    <w:tmpl w:val="2D348698"/>
    <w:lvl w:ilvl="0" w:tplc="F2344F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1B6A63"/>
    <w:multiLevelType w:val="hybridMultilevel"/>
    <w:tmpl w:val="6332EF88"/>
    <w:lvl w:ilvl="0" w:tplc="F2344F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9E53F2"/>
    <w:multiLevelType w:val="hybridMultilevel"/>
    <w:tmpl w:val="8A963DD6"/>
    <w:lvl w:ilvl="0" w:tplc="F2344F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5729939">
    <w:abstractNumId w:val="4"/>
  </w:num>
  <w:num w:numId="2" w16cid:durableId="98107404">
    <w:abstractNumId w:val="3"/>
  </w:num>
  <w:num w:numId="3" w16cid:durableId="527719251">
    <w:abstractNumId w:val="0"/>
  </w:num>
  <w:num w:numId="4" w16cid:durableId="1720738126">
    <w:abstractNumId w:val="1"/>
  </w:num>
  <w:num w:numId="5" w16cid:durableId="115888308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1F"/>
    <w:rsid w:val="00000528"/>
    <w:rsid w:val="00006CEF"/>
    <w:rsid w:val="00010614"/>
    <w:rsid w:val="00012E66"/>
    <w:rsid w:val="00021936"/>
    <w:rsid w:val="00021CEA"/>
    <w:rsid w:val="00024822"/>
    <w:rsid w:val="00030BA0"/>
    <w:rsid w:val="00040B6D"/>
    <w:rsid w:val="00057725"/>
    <w:rsid w:val="00073F91"/>
    <w:rsid w:val="0007725C"/>
    <w:rsid w:val="00080A03"/>
    <w:rsid w:val="00087B5C"/>
    <w:rsid w:val="00093547"/>
    <w:rsid w:val="00093D76"/>
    <w:rsid w:val="00097B0F"/>
    <w:rsid w:val="000B144F"/>
    <w:rsid w:val="000B47F0"/>
    <w:rsid w:val="000B5FDA"/>
    <w:rsid w:val="000D2806"/>
    <w:rsid w:val="000E1426"/>
    <w:rsid w:val="000F75ED"/>
    <w:rsid w:val="00104B16"/>
    <w:rsid w:val="00110D04"/>
    <w:rsid w:val="001134F8"/>
    <w:rsid w:val="00117455"/>
    <w:rsid w:val="001262E0"/>
    <w:rsid w:val="001368C5"/>
    <w:rsid w:val="00136A8C"/>
    <w:rsid w:val="00145C0C"/>
    <w:rsid w:val="00150C97"/>
    <w:rsid w:val="0015271E"/>
    <w:rsid w:val="001812B1"/>
    <w:rsid w:val="0018774D"/>
    <w:rsid w:val="00196263"/>
    <w:rsid w:val="001A0830"/>
    <w:rsid w:val="001A0837"/>
    <w:rsid w:val="001A7BF4"/>
    <w:rsid w:val="001B321F"/>
    <w:rsid w:val="001B72F9"/>
    <w:rsid w:val="001C4FC8"/>
    <w:rsid w:val="001D3EAC"/>
    <w:rsid w:val="001D4A23"/>
    <w:rsid w:val="001D5338"/>
    <w:rsid w:val="001D6EF9"/>
    <w:rsid w:val="001E170A"/>
    <w:rsid w:val="001F5A61"/>
    <w:rsid w:val="00201986"/>
    <w:rsid w:val="0020225A"/>
    <w:rsid w:val="002025C2"/>
    <w:rsid w:val="0020547C"/>
    <w:rsid w:val="002074F5"/>
    <w:rsid w:val="00207E0A"/>
    <w:rsid w:val="00215074"/>
    <w:rsid w:val="00217F6D"/>
    <w:rsid w:val="00223CF0"/>
    <w:rsid w:val="0022717E"/>
    <w:rsid w:val="0023706E"/>
    <w:rsid w:val="00237F77"/>
    <w:rsid w:val="002454B0"/>
    <w:rsid w:val="002456D8"/>
    <w:rsid w:val="002517E9"/>
    <w:rsid w:val="002525D1"/>
    <w:rsid w:val="0025779F"/>
    <w:rsid w:val="00257FDF"/>
    <w:rsid w:val="00263FE4"/>
    <w:rsid w:val="00271F8A"/>
    <w:rsid w:val="00284AEC"/>
    <w:rsid w:val="00285DC5"/>
    <w:rsid w:val="00287F2A"/>
    <w:rsid w:val="00296EDC"/>
    <w:rsid w:val="002A0C3C"/>
    <w:rsid w:val="002A1A59"/>
    <w:rsid w:val="002B00B6"/>
    <w:rsid w:val="002B0E2E"/>
    <w:rsid w:val="002C0B09"/>
    <w:rsid w:val="002D0611"/>
    <w:rsid w:val="002D08C9"/>
    <w:rsid w:val="002D184B"/>
    <w:rsid w:val="002D3676"/>
    <w:rsid w:val="002D449E"/>
    <w:rsid w:val="002D57AE"/>
    <w:rsid w:val="002E3D14"/>
    <w:rsid w:val="002E4BFF"/>
    <w:rsid w:val="002E5CF2"/>
    <w:rsid w:val="002F407B"/>
    <w:rsid w:val="002F4B51"/>
    <w:rsid w:val="002F6504"/>
    <w:rsid w:val="002F7791"/>
    <w:rsid w:val="00306EEF"/>
    <w:rsid w:val="00307DA5"/>
    <w:rsid w:val="00310084"/>
    <w:rsid w:val="003143F8"/>
    <w:rsid w:val="00314BE6"/>
    <w:rsid w:val="00321459"/>
    <w:rsid w:val="00322A8D"/>
    <w:rsid w:val="00323AB2"/>
    <w:rsid w:val="00325E73"/>
    <w:rsid w:val="00326A0D"/>
    <w:rsid w:val="00340594"/>
    <w:rsid w:val="003508EA"/>
    <w:rsid w:val="00350D8B"/>
    <w:rsid w:val="003542C0"/>
    <w:rsid w:val="003612CF"/>
    <w:rsid w:val="00370B82"/>
    <w:rsid w:val="00371096"/>
    <w:rsid w:val="0038045F"/>
    <w:rsid w:val="00382286"/>
    <w:rsid w:val="003846DD"/>
    <w:rsid w:val="0038552B"/>
    <w:rsid w:val="0039195C"/>
    <w:rsid w:val="00394678"/>
    <w:rsid w:val="003D43EC"/>
    <w:rsid w:val="003D6AA0"/>
    <w:rsid w:val="003F1FC7"/>
    <w:rsid w:val="003F3451"/>
    <w:rsid w:val="003F4494"/>
    <w:rsid w:val="004040A7"/>
    <w:rsid w:val="00411761"/>
    <w:rsid w:val="0042223A"/>
    <w:rsid w:val="0042559D"/>
    <w:rsid w:val="004273B0"/>
    <w:rsid w:val="00427FE7"/>
    <w:rsid w:val="00433CC9"/>
    <w:rsid w:val="0043588F"/>
    <w:rsid w:val="0045008B"/>
    <w:rsid w:val="00452ED8"/>
    <w:rsid w:val="00454BB1"/>
    <w:rsid w:val="00455270"/>
    <w:rsid w:val="0045690C"/>
    <w:rsid w:val="00466858"/>
    <w:rsid w:val="00471C42"/>
    <w:rsid w:val="00474004"/>
    <w:rsid w:val="00480308"/>
    <w:rsid w:val="00480C65"/>
    <w:rsid w:val="004A4ABF"/>
    <w:rsid w:val="004B3122"/>
    <w:rsid w:val="004B45AF"/>
    <w:rsid w:val="004C299F"/>
    <w:rsid w:val="004D64CE"/>
    <w:rsid w:val="004F073C"/>
    <w:rsid w:val="00500A5C"/>
    <w:rsid w:val="005017A4"/>
    <w:rsid w:val="005024BF"/>
    <w:rsid w:val="00503EEC"/>
    <w:rsid w:val="00505339"/>
    <w:rsid w:val="00506CF0"/>
    <w:rsid w:val="005100C5"/>
    <w:rsid w:val="005131DF"/>
    <w:rsid w:val="00532035"/>
    <w:rsid w:val="00532A0D"/>
    <w:rsid w:val="0053327D"/>
    <w:rsid w:val="00534DA1"/>
    <w:rsid w:val="0053695F"/>
    <w:rsid w:val="005431AA"/>
    <w:rsid w:val="00543755"/>
    <w:rsid w:val="00550371"/>
    <w:rsid w:val="005512EC"/>
    <w:rsid w:val="00575CD2"/>
    <w:rsid w:val="00580657"/>
    <w:rsid w:val="005826FE"/>
    <w:rsid w:val="005846F5"/>
    <w:rsid w:val="00591867"/>
    <w:rsid w:val="005A0D49"/>
    <w:rsid w:val="005B2C9E"/>
    <w:rsid w:val="005B5A8F"/>
    <w:rsid w:val="005C5F9C"/>
    <w:rsid w:val="005E64D2"/>
    <w:rsid w:val="005F58BE"/>
    <w:rsid w:val="006266A6"/>
    <w:rsid w:val="006270E9"/>
    <w:rsid w:val="0063250B"/>
    <w:rsid w:val="0063558E"/>
    <w:rsid w:val="00643041"/>
    <w:rsid w:val="00663889"/>
    <w:rsid w:val="006667D8"/>
    <w:rsid w:val="00670661"/>
    <w:rsid w:val="0067392A"/>
    <w:rsid w:val="006745B6"/>
    <w:rsid w:val="00683880"/>
    <w:rsid w:val="00693873"/>
    <w:rsid w:val="00693AB8"/>
    <w:rsid w:val="006945AA"/>
    <w:rsid w:val="006A2BD9"/>
    <w:rsid w:val="006A49AF"/>
    <w:rsid w:val="006B7A33"/>
    <w:rsid w:val="006C5009"/>
    <w:rsid w:val="006D4D0A"/>
    <w:rsid w:val="006D4D4B"/>
    <w:rsid w:val="006D7790"/>
    <w:rsid w:val="006F7753"/>
    <w:rsid w:val="00702382"/>
    <w:rsid w:val="00705824"/>
    <w:rsid w:val="00710A42"/>
    <w:rsid w:val="00711925"/>
    <w:rsid w:val="007274D3"/>
    <w:rsid w:val="00732BFD"/>
    <w:rsid w:val="00736435"/>
    <w:rsid w:val="007471B3"/>
    <w:rsid w:val="00756D1F"/>
    <w:rsid w:val="00760D4F"/>
    <w:rsid w:val="0076119B"/>
    <w:rsid w:val="007704DB"/>
    <w:rsid w:val="007814AB"/>
    <w:rsid w:val="007904C4"/>
    <w:rsid w:val="0079139B"/>
    <w:rsid w:val="00794E77"/>
    <w:rsid w:val="007A2E03"/>
    <w:rsid w:val="007B66B8"/>
    <w:rsid w:val="007B778B"/>
    <w:rsid w:val="007B7ACD"/>
    <w:rsid w:val="007C1EEA"/>
    <w:rsid w:val="007C4F44"/>
    <w:rsid w:val="007D0BA6"/>
    <w:rsid w:val="007D6DF3"/>
    <w:rsid w:val="007D6F0C"/>
    <w:rsid w:val="007E321F"/>
    <w:rsid w:val="007F001D"/>
    <w:rsid w:val="007F0F83"/>
    <w:rsid w:val="00804E51"/>
    <w:rsid w:val="0082005C"/>
    <w:rsid w:val="00822BB3"/>
    <w:rsid w:val="00827B5E"/>
    <w:rsid w:val="00830DB0"/>
    <w:rsid w:val="00835D39"/>
    <w:rsid w:val="00851598"/>
    <w:rsid w:val="00852EB4"/>
    <w:rsid w:val="0085483C"/>
    <w:rsid w:val="00863E72"/>
    <w:rsid w:val="0087737A"/>
    <w:rsid w:val="00895EE8"/>
    <w:rsid w:val="008A4EFA"/>
    <w:rsid w:val="008A5E31"/>
    <w:rsid w:val="008B7628"/>
    <w:rsid w:val="008C366E"/>
    <w:rsid w:val="008D1480"/>
    <w:rsid w:val="008D19FD"/>
    <w:rsid w:val="008D4AFB"/>
    <w:rsid w:val="008D72CD"/>
    <w:rsid w:val="008D755F"/>
    <w:rsid w:val="008E1A6F"/>
    <w:rsid w:val="008E243C"/>
    <w:rsid w:val="008E4B6E"/>
    <w:rsid w:val="008F118E"/>
    <w:rsid w:val="009038D4"/>
    <w:rsid w:val="00907815"/>
    <w:rsid w:val="00912EA2"/>
    <w:rsid w:val="009143EF"/>
    <w:rsid w:val="00921A1A"/>
    <w:rsid w:val="009303B2"/>
    <w:rsid w:val="00933E23"/>
    <w:rsid w:val="0094749C"/>
    <w:rsid w:val="00954355"/>
    <w:rsid w:val="00960168"/>
    <w:rsid w:val="009741FE"/>
    <w:rsid w:val="009763A0"/>
    <w:rsid w:val="00976ADF"/>
    <w:rsid w:val="009936FB"/>
    <w:rsid w:val="009A2062"/>
    <w:rsid w:val="009A35BA"/>
    <w:rsid w:val="009C0C0F"/>
    <w:rsid w:val="009C2C35"/>
    <w:rsid w:val="009C76E9"/>
    <w:rsid w:val="009D33DC"/>
    <w:rsid w:val="009D5960"/>
    <w:rsid w:val="009E19EE"/>
    <w:rsid w:val="009F2A78"/>
    <w:rsid w:val="009F6071"/>
    <w:rsid w:val="00A028A5"/>
    <w:rsid w:val="00A056AC"/>
    <w:rsid w:val="00A07411"/>
    <w:rsid w:val="00A07464"/>
    <w:rsid w:val="00A07A63"/>
    <w:rsid w:val="00A133C0"/>
    <w:rsid w:val="00A2012D"/>
    <w:rsid w:val="00A2306E"/>
    <w:rsid w:val="00A2319F"/>
    <w:rsid w:val="00A27295"/>
    <w:rsid w:val="00A30204"/>
    <w:rsid w:val="00A41BFF"/>
    <w:rsid w:val="00A42ACF"/>
    <w:rsid w:val="00A459B1"/>
    <w:rsid w:val="00A56A58"/>
    <w:rsid w:val="00A577F5"/>
    <w:rsid w:val="00A61BB5"/>
    <w:rsid w:val="00A61F32"/>
    <w:rsid w:val="00A62FEB"/>
    <w:rsid w:val="00A76DFC"/>
    <w:rsid w:val="00A812A6"/>
    <w:rsid w:val="00A9328B"/>
    <w:rsid w:val="00A94F06"/>
    <w:rsid w:val="00A951F6"/>
    <w:rsid w:val="00A96D8D"/>
    <w:rsid w:val="00AA1A74"/>
    <w:rsid w:val="00AA30E4"/>
    <w:rsid w:val="00AB1309"/>
    <w:rsid w:val="00AB4156"/>
    <w:rsid w:val="00AD129A"/>
    <w:rsid w:val="00AE4CF7"/>
    <w:rsid w:val="00AE799D"/>
    <w:rsid w:val="00B067AA"/>
    <w:rsid w:val="00B10764"/>
    <w:rsid w:val="00B13A51"/>
    <w:rsid w:val="00B334E5"/>
    <w:rsid w:val="00B44C13"/>
    <w:rsid w:val="00B533E5"/>
    <w:rsid w:val="00B61AED"/>
    <w:rsid w:val="00B64445"/>
    <w:rsid w:val="00B6678D"/>
    <w:rsid w:val="00B702D2"/>
    <w:rsid w:val="00B74BBD"/>
    <w:rsid w:val="00B81BA0"/>
    <w:rsid w:val="00B83364"/>
    <w:rsid w:val="00B87D70"/>
    <w:rsid w:val="00B9082E"/>
    <w:rsid w:val="00B96FE1"/>
    <w:rsid w:val="00BA457B"/>
    <w:rsid w:val="00BB12BC"/>
    <w:rsid w:val="00BB170F"/>
    <w:rsid w:val="00BB2EFA"/>
    <w:rsid w:val="00BC12C8"/>
    <w:rsid w:val="00BC3161"/>
    <w:rsid w:val="00BC6CB3"/>
    <w:rsid w:val="00BD5320"/>
    <w:rsid w:val="00C02885"/>
    <w:rsid w:val="00C13C9C"/>
    <w:rsid w:val="00C1423A"/>
    <w:rsid w:val="00C165DC"/>
    <w:rsid w:val="00C22213"/>
    <w:rsid w:val="00C253C8"/>
    <w:rsid w:val="00C32A97"/>
    <w:rsid w:val="00C41C07"/>
    <w:rsid w:val="00C42406"/>
    <w:rsid w:val="00C457A1"/>
    <w:rsid w:val="00C51018"/>
    <w:rsid w:val="00C51D24"/>
    <w:rsid w:val="00C555BF"/>
    <w:rsid w:val="00C56E8A"/>
    <w:rsid w:val="00C67B3E"/>
    <w:rsid w:val="00C67F99"/>
    <w:rsid w:val="00C77951"/>
    <w:rsid w:val="00C80A84"/>
    <w:rsid w:val="00C81838"/>
    <w:rsid w:val="00C86656"/>
    <w:rsid w:val="00CB0F78"/>
    <w:rsid w:val="00CB1EF3"/>
    <w:rsid w:val="00CB4386"/>
    <w:rsid w:val="00CC34AC"/>
    <w:rsid w:val="00CC6935"/>
    <w:rsid w:val="00CD31B3"/>
    <w:rsid w:val="00CD4219"/>
    <w:rsid w:val="00CD4622"/>
    <w:rsid w:val="00CF11C1"/>
    <w:rsid w:val="00CF67E9"/>
    <w:rsid w:val="00D03B85"/>
    <w:rsid w:val="00D04174"/>
    <w:rsid w:val="00D07A3D"/>
    <w:rsid w:val="00D11C8F"/>
    <w:rsid w:val="00D12A4E"/>
    <w:rsid w:val="00D14236"/>
    <w:rsid w:val="00D22318"/>
    <w:rsid w:val="00D22488"/>
    <w:rsid w:val="00D33C0F"/>
    <w:rsid w:val="00D35830"/>
    <w:rsid w:val="00D552D4"/>
    <w:rsid w:val="00D631AC"/>
    <w:rsid w:val="00D650FD"/>
    <w:rsid w:val="00D704D4"/>
    <w:rsid w:val="00D71EC9"/>
    <w:rsid w:val="00D75D2A"/>
    <w:rsid w:val="00D76CC0"/>
    <w:rsid w:val="00D86859"/>
    <w:rsid w:val="00D93090"/>
    <w:rsid w:val="00D9636A"/>
    <w:rsid w:val="00D966ED"/>
    <w:rsid w:val="00D97E61"/>
    <w:rsid w:val="00DA2427"/>
    <w:rsid w:val="00DA3635"/>
    <w:rsid w:val="00DC2170"/>
    <w:rsid w:val="00DD744C"/>
    <w:rsid w:val="00DE03A6"/>
    <w:rsid w:val="00DE094C"/>
    <w:rsid w:val="00DE2502"/>
    <w:rsid w:val="00DF3F7D"/>
    <w:rsid w:val="00E0617A"/>
    <w:rsid w:val="00E14084"/>
    <w:rsid w:val="00E24735"/>
    <w:rsid w:val="00E24E20"/>
    <w:rsid w:val="00E304F4"/>
    <w:rsid w:val="00E31EA2"/>
    <w:rsid w:val="00E3285E"/>
    <w:rsid w:val="00E3449C"/>
    <w:rsid w:val="00E357FD"/>
    <w:rsid w:val="00E4590E"/>
    <w:rsid w:val="00E50D32"/>
    <w:rsid w:val="00E52F23"/>
    <w:rsid w:val="00E57041"/>
    <w:rsid w:val="00E62BED"/>
    <w:rsid w:val="00E65425"/>
    <w:rsid w:val="00E82A18"/>
    <w:rsid w:val="00E91B0B"/>
    <w:rsid w:val="00E97D14"/>
    <w:rsid w:val="00EA22EA"/>
    <w:rsid w:val="00EB2304"/>
    <w:rsid w:val="00ED4945"/>
    <w:rsid w:val="00EF069C"/>
    <w:rsid w:val="00EF5147"/>
    <w:rsid w:val="00F02AC2"/>
    <w:rsid w:val="00F03B9B"/>
    <w:rsid w:val="00F04746"/>
    <w:rsid w:val="00F056A5"/>
    <w:rsid w:val="00F06EBB"/>
    <w:rsid w:val="00F239D6"/>
    <w:rsid w:val="00F3195C"/>
    <w:rsid w:val="00F323FE"/>
    <w:rsid w:val="00F33D3C"/>
    <w:rsid w:val="00F4349F"/>
    <w:rsid w:val="00F55116"/>
    <w:rsid w:val="00F65BD8"/>
    <w:rsid w:val="00F67245"/>
    <w:rsid w:val="00F96F19"/>
    <w:rsid w:val="00FB6E02"/>
    <w:rsid w:val="00FC2651"/>
    <w:rsid w:val="00FC6A90"/>
    <w:rsid w:val="00FE5550"/>
    <w:rsid w:val="00FE675F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7DB2"/>
  <w15:chartTrackingRefBased/>
  <w15:docId w15:val="{97F9144C-C7DF-49EE-B79B-D54893AE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B3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2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2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32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1B321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D3676"/>
    <w:pPr>
      <w:ind w:left="720"/>
      <w:contextualSpacing/>
    </w:pPr>
  </w:style>
  <w:style w:type="table" w:styleId="a5">
    <w:name w:val="Table Grid"/>
    <w:basedOn w:val="a1"/>
    <w:uiPriority w:val="39"/>
    <w:rsid w:val="00580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0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1">
    <w:name w:val="p1"/>
    <w:basedOn w:val="a"/>
    <w:rsid w:val="0046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66858"/>
    <w:rPr>
      <w:i/>
      <w:iCs/>
    </w:rPr>
  </w:style>
  <w:style w:type="character" w:styleId="a7">
    <w:name w:val="Hyperlink"/>
    <w:basedOn w:val="a0"/>
    <w:uiPriority w:val="99"/>
    <w:unhideWhenUsed/>
    <w:rsid w:val="00AA1A74"/>
    <w:rPr>
      <w:color w:val="0563C1" w:themeColor="hyperlink"/>
      <w:u w:val="single"/>
    </w:rPr>
  </w:style>
  <w:style w:type="character" w:customStyle="1" w:styleId="ft15">
    <w:name w:val="ft15"/>
    <w:basedOn w:val="a0"/>
    <w:rsid w:val="006D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 /><Relationship Id="rId13" Type="http://schemas.openxmlformats.org/officeDocument/2006/relationships/image" Target="media/image8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gif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1" Type="http://schemas.openxmlformats.org/officeDocument/2006/relationships/customXml" Target="../customXml/item1.xml" /><Relationship Id="rId6" Type="http://schemas.openxmlformats.org/officeDocument/2006/relationships/image" Target="media/image1.gif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4.gif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B788D-BEA2-4467-A5B3-098FA1A7CA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Shturman</dc:creator>
  <cp:keywords/>
  <dc:description/>
  <cp:lastModifiedBy>Никита Ершов</cp:lastModifiedBy>
  <cp:revision>2</cp:revision>
  <dcterms:created xsi:type="dcterms:W3CDTF">2023-03-20T11:13:00Z</dcterms:created>
  <dcterms:modified xsi:type="dcterms:W3CDTF">2023-03-20T11:13:00Z</dcterms:modified>
</cp:coreProperties>
</file>