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Business Requirements Document (BRD)</w:t>
      </w:r>
    </w:p>
    <w:p>
      <w:pPr>
        <w:jc w:val="center"/>
      </w:pPr>
      <w:r>
        <w:rPr>
          <w:i/>
          <w:sz w:val="22"/>
        </w:rPr>
        <w:t>Enterprise Personal Investment &amp; Financial Planning Model</w:t>
      </w:r>
    </w:p>
    <w:p>
      <w:pPr>
        <w:jc w:val="center"/>
      </w:pPr>
      <w:r>
        <w:rPr>
          <w:sz w:val="18"/>
        </w:rPr>
        <w:t>Version 1.0 | 16 September 2026 | Enterprise build specification</w:t>
      </w:r>
    </w:p>
    <w:p>
      <w:r>
        <w:br w:type="page"/>
      </w:r>
    </w:p>
    <w:p>
      <w:pPr>
        <w:pStyle w:val="Heading1"/>
      </w:pPr>
      <w:r>
        <w:t>1. Product brief for the coding agent</w:t>
      </w:r>
    </w:p>
    <w:p>
      <w:r>
        <w:t>Build a secure, auditable personal-finance decision-support application for a UAE-based individual. It will ingest verified financial evidence, maintain provenance and assumptions, model household finances and inflation, construct and compare portfolios, run historical/stress/Monte Carlo analyses, and report goal-achievement probabilities with clear limitations. It is not an autonomous trading engine and is not a substitute for regulated financial advice.</w:t>
      </w:r>
    </w:p>
    <w:p>
      <w:r>
        <w:t>The product owner has zero coding knowledge and this is their first AI-built software project. The coding agent must use plain-language documentation, conservative defaults, guided setup, reproducible scripts, explicit acceptance criteria, and must never require the owner to infer technical steps.</w:t>
      </w:r>
    </w:p>
    <w:p>
      <w:pPr>
        <w:pStyle w:val="Heading1"/>
      </w:pPr>
      <w:r>
        <w:t>2. Consolidated-report validation and gap decision</w:t>
      </w:r>
    </w:p>
    <w:p>
      <w:r>
        <w:t>The consolidation is directionally correct and well governed, but it is not yet a complete investment evidence base. The current research is best treated as an early evidence layer. Engineering can begin now, but production investment outputs must be gated until missing research is completed and verified.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Area</w:t>
            </w:r>
          </w:p>
        </w:tc>
        <w:tc>
          <w:tcPr>
            <w:tcW w:type="dxa" w:w="3408"/>
            <w:shd w:fill="D9EAF7"/>
          </w:tcPr>
          <w:p>
            <w:r>
              <w:rPr>
                <w:b/>
                <w:sz w:val="16"/>
              </w:rPr>
              <w:t>Status</w:t>
            </w:r>
          </w:p>
        </w:tc>
        <w:tc>
          <w:tcPr>
            <w:tcW w:type="dxa" w:w="3408"/>
            <w:shd w:fill="D9EAF7"/>
          </w:tcPr>
          <w:p>
            <w:r>
              <w:rPr>
                <w:b/>
                <w:sz w:val="16"/>
              </w:rPr>
              <w:t>Treatment</w:t>
            </w:r>
          </w:p>
        </w:tc>
      </w:tr>
      <w:tr>
        <w:tc>
          <w:tcPr>
            <w:tcW w:type="dxa" w:w="3408"/>
            <w:vAlign w:val="center"/>
          </w:tcPr>
          <w:p>
            <w:r>
              <w:rPr>
                <w:sz w:val="16"/>
              </w:rPr>
              <w:t>Evidence/provenance architecture</w:t>
            </w:r>
          </w:p>
        </w:tc>
        <w:tc>
          <w:tcPr>
            <w:tcW w:type="dxa" w:w="3408"/>
            <w:vAlign w:val="center"/>
          </w:tcPr>
          <w:p>
            <w:r>
              <w:rPr>
                <w:sz w:val="16"/>
              </w:rPr>
              <w:t>Strong foundation</w:t>
            </w:r>
          </w:p>
        </w:tc>
        <w:tc>
          <w:tcPr>
            <w:tcW w:type="dxa" w:w="3408"/>
            <w:vAlign w:val="center"/>
          </w:tcPr>
          <w:p>
            <w:r>
              <w:rPr>
                <w:sz w:val="16"/>
              </w:rPr>
              <w:t>Build first-class provenance, assumptions and validation registers.</w:t>
            </w:r>
          </w:p>
        </w:tc>
      </w:tr>
      <w:tr>
        <w:tc>
          <w:tcPr>
            <w:tcW w:type="dxa" w:w="3408"/>
            <w:vAlign w:val="center"/>
          </w:tcPr>
          <w:p>
            <w:r>
              <w:rPr>
                <w:sz w:val="16"/>
              </w:rPr>
              <w:t>Macro / AED-USD / rates / inflation</w:t>
            </w:r>
          </w:p>
        </w:tc>
        <w:tc>
          <w:tcPr>
            <w:tcW w:type="dxa" w:w="3408"/>
            <w:vAlign w:val="center"/>
          </w:tcPr>
          <w:p>
            <w:r>
              <w:rPr>
                <w:sz w:val="16"/>
              </w:rPr>
              <w:t>Started</w:t>
            </w:r>
          </w:p>
        </w:tc>
        <w:tc>
          <w:tcPr>
            <w:tcW w:type="dxa" w:w="3408"/>
            <w:vAlign w:val="center"/>
          </w:tcPr>
          <w:p>
            <w:r>
              <w:rPr>
                <w:sz w:val="16"/>
              </w:rPr>
              <w:t>Support now; require data_as_of and freshness rules.</w:t>
            </w:r>
          </w:p>
        </w:tc>
      </w:tr>
      <w:tr>
        <w:tc>
          <w:tcPr>
            <w:tcW w:type="dxa" w:w="3408"/>
            <w:vAlign w:val="center"/>
          </w:tcPr>
          <w:p>
            <w:r>
              <w:rPr>
                <w:sz w:val="16"/>
              </w:rPr>
              <w:t>Risky-asset assumptions</w:t>
            </w:r>
          </w:p>
        </w:tc>
        <w:tc>
          <w:tcPr>
            <w:tcW w:type="dxa" w:w="3408"/>
            <w:vAlign w:val="center"/>
          </w:tcPr>
          <w:p>
            <w:r>
              <w:rPr>
                <w:sz w:val="16"/>
              </w:rPr>
              <w:t>Materially incomplete</w:t>
            </w:r>
          </w:p>
        </w:tc>
        <w:tc>
          <w:tcPr>
            <w:tcW w:type="dxa" w:w="3408"/>
            <w:vAlign w:val="center"/>
          </w:tcPr>
          <w:p>
            <w:r>
              <w:rPr>
                <w:sz w:val="16"/>
              </w:rPr>
              <w:t>Block production portfolio recommendations until verified.</w:t>
            </w:r>
          </w:p>
        </w:tc>
      </w:tr>
      <w:tr>
        <w:tc>
          <w:tcPr>
            <w:tcW w:type="dxa" w:w="3408"/>
            <w:vAlign w:val="center"/>
          </w:tcPr>
          <w:p>
            <w:r>
              <w:rPr>
                <w:sz w:val="16"/>
              </w:rPr>
              <w:t>UAE products, fees, regulation, tax/estate</w:t>
            </w:r>
          </w:p>
        </w:tc>
        <w:tc>
          <w:tcPr>
            <w:tcW w:type="dxa" w:w="3408"/>
            <w:vAlign w:val="center"/>
          </w:tcPr>
          <w:p>
            <w:r>
              <w:rPr>
                <w:sz w:val="16"/>
              </w:rPr>
              <w:t>Materially incomplete</w:t>
            </w:r>
          </w:p>
        </w:tc>
        <w:tc>
          <w:tcPr>
            <w:tcW w:type="dxa" w:w="3408"/>
            <w:vAlign w:val="center"/>
          </w:tcPr>
          <w:p>
            <w:r>
              <w:rPr>
                <w:sz w:val="16"/>
              </w:rPr>
              <w:t>Build schema/workflow; keep dependent outputs gated.</w:t>
            </w:r>
          </w:p>
        </w:tc>
      </w:tr>
      <w:tr>
        <w:tc>
          <w:tcPr>
            <w:tcW w:type="dxa" w:w="3408"/>
            <w:vAlign w:val="center"/>
          </w:tcPr>
          <w:p>
            <w:r>
              <w:rPr>
                <w:sz w:val="16"/>
              </w:rPr>
              <w:t>Backtesting, stress, Monte Carlo</w:t>
            </w:r>
          </w:p>
        </w:tc>
        <w:tc>
          <w:tcPr>
            <w:tcW w:type="dxa" w:w="3408"/>
            <w:vAlign w:val="center"/>
          </w:tcPr>
          <w:p>
            <w:r>
              <w:rPr>
                <w:sz w:val="16"/>
              </w:rPr>
              <w:t>Method direction exists; calibration incomplete</w:t>
            </w:r>
          </w:p>
        </w:tc>
        <w:tc>
          <w:tcPr>
            <w:tcW w:type="dxa" w:w="3408"/>
            <w:vAlign w:val="center"/>
          </w:tcPr>
          <w:p>
            <w:r>
              <w:rPr>
                <w:sz w:val="16"/>
              </w:rPr>
              <w:t>Build with validation harnesses and explicit limitations.</w:t>
            </w:r>
          </w:p>
        </w:tc>
      </w:tr>
      <w:tr>
        <w:tc>
          <w:tcPr>
            <w:tcW w:type="dxa" w:w="3408"/>
            <w:vAlign w:val="center"/>
          </w:tcPr>
          <w:p>
            <w:r>
              <w:rPr>
                <w:sz w:val="16"/>
              </w:rPr>
              <w:t>Enterprise security/SDLC</w:t>
            </w:r>
          </w:p>
        </w:tc>
        <w:tc>
          <w:tcPr>
            <w:tcW w:type="dxa" w:w="3408"/>
            <w:vAlign w:val="center"/>
          </w:tcPr>
          <w:p>
            <w:r>
              <w:rPr>
                <w:sz w:val="16"/>
              </w:rPr>
              <w:t>Not sufficiently specified</w:t>
            </w:r>
          </w:p>
        </w:tc>
        <w:tc>
          <w:tcPr>
            <w:tcW w:type="dxa" w:w="3408"/>
            <w:vAlign w:val="center"/>
          </w:tcPr>
          <w:p>
            <w:r>
              <w:rPr>
                <w:sz w:val="16"/>
              </w:rPr>
              <w:t>Added as mandatory non-functional requirements.</w:t>
            </w:r>
          </w:p>
        </w:tc>
      </w:tr>
    </w:tbl>
    <w:p/>
    <w:p>
      <w:pPr>
        <w:pStyle w:val="Heading1"/>
      </w:pPr>
      <w:r>
        <w:t>3. Business objectives</w:t>
      </w:r>
    </w:p>
    <w:p>
      <w:pPr>
        <w:pStyle w:val="ListBullet"/>
      </w:pPr>
      <w:r>
        <w:t>Create a traceable chain from evidence → provenance → assumptions → portfolio → risk/goal outputs.</w:t>
      </w:r>
    </w:p>
    <w:p>
      <w:pPr>
        <w:pStyle w:val="ListBullet"/>
      </w:pPr>
      <w:r>
        <w:t>Prevent unsupported, stale or unverified assumptions from entering production calculations.</w:t>
      </w:r>
    </w:p>
    <w:p>
      <w:pPr>
        <w:pStyle w:val="ListBullet"/>
      </w:pPr>
      <w:r>
        <w:t>Compare investments by expected return, loss risk, drawdown, liquidity, fees, inflation and goal probability.</w:t>
      </w:r>
    </w:p>
    <w:p>
      <w:pPr>
        <w:pStyle w:val="ListBullet"/>
      </w:pPr>
      <w:r>
        <w:t>Support low-to-medium risk planning with explicit downside and scenario analysis.</w:t>
      </w:r>
    </w:p>
    <w:p>
      <w:pPr>
        <w:pStyle w:val="ListBullet"/>
      </w:pPr>
      <w:r>
        <w:t>Make the system understandable and operable by a non-technical owner.</w:t>
      </w:r>
    </w:p>
    <w:p>
      <w:pPr>
        <w:pStyle w:val="ListBullet"/>
      </w:pPr>
      <w:r>
        <w:t>Use enterprise-style software governance even if initially used by one person.</w:t>
      </w:r>
    </w:p>
    <w:p>
      <w:pPr>
        <w:pStyle w:val="Heading1"/>
      </w:pPr>
      <w:r>
        <w:t>4. Scope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In scope</w:t>
            </w:r>
          </w:p>
        </w:tc>
        <w:tc>
          <w:tcPr>
            <w:tcW w:type="dxa" w:w="5112"/>
            <w:shd w:fill="D9EAF7"/>
          </w:tcPr>
          <w:p>
            <w:r>
              <w:rPr>
                <w:b/>
                <w:sz w:val="16"/>
              </w:rPr>
              <w:t>Out of initial scope</w:t>
            </w:r>
          </w:p>
        </w:tc>
      </w:tr>
      <w:tr>
        <w:tc>
          <w:tcPr>
            <w:tcW w:type="dxa" w:w="5112"/>
            <w:vAlign w:val="center"/>
          </w:tcPr>
          <w:p>
            <w:r>
              <w:rPr>
                <w:sz w:val="16"/>
              </w:rPr>
              <w:t>Evidence, provenance, assumptions and validation registers</w:t>
            </w:r>
          </w:p>
        </w:tc>
        <w:tc>
          <w:tcPr>
            <w:tcW w:type="dxa" w:w="5112"/>
            <w:vAlign w:val="center"/>
          </w:tcPr>
          <w:p>
            <w:r>
              <w:rPr>
                <w:sz w:val="16"/>
              </w:rPr>
              <w:t>Automated brokerage execution/custody</w:t>
            </w:r>
          </w:p>
        </w:tc>
      </w:tr>
      <w:tr>
        <w:tc>
          <w:tcPr>
            <w:tcW w:type="dxa" w:w="5112"/>
            <w:vAlign w:val="center"/>
          </w:tcPr>
          <w:p>
            <w:r>
              <w:rPr>
                <w:sz w:val="16"/>
              </w:rPr>
              <w:t>Personal balance sheet, cash flow, goals and household inflation</w:t>
            </w:r>
          </w:p>
        </w:tc>
        <w:tc>
          <w:tcPr>
            <w:tcW w:type="dxa" w:w="5112"/>
            <w:vAlign w:val="center"/>
          </w:tcPr>
          <w:p>
            <w:r>
              <w:rPr>
                <w:sz w:val="16"/>
              </w:rPr>
              <w:t>High-frequency/speculative signal generation</w:t>
            </w:r>
          </w:p>
        </w:tc>
      </w:tr>
      <w:tr>
        <w:tc>
          <w:tcPr>
            <w:tcW w:type="dxa" w:w="5112"/>
            <w:vAlign w:val="center"/>
          </w:tcPr>
          <w:p>
            <w:r>
              <w:rPr>
                <w:sz w:val="16"/>
              </w:rPr>
              <w:t>Capital-market assumptions and scenarios</w:t>
            </w:r>
          </w:p>
        </w:tc>
        <w:tc>
          <w:tcPr>
            <w:tcW w:type="dxa" w:w="5112"/>
            <w:vAlign w:val="center"/>
          </w:tcPr>
          <w:p>
            <w:r>
              <w:rPr>
                <w:sz w:val="16"/>
              </w:rPr>
              <w:t>Leverage/margin/derivatives execution</w:t>
            </w:r>
          </w:p>
        </w:tc>
      </w:tr>
      <w:tr>
        <w:tc>
          <w:tcPr>
            <w:tcW w:type="dxa" w:w="5112"/>
            <w:vAlign w:val="center"/>
          </w:tcPr>
          <w:p>
            <w:r>
              <w:rPr>
                <w:sz w:val="16"/>
              </w:rPr>
              <w:t>Portfolio construction/comparison</w:t>
            </w:r>
          </w:p>
        </w:tc>
        <w:tc>
          <w:tcPr>
            <w:tcW w:type="dxa" w:w="5112"/>
            <w:vAlign w:val="center"/>
          </w:tcPr>
          <w:p>
            <w:r>
              <w:rPr>
                <w:sz w:val="16"/>
              </w:rPr>
              <w:t>Unverified web-scraped inputs in production</w:t>
            </w:r>
          </w:p>
        </w:tc>
      </w:tr>
      <w:tr>
        <w:tc>
          <w:tcPr>
            <w:tcW w:type="dxa" w:w="5112"/>
            <w:vAlign w:val="center"/>
          </w:tcPr>
          <w:p>
            <w:r>
              <w:rPr>
                <w:sz w:val="16"/>
              </w:rPr>
              <w:t>Backtesting, stress, Monte Carlo and goal probability</w:t>
            </w:r>
          </w:p>
        </w:tc>
        <w:tc>
          <w:tcPr>
            <w:tcW w:type="dxa" w:w="5112"/>
            <w:vAlign w:val="center"/>
          </w:tcPr>
          <w:p>
            <w:r>
              <w:rPr>
                <w:sz w:val="16"/>
              </w:rPr>
              <w:t>Legal/tax conclusions without verified evidence</w:t>
            </w:r>
          </w:p>
        </w:tc>
      </w:tr>
      <w:tr>
        <w:tc>
          <w:tcPr>
            <w:tcW w:type="dxa" w:w="5112"/>
            <w:vAlign w:val="center"/>
          </w:tcPr>
          <w:p>
            <w:r>
              <w:rPr>
                <w:sz w:val="16"/>
              </w:rPr>
              <w:t>Product due diligence and UAE implementability</w:t>
            </w:r>
          </w:p>
        </w:tc>
        <w:tc>
          <w:tcPr>
            <w:tcW w:type="dxa" w:w="5112"/>
            <w:vAlign w:val="center"/>
          </w:tcPr>
          <w:p>
            <w:r>
              <w:rPr>
                <w:sz w:val="16"/>
              </w:rPr>
              <w:t>Public multi-tenant SaaS in MVP</w:t>
            </w:r>
          </w:p>
        </w:tc>
      </w:tr>
      <w:tr>
        <w:tc>
          <w:tcPr>
            <w:tcW w:type="dxa" w:w="5112"/>
            <w:vAlign w:val="center"/>
          </w:tcPr>
          <w:p>
            <w:r>
              <w:rPr>
                <w:sz w:val="16"/>
              </w:rPr>
              <w:t>Audit logs, reports, exports and documentation</w:t>
            </w:r>
          </w:p>
        </w:tc>
        <w:tc>
          <w:tcPr>
            <w:tcW w:type="dxa" w:w="5112"/>
            <w:vAlign w:val="center"/>
          </w:tcPr>
          <w:p>
            <w:r>
              <w:rPr>
                <w:sz w:val="16"/>
              </w:rPr>
              <w:t>Guaranteed-return or certainty claims</w:t>
            </w:r>
          </w:p>
        </w:tc>
      </w:tr>
    </w:tbl>
    <w:p/>
    <w:p>
      <w:pPr>
        <w:pStyle w:val="Heading1"/>
      </w:pPr>
      <w:r>
        <w:t>5. Business roles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Role</w:t>
            </w:r>
          </w:p>
        </w:tc>
        <w:tc>
          <w:tcPr>
            <w:tcW w:type="dxa" w:w="3408"/>
            <w:shd w:fill="D9EAF7"/>
          </w:tcPr>
          <w:p>
            <w:r>
              <w:rPr>
                <w:b/>
                <w:sz w:val="16"/>
              </w:rPr>
              <w:t>Purpose</w:t>
            </w:r>
          </w:p>
        </w:tc>
        <w:tc>
          <w:tcPr>
            <w:tcW w:type="dxa" w:w="3408"/>
            <w:shd w:fill="D9EAF7"/>
          </w:tcPr>
          <w:p>
            <w:r>
              <w:rPr>
                <w:b/>
                <w:sz w:val="16"/>
              </w:rPr>
              <w:t>Permissions</w:t>
            </w:r>
          </w:p>
        </w:tc>
      </w:tr>
      <w:tr>
        <w:tc>
          <w:tcPr>
            <w:tcW w:type="dxa" w:w="3408"/>
            <w:vAlign w:val="center"/>
          </w:tcPr>
          <w:p>
            <w:r>
              <w:rPr>
                <w:sz w:val="16"/>
              </w:rPr>
              <w:t>Product Owner / Investor</w:t>
            </w:r>
          </w:p>
        </w:tc>
        <w:tc>
          <w:tcPr>
            <w:tcW w:type="dxa" w:w="3408"/>
            <w:vAlign w:val="center"/>
          </w:tcPr>
          <w:p>
            <w:r>
              <w:rPr>
                <w:sz w:val="16"/>
              </w:rPr>
              <w:t>Enter personal inputs and review outputs</w:t>
            </w:r>
          </w:p>
        </w:tc>
        <w:tc>
          <w:tcPr>
            <w:tcW w:type="dxa" w:w="3408"/>
            <w:vAlign w:val="center"/>
          </w:tcPr>
          <w:p>
            <w:r>
              <w:rPr>
                <w:sz w:val="16"/>
              </w:rPr>
              <w:t>Own data; approve assumptions; run analyses; export</w:t>
            </w:r>
          </w:p>
        </w:tc>
      </w:tr>
      <w:tr>
        <w:tc>
          <w:tcPr>
            <w:tcW w:type="dxa" w:w="3408"/>
            <w:vAlign w:val="center"/>
          </w:tcPr>
          <w:p>
            <w:r>
              <w:rPr>
                <w:sz w:val="16"/>
              </w:rPr>
              <w:t>Researcher / Analyst</w:t>
            </w:r>
          </w:p>
        </w:tc>
        <w:tc>
          <w:tcPr>
            <w:tcW w:type="dxa" w:w="3408"/>
            <w:vAlign w:val="center"/>
          </w:tcPr>
          <w:p>
            <w:r>
              <w:rPr>
                <w:sz w:val="16"/>
              </w:rPr>
              <w:t>Collect and normalize evidence</w:t>
            </w:r>
          </w:p>
        </w:tc>
        <w:tc>
          <w:tcPr>
            <w:tcW w:type="dxa" w:w="3408"/>
            <w:vAlign w:val="center"/>
          </w:tcPr>
          <w:p>
            <w:r>
              <w:rPr>
                <w:sz w:val="16"/>
              </w:rPr>
              <w:t>Create evidence; no self-approval of high-impact assumptions</w:t>
            </w:r>
          </w:p>
        </w:tc>
      </w:tr>
      <w:tr>
        <w:tc>
          <w:tcPr>
            <w:tcW w:type="dxa" w:w="3408"/>
            <w:vAlign w:val="center"/>
          </w:tcPr>
          <w:p>
            <w:r>
              <w:rPr>
                <w:sz w:val="16"/>
              </w:rPr>
              <w:t>Model Validator</w:t>
            </w:r>
          </w:p>
        </w:tc>
        <w:tc>
          <w:tcPr>
            <w:tcW w:type="dxa" w:w="3408"/>
            <w:vAlign w:val="center"/>
          </w:tcPr>
          <w:p>
            <w:r>
              <w:rPr>
                <w:sz w:val="16"/>
              </w:rPr>
              <w:t>Challenge formulas/assumptions/tests</w:t>
            </w:r>
          </w:p>
        </w:tc>
        <w:tc>
          <w:tcPr>
            <w:tcW w:type="dxa" w:w="3408"/>
            <w:vAlign w:val="center"/>
          </w:tcPr>
          <w:p>
            <w:r>
              <w:rPr>
                <w:sz w:val="16"/>
              </w:rPr>
              <w:t>Approve/reject validation items</w:t>
            </w:r>
          </w:p>
        </w:tc>
      </w:tr>
      <w:tr>
        <w:tc>
          <w:tcPr>
            <w:tcW w:type="dxa" w:w="3408"/>
            <w:vAlign w:val="center"/>
          </w:tcPr>
          <w:p>
            <w:r>
              <w:rPr>
                <w:sz w:val="16"/>
              </w:rPr>
              <w:t>Developer / Coding Agent</w:t>
            </w:r>
          </w:p>
        </w:tc>
        <w:tc>
          <w:tcPr>
            <w:tcW w:type="dxa" w:w="3408"/>
            <w:vAlign w:val="center"/>
          </w:tcPr>
          <w:p>
            <w:r>
              <w:rPr>
                <w:sz w:val="16"/>
              </w:rPr>
              <w:t>Build and maintain software</w:t>
            </w:r>
          </w:p>
        </w:tc>
        <w:tc>
          <w:tcPr>
            <w:tcW w:type="dxa" w:w="3408"/>
            <w:vAlign w:val="center"/>
          </w:tcPr>
          <w:p>
            <w:r>
              <w:rPr>
                <w:sz w:val="16"/>
              </w:rPr>
              <w:t>Code access; no production secrets by default</w:t>
            </w:r>
          </w:p>
        </w:tc>
      </w:tr>
      <w:tr>
        <w:tc>
          <w:tcPr>
            <w:tcW w:type="dxa" w:w="3408"/>
            <w:vAlign w:val="center"/>
          </w:tcPr>
          <w:p>
            <w:r>
              <w:rPr>
                <w:sz w:val="16"/>
              </w:rPr>
              <w:t>Administrator</w:t>
            </w:r>
          </w:p>
        </w:tc>
        <w:tc>
          <w:tcPr>
            <w:tcW w:type="dxa" w:w="3408"/>
            <w:vAlign w:val="center"/>
          </w:tcPr>
          <w:p>
            <w:r>
              <w:rPr>
                <w:sz w:val="16"/>
              </w:rPr>
              <w:t>Environment/security administration</w:t>
            </w:r>
          </w:p>
        </w:tc>
        <w:tc>
          <w:tcPr>
            <w:tcW w:type="dxa" w:w="3408"/>
            <w:vAlign w:val="center"/>
          </w:tcPr>
          <w:p>
            <w:r>
              <w:rPr>
                <w:sz w:val="16"/>
              </w:rPr>
              <w:t>Least privilege; privileged actions audited</w:t>
            </w:r>
          </w:p>
        </w:tc>
      </w:tr>
    </w:tbl>
    <w:p/>
    <w:p>
      <w:pPr>
        <w:pStyle w:val="Heading1"/>
      </w:pPr>
      <w:r>
        <w:t>6. Core business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ID</w:t>
            </w:r>
          </w:p>
        </w:tc>
        <w:tc>
          <w:tcPr>
            <w:tcW w:type="dxa" w:w="3408"/>
            <w:shd w:fill="D9EAF7"/>
          </w:tcPr>
          <w:p>
            <w:r>
              <w:rPr>
                <w:b/>
                <w:sz w:val="16"/>
              </w:rPr>
              <w:t>Requirement</w:t>
            </w:r>
          </w:p>
        </w:tc>
        <w:tc>
          <w:tcPr>
            <w:tcW w:type="dxa" w:w="3408"/>
            <w:shd w:fill="D9EAF7"/>
          </w:tcPr>
          <w:p>
            <w:r>
              <w:rPr>
                <w:b/>
                <w:sz w:val="16"/>
              </w:rPr>
              <w:t>Rule</w:t>
            </w:r>
          </w:p>
        </w:tc>
      </w:tr>
      <w:tr>
        <w:tc>
          <w:tcPr>
            <w:tcW w:type="dxa" w:w="3408"/>
            <w:vAlign w:val="center"/>
          </w:tcPr>
          <w:p>
            <w:r>
              <w:rPr>
                <w:sz w:val="16"/>
              </w:rPr>
              <w:t>BR-001</w:t>
            </w:r>
          </w:p>
        </w:tc>
        <w:tc>
          <w:tcPr>
            <w:tcW w:type="dxa" w:w="3408"/>
            <w:vAlign w:val="center"/>
          </w:tcPr>
          <w:p>
            <w:r>
              <w:rPr>
                <w:sz w:val="16"/>
              </w:rPr>
              <w:t>Evidence governance</w:t>
            </w:r>
          </w:p>
        </w:tc>
        <w:tc>
          <w:tcPr>
            <w:tcW w:type="dxa" w:w="3408"/>
            <w:vAlign w:val="center"/>
          </w:tcPr>
          <w:p>
            <w:r>
              <w:rPr>
                <w:sz w:val="16"/>
              </w:rPr>
              <w:t>Every material input links to source, date/period, methodology, confidence, verification and update frequency.</w:t>
            </w:r>
          </w:p>
        </w:tc>
      </w:tr>
      <w:tr>
        <w:tc>
          <w:tcPr>
            <w:tcW w:type="dxa" w:w="3408"/>
            <w:vAlign w:val="center"/>
          </w:tcPr>
          <w:p>
            <w:r>
              <w:rPr>
                <w:sz w:val="16"/>
              </w:rPr>
              <w:t>BR-002</w:t>
            </w:r>
          </w:p>
        </w:tc>
        <w:tc>
          <w:tcPr>
            <w:tcW w:type="dxa" w:w="3408"/>
            <w:vAlign w:val="center"/>
          </w:tcPr>
          <w:p>
            <w:r>
              <w:rPr>
                <w:sz w:val="16"/>
              </w:rPr>
              <w:t>Production gating</w:t>
            </w:r>
          </w:p>
        </w:tc>
        <w:tc>
          <w:tcPr>
            <w:tcW w:type="dxa" w:w="3408"/>
            <w:vAlign w:val="center"/>
          </w:tcPr>
          <w:p>
            <w:r>
              <w:rPr>
                <w:sz w:val="16"/>
              </w:rPr>
              <w:t>Pending/unverified required variables cannot feed production outputs.</w:t>
            </w:r>
          </w:p>
        </w:tc>
      </w:tr>
      <w:tr>
        <w:tc>
          <w:tcPr>
            <w:tcW w:type="dxa" w:w="3408"/>
            <w:vAlign w:val="center"/>
          </w:tcPr>
          <w:p>
            <w:r>
              <w:rPr>
                <w:sz w:val="16"/>
              </w:rPr>
              <w:t>BR-003</w:t>
            </w:r>
          </w:p>
        </w:tc>
        <w:tc>
          <w:tcPr>
            <w:tcW w:type="dxa" w:w="3408"/>
            <w:vAlign w:val="center"/>
          </w:tcPr>
          <w:p>
            <w:r>
              <w:rPr>
                <w:sz w:val="16"/>
              </w:rPr>
              <w:t>Normalization</w:t>
            </w:r>
          </w:p>
        </w:tc>
        <w:tc>
          <w:tcPr>
            <w:tcW w:type="dxa" w:w="3408"/>
            <w:vAlign w:val="center"/>
          </w:tcPr>
          <w:p>
            <w:r>
              <w:rPr>
                <w:sz w:val="16"/>
              </w:rPr>
              <w:t>Forecasts normalized for horizon, currency, asset definition and methodology before aggregation.</w:t>
            </w:r>
          </w:p>
        </w:tc>
      </w:tr>
      <w:tr>
        <w:tc>
          <w:tcPr>
            <w:tcW w:type="dxa" w:w="3408"/>
            <w:vAlign w:val="center"/>
          </w:tcPr>
          <w:p>
            <w:r>
              <w:rPr>
                <w:sz w:val="16"/>
              </w:rPr>
              <w:t>BR-004</w:t>
            </w:r>
          </w:p>
        </w:tc>
        <w:tc>
          <w:tcPr>
            <w:tcW w:type="dxa" w:w="3408"/>
            <w:vAlign w:val="center"/>
          </w:tcPr>
          <w:p>
            <w:r>
              <w:rPr>
                <w:sz w:val="16"/>
              </w:rPr>
              <w:t>Personal finance</w:t>
            </w:r>
          </w:p>
        </w:tc>
        <w:tc>
          <w:tcPr>
            <w:tcW w:type="dxa" w:w="3408"/>
            <w:vAlign w:val="center"/>
          </w:tcPr>
          <w:p>
            <w:r>
              <w:rPr>
                <w:sz w:val="16"/>
              </w:rPr>
              <w:t>Capture capital, assets/liabilities, income/expenses, reserve, contributions, goals, horizon and liquidity.</w:t>
            </w:r>
          </w:p>
        </w:tc>
      </w:tr>
      <w:tr>
        <w:tc>
          <w:tcPr>
            <w:tcW w:type="dxa" w:w="3408"/>
            <w:vAlign w:val="center"/>
          </w:tcPr>
          <w:p>
            <w:r>
              <w:rPr>
                <w:sz w:val="16"/>
              </w:rPr>
              <w:t>BR-005</w:t>
            </w:r>
          </w:p>
        </w:tc>
        <w:tc>
          <w:tcPr>
            <w:tcW w:type="dxa" w:w="3408"/>
            <w:vAlign w:val="center"/>
          </w:tcPr>
          <w:p>
            <w:r>
              <w:rPr>
                <w:sz w:val="16"/>
              </w:rPr>
              <w:t>Personal inflation</w:t>
            </w:r>
          </w:p>
        </w:tc>
        <w:tc>
          <w:tcPr>
            <w:tcW w:type="dxa" w:w="3408"/>
            <w:vAlign w:val="center"/>
          </w:tcPr>
          <w:p>
            <w:r>
              <w:rPr>
                <w:sz w:val="16"/>
              </w:rPr>
              <w:t>Support household-weighted inflation; headline CPI remains benchmark.</w:t>
            </w:r>
          </w:p>
        </w:tc>
      </w:tr>
      <w:tr>
        <w:tc>
          <w:tcPr>
            <w:tcW w:type="dxa" w:w="3408"/>
            <w:vAlign w:val="center"/>
          </w:tcPr>
          <w:p>
            <w:r>
              <w:rPr>
                <w:sz w:val="16"/>
              </w:rPr>
              <w:t>BR-006</w:t>
            </w:r>
          </w:p>
        </w:tc>
        <w:tc>
          <w:tcPr>
            <w:tcW w:type="dxa" w:w="3408"/>
            <w:vAlign w:val="center"/>
          </w:tcPr>
          <w:p>
            <w:r>
              <w:rPr>
                <w:sz w:val="16"/>
              </w:rPr>
              <w:t>Portfolio engine</w:t>
            </w:r>
          </w:p>
        </w:tc>
        <w:tc>
          <w:tcPr>
            <w:tcW w:type="dxa" w:w="3408"/>
            <w:vAlign w:val="center"/>
          </w:tcPr>
          <w:p>
            <w:r>
              <w:rPr>
                <w:sz w:val="16"/>
              </w:rPr>
              <w:t>Return, covariance risk, fees, inflation, FX, cash flows and rebalancing.</w:t>
            </w:r>
          </w:p>
        </w:tc>
      </w:tr>
      <w:tr>
        <w:tc>
          <w:tcPr>
            <w:tcW w:type="dxa" w:w="3408"/>
            <w:vAlign w:val="center"/>
          </w:tcPr>
          <w:p>
            <w:r>
              <w:rPr>
                <w:sz w:val="16"/>
              </w:rPr>
              <w:t>BR-007</w:t>
            </w:r>
          </w:p>
        </w:tc>
        <w:tc>
          <w:tcPr>
            <w:tcW w:type="dxa" w:w="3408"/>
            <w:vAlign w:val="center"/>
          </w:tcPr>
          <w:p>
            <w:r>
              <w:rPr>
                <w:sz w:val="16"/>
              </w:rPr>
              <w:t>Risk engine</w:t>
            </w:r>
          </w:p>
        </w:tc>
        <w:tc>
          <w:tcPr>
            <w:tcW w:type="dxa" w:w="3408"/>
            <w:vAlign w:val="center"/>
          </w:tcPr>
          <w:p>
            <w:r>
              <w:rPr>
                <w:sz w:val="16"/>
              </w:rPr>
              <w:t>Volatility, drawdown, stress, sensitivity, concentration and liquidity measures.</w:t>
            </w:r>
          </w:p>
        </w:tc>
      </w:tr>
      <w:tr>
        <w:tc>
          <w:tcPr>
            <w:tcW w:type="dxa" w:w="3408"/>
            <w:vAlign w:val="center"/>
          </w:tcPr>
          <w:p>
            <w:r>
              <w:rPr>
                <w:sz w:val="16"/>
              </w:rPr>
              <w:t>BR-008</w:t>
            </w:r>
          </w:p>
        </w:tc>
        <w:tc>
          <w:tcPr>
            <w:tcW w:type="dxa" w:w="3408"/>
            <w:vAlign w:val="center"/>
          </w:tcPr>
          <w:p>
            <w:r>
              <w:rPr>
                <w:sz w:val="16"/>
              </w:rPr>
              <w:t>Goal engine</w:t>
            </w:r>
          </w:p>
        </w:tc>
        <w:tc>
          <w:tcPr>
            <w:tcW w:type="dxa" w:w="3408"/>
            <w:vAlign w:val="center"/>
          </w:tcPr>
          <w:p>
            <w:r>
              <w:rPr>
                <w:sz w:val="16"/>
              </w:rPr>
              <w:t>Reproducible conditional goal probability with visible assumptions/limitations.</w:t>
            </w:r>
          </w:p>
        </w:tc>
      </w:tr>
      <w:tr>
        <w:tc>
          <w:tcPr>
            <w:tcW w:type="dxa" w:w="3408"/>
            <w:vAlign w:val="center"/>
          </w:tcPr>
          <w:p>
            <w:r>
              <w:rPr>
                <w:sz w:val="16"/>
              </w:rPr>
              <w:t>BR-009</w:t>
            </w:r>
          </w:p>
        </w:tc>
        <w:tc>
          <w:tcPr>
            <w:tcW w:type="dxa" w:w="3408"/>
            <w:vAlign w:val="center"/>
          </w:tcPr>
          <w:p>
            <w:r>
              <w:rPr>
                <w:sz w:val="16"/>
              </w:rPr>
              <w:t>Validation register</w:t>
            </w:r>
          </w:p>
        </w:tc>
        <w:tc>
          <w:tcPr>
            <w:tcW w:type="dxa" w:w="3408"/>
            <w:vAlign w:val="center"/>
          </w:tcPr>
          <w:p>
            <w:r>
              <w:rPr>
                <w:sz w:val="16"/>
              </w:rPr>
              <w:t>Source, freshness, formula, backtest, stress, sensitivity, simulation and product validation.</w:t>
            </w:r>
          </w:p>
        </w:tc>
      </w:tr>
      <w:tr>
        <w:tc>
          <w:tcPr>
            <w:tcW w:type="dxa" w:w="3408"/>
            <w:vAlign w:val="center"/>
          </w:tcPr>
          <w:p>
            <w:r>
              <w:rPr>
                <w:sz w:val="16"/>
              </w:rPr>
              <w:t>BR-010</w:t>
            </w:r>
          </w:p>
        </w:tc>
        <w:tc>
          <w:tcPr>
            <w:tcW w:type="dxa" w:w="3408"/>
            <w:vAlign w:val="center"/>
          </w:tcPr>
          <w:p>
            <w:r>
              <w:rPr>
                <w:sz w:val="16"/>
              </w:rPr>
              <w:t>Auditability</w:t>
            </w:r>
          </w:p>
        </w:tc>
        <w:tc>
          <w:tcPr>
            <w:tcW w:type="dxa" w:w="3408"/>
            <w:vAlign w:val="center"/>
          </w:tcPr>
          <w:p>
            <w:r>
              <w:rPr>
                <w:sz w:val="16"/>
              </w:rPr>
              <w:t>Timestamp and attribute material changes and approvals.</w:t>
            </w:r>
          </w:p>
        </w:tc>
      </w:tr>
      <w:tr>
        <w:tc>
          <w:tcPr>
            <w:tcW w:type="dxa" w:w="3408"/>
            <w:vAlign w:val="center"/>
          </w:tcPr>
          <w:p>
            <w:r>
              <w:rPr>
                <w:sz w:val="16"/>
              </w:rPr>
              <w:t>BR-011</w:t>
            </w:r>
          </w:p>
        </w:tc>
        <w:tc>
          <w:tcPr>
            <w:tcW w:type="dxa" w:w="3408"/>
            <w:vAlign w:val="center"/>
          </w:tcPr>
          <w:p>
            <w:r>
              <w:rPr>
                <w:sz w:val="16"/>
              </w:rPr>
              <w:t>Explainability</w:t>
            </w:r>
          </w:p>
        </w:tc>
        <w:tc>
          <w:tcPr>
            <w:tcW w:type="dxa" w:w="3408"/>
            <w:vAlign w:val="center"/>
          </w:tcPr>
          <w:p>
            <w:r>
              <w:rPr>
                <w:sz w:val="16"/>
              </w:rPr>
              <w:t>Plain-language result explanation and trace-back to evidence.</w:t>
            </w:r>
          </w:p>
        </w:tc>
      </w:tr>
      <w:tr>
        <w:tc>
          <w:tcPr>
            <w:tcW w:type="dxa" w:w="3408"/>
            <w:vAlign w:val="center"/>
          </w:tcPr>
          <w:p>
            <w:r>
              <w:rPr>
                <w:sz w:val="16"/>
              </w:rPr>
              <w:t>BR-012</w:t>
            </w:r>
          </w:p>
        </w:tc>
        <w:tc>
          <w:tcPr>
            <w:tcW w:type="dxa" w:w="3408"/>
            <w:vAlign w:val="center"/>
          </w:tcPr>
          <w:p>
            <w:r>
              <w:rPr>
                <w:sz w:val="16"/>
              </w:rPr>
              <w:t>Classification</w:t>
            </w:r>
          </w:p>
        </w:tc>
        <w:tc>
          <w:tcPr>
            <w:tcW w:type="dxa" w:w="3408"/>
            <w:vAlign w:val="center"/>
          </w:tcPr>
          <w:p>
            <w:r>
              <w:rPr>
                <w:sz w:val="16"/>
              </w:rPr>
              <w:t>Separate observed data, forecasts, assumptions, scenarios and illustrative values.</w:t>
            </w:r>
          </w:p>
        </w:tc>
      </w:tr>
    </w:tbl>
    <w:p/>
    <w:p>
      <w:pPr>
        <w:pStyle w:val="Heading1"/>
      </w:pPr>
      <w:r>
        <w:t>7. Research gates before production portfolio use</w:t>
      </w:r>
    </w:p>
    <w:p>
      <w:pPr>
        <w:pStyle w:val="ListBullet"/>
      </w:pPr>
      <w:r>
        <w:t>Capital-market assumptions for global equities, government bonds, investment-grade credit, high-yield credit, sukuk, gold, UAE real estate/REITs and cash/deposits.</w:t>
      </w:r>
    </w:p>
    <w:p>
      <w:pPr>
        <w:pStyle w:val="ListBullet"/>
      </w:pPr>
      <w:r>
        <w:t>Historical volatility, drawdown and correlation evidence.</w:t>
      </w:r>
    </w:p>
    <w:p>
      <w:pPr>
        <w:pStyle w:val="ListBullet"/>
      </w:pPr>
      <w:r>
        <w:t>UAE-available product/ETF universe, fees, domicile, liquidity and issuer-document verification.</w:t>
      </w:r>
    </w:p>
    <w:p>
      <w:pPr>
        <w:pStyle w:val="ListBullet"/>
      </w:pPr>
      <w:r>
        <w:t>UAE regulatory validation and applicable tax/withholding/estate treatment, with unresolved items flagged for professional confirmation.</w:t>
      </w:r>
    </w:p>
    <w:p>
      <w:pPr>
        <w:pStyle w:val="ListBullet"/>
      </w:pPr>
      <w:r>
        <w:t>Backtesting, stress scenarios, rebalancing and withdrawal methodology.</w:t>
      </w:r>
    </w:p>
    <w:p>
      <w:pPr>
        <w:pStyle w:val="ListBullet"/>
      </w:pPr>
      <w:r>
        <w:t>Monte Carlo calibration, stability/convergence tests and goal-probability validation.</w:t>
      </w:r>
    </w:p>
    <w:p>
      <w:pPr>
        <w:pStyle w:val="Heading1"/>
      </w:pPr>
      <w:r>
        <w:t>8. Enterprise security and software delivery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Control</w:t>
            </w:r>
          </w:p>
        </w:tc>
        <w:tc>
          <w:tcPr>
            <w:tcW w:type="dxa" w:w="5112"/>
            <w:shd w:fill="D9EAF7"/>
          </w:tcPr>
          <w:p>
            <w:r>
              <w:rPr>
                <w:b/>
                <w:sz w:val="16"/>
              </w:rPr>
              <w:t>Mandatory requirement</w:t>
            </w:r>
          </w:p>
        </w:tc>
      </w:tr>
      <w:tr>
        <w:tc>
          <w:tcPr>
            <w:tcW w:type="dxa" w:w="5112"/>
            <w:vAlign w:val="center"/>
          </w:tcPr>
          <w:p>
            <w:r>
              <w:rPr>
                <w:sz w:val="16"/>
              </w:rPr>
              <w:t>Identity/access</w:t>
            </w:r>
          </w:p>
        </w:tc>
        <w:tc>
          <w:tcPr>
            <w:tcW w:type="dxa" w:w="5112"/>
            <w:vAlign w:val="center"/>
          </w:tcPr>
          <w:p>
            <w:r>
              <w:rPr>
                <w:sz w:val="16"/>
              </w:rPr>
              <w:t>Strong authentication; MFA where supported; RBAC; least privilege; secure sessions.</w:t>
            </w:r>
          </w:p>
        </w:tc>
      </w:tr>
      <w:tr>
        <w:tc>
          <w:tcPr>
            <w:tcW w:type="dxa" w:w="5112"/>
            <w:vAlign w:val="center"/>
          </w:tcPr>
          <w:p>
            <w:r>
              <w:rPr>
                <w:sz w:val="16"/>
              </w:rPr>
              <w:t>Secrets</w:t>
            </w:r>
          </w:p>
        </w:tc>
        <w:tc>
          <w:tcPr>
            <w:tcW w:type="dxa" w:w="5112"/>
            <w:vAlign w:val="center"/>
          </w:tcPr>
          <w:p>
            <w:r>
              <w:rPr>
                <w:sz w:val="16"/>
              </w:rPr>
              <w:t>No secrets in source control; secret manager/env injection; scanning and rotation.</w:t>
            </w:r>
          </w:p>
        </w:tc>
      </w:tr>
      <w:tr>
        <w:tc>
          <w:tcPr>
            <w:tcW w:type="dxa" w:w="5112"/>
            <w:vAlign w:val="center"/>
          </w:tcPr>
          <w:p>
            <w:r>
              <w:rPr>
                <w:sz w:val="16"/>
              </w:rPr>
              <w:t>Encryption</w:t>
            </w:r>
          </w:p>
        </w:tc>
        <w:tc>
          <w:tcPr>
            <w:tcW w:type="dxa" w:w="5112"/>
            <w:vAlign w:val="center"/>
          </w:tcPr>
          <w:p>
            <w:r>
              <w:rPr>
                <w:sz w:val="16"/>
              </w:rPr>
              <w:t>TLS in transit; encryption at rest for sensitive data; secure key handling.</w:t>
            </w:r>
          </w:p>
        </w:tc>
      </w:tr>
      <w:tr>
        <w:tc>
          <w:tcPr>
            <w:tcW w:type="dxa" w:w="5112"/>
            <w:vAlign w:val="center"/>
          </w:tcPr>
          <w:p>
            <w:r>
              <w:rPr>
                <w:sz w:val="16"/>
              </w:rPr>
              <w:t>App security</w:t>
            </w:r>
          </w:p>
        </w:tc>
        <w:tc>
          <w:tcPr>
            <w:tcW w:type="dxa" w:w="5112"/>
            <w:vAlign w:val="center"/>
          </w:tcPr>
          <w:p>
            <w:r>
              <w:rPr>
                <w:sz w:val="16"/>
              </w:rPr>
              <w:t>Threat model; validation; secure headers/session handling; OWASP-aligned controls.</w:t>
            </w:r>
          </w:p>
        </w:tc>
      </w:tr>
      <w:tr>
        <w:tc>
          <w:tcPr>
            <w:tcW w:type="dxa" w:w="5112"/>
            <w:vAlign w:val="center"/>
          </w:tcPr>
          <w:p>
            <w:r>
              <w:rPr>
                <w:sz w:val="16"/>
              </w:rPr>
              <w:t>Repository</w:t>
            </w:r>
          </w:p>
        </w:tc>
        <w:tc>
          <w:tcPr>
            <w:tcW w:type="dxa" w:w="5112"/>
            <w:vAlign w:val="center"/>
          </w:tcPr>
          <w:p>
            <w:r>
              <w:rPr>
                <w:sz w:val="16"/>
              </w:rPr>
              <w:t>Private initially; protected main; PR-only; required checks; block force-push/deletion; signed commits where feasible.</w:t>
            </w:r>
          </w:p>
        </w:tc>
      </w:tr>
      <w:tr>
        <w:tc>
          <w:tcPr>
            <w:tcW w:type="dxa" w:w="5112"/>
            <w:vAlign w:val="center"/>
          </w:tcPr>
          <w:p>
            <w:r>
              <w:rPr>
                <w:sz w:val="16"/>
              </w:rPr>
              <w:t>CI</w:t>
            </w:r>
          </w:p>
        </w:tc>
        <w:tc>
          <w:tcPr>
            <w:tcW w:type="dxa" w:w="5112"/>
            <w:vAlign w:val="center"/>
          </w:tcPr>
          <w:p>
            <w:r>
              <w:rPr>
                <w:sz w:val="16"/>
              </w:rPr>
              <w:t>Lint/type, unit/integration, build, SAST, SCA/dependency, secret scan and required E2E on PRs.</w:t>
            </w:r>
          </w:p>
        </w:tc>
      </w:tr>
      <w:tr>
        <w:tc>
          <w:tcPr>
            <w:tcW w:type="dxa" w:w="5112"/>
            <w:vAlign w:val="center"/>
          </w:tcPr>
          <w:p>
            <w:r>
              <w:rPr>
                <w:sz w:val="16"/>
              </w:rPr>
              <w:t>Environments</w:t>
            </w:r>
          </w:p>
        </w:tc>
        <w:tc>
          <w:tcPr>
            <w:tcW w:type="dxa" w:w="5112"/>
            <w:vAlign w:val="center"/>
          </w:tcPr>
          <w:p>
            <w:r>
              <w:rPr>
                <w:sz w:val="16"/>
              </w:rPr>
              <w:t>Separate dev/CI/staging/production; no production data/secrets in lower environments.</w:t>
            </w:r>
          </w:p>
        </w:tc>
      </w:tr>
      <w:tr>
        <w:tc>
          <w:tcPr>
            <w:tcW w:type="dxa" w:w="5112"/>
            <w:vAlign w:val="center"/>
          </w:tcPr>
          <w:p>
            <w:r>
              <w:rPr>
                <w:sz w:val="16"/>
              </w:rPr>
              <w:t>Deployment</w:t>
            </w:r>
          </w:p>
        </w:tc>
        <w:tc>
          <w:tcPr>
            <w:tcW w:type="dxa" w:w="5112"/>
            <w:vAlign w:val="center"/>
          </w:tcPr>
          <w:p>
            <w:r>
              <w:rPr>
                <w:sz w:val="16"/>
              </w:rPr>
              <w:t>Reproducible builds; staging first; protected production approval; rollback procedure.</w:t>
            </w:r>
          </w:p>
        </w:tc>
      </w:tr>
      <w:tr>
        <w:tc>
          <w:tcPr>
            <w:tcW w:type="dxa" w:w="5112"/>
            <w:vAlign w:val="center"/>
          </w:tcPr>
          <w:p>
            <w:r>
              <w:rPr>
                <w:sz w:val="16"/>
              </w:rPr>
              <w:t>Data protection</w:t>
            </w:r>
          </w:p>
        </w:tc>
        <w:tc>
          <w:tcPr>
            <w:tcW w:type="dxa" w:w="5112"/>
            <w:vAlign w:val="center"/>
          </w:tcPr>
          <w:p>
            <w:r>
              <w:rPr>
                <w:sz w:val="16"/>
              </w:rPr>
              <w:t>Minimize collection; retention; backup/restore tests; audit logging; export/delete capability.</w:t>
            </w:r>
          </w:p>
        </w:tc>
      </w:tr>
      <w:tr>
        <w:tc>
          <w:tcPr>
            <w:tcW w:type="dxa" w:w="5112"/>
            <w:vAlign w:val="center"/>
          </w:tcPr>
          <w:p>
            <w:r>
              <w:rPr>
                <w:sz w:val="16"/>
              </w:rPr>
              <w:t>Logging</w:t>
            </w:r>
          </w:p>
        </w:tc>
        <w:tc>
          <w:tcPr>
            <w:tcW w:type="dxa" w:w="5112"/>
            <w:vAlign w:val="center"/>
          </w:tcPr>
          <w:p>
            <w:r>
              <w:rPr>
                <w:sz w:val="16"/>
              </w:rPr>
              <w:t>Structured logs; redact secrets and sensitive financial fields; alert critical failures.</w:t>
            </w:r>
          </w:p>
        </w:tc>
      </w:tr>
      <w:tr>
        <w:tc>
          <w:tcPr>
            <w:tcW w:type="dxa" w:w="5112"/>
            <w:vAlign w:val="center"/>
          </w:tcPr>
          <w:p>
            <w:r>
              <w:rPr>
                <w:sz w:val="16"/>
              </w:rPr>
              <w:t>Vulnerability mgmt</w:t>
            </w:r>
          </w:p>
        </w:tc>
        <w:tc>
          <w:tcPr>
            <w:tcW w:type="dxa" w:w="5112"/>
            <w:vAlign w:val="center"/>
          </w:tcPr>
          <w:p>
            <w:r>
              <w:rPr>
                <w:sz w:val="16"/>
              </w:rPr>
              <w:t>Severity SLAs; critical/high defects block release unless formally risk accepted.</w:t>
            </w:r>
          </w:p>
        </w:tc>
      </w:tr>
      <w:tr>
        <w:tc>
          <w:tcPr>
            <w:tcW w:type="dxa" w:w="5112"/>
            <w:vAlign w:val="center"/>
          </w:tcPr>
          <w:p>
            <w:r>
              <w:rPr>
                <w:sz w:val="16"/>
              </w:rPr>
              <w:t>Supply chain</w:t>
            </w:r>
          </w:p>
        </w:tc>
        <w:tc>
          <w:tcPr>
            <w:tcW w:type="dxa" w:w="5112"/>
            <w:vAlign w:val="center"/>
          </w:tcPr>
          <w:p>
            <w:r>
              <w:rPr>
                <w:sz w:val="16"/>
              </w:rPr>
              <w:t>Lock dependencies; trusted packages; pinned CI actions where feasible; SBOM when practical.</w:t>
            </w:r>
          </w:p>
        </w:tc>
      </w:tr>
      <w:tr>
        <w:tc>
          <w:tcPr>
            <w:tcW w:type="dxa" w:w="5112"/>
            <w:vAlign w:val="center"/>
          </w:tcPr>
          <w:p>
            <w:r>
              <w:rPr>
                <w:sz w:val="16"/>
              </w:rPr>
              <w:t>Resilience</w:t>
            </w:r>
          </w:p>
        </w:tc>
        <w:tc>
          <w:tcPr>
            <w:tcW w:type="dxa" w:w="5112"/>
            <w:vAlign w:val="center"/>
          </w:tcPr>
          <w:p>
            <w:r>
              <w:rPr>
                <w:sz w:val="16"/>
              </w:rPr>
              <w:t>Graceful failures, health checks, bounded simulations, tested restore/runbook.</w:t>
            </w:r>
          </w:p>
        </w:tc>
      </w:tr>
    </w:tbl>
    <w:p/>
    <w:p>
      <w:pPr>
        <w:pStyle w:val="Heading1"/>
      </w:pPr>
      <w:r>
        <w:t>9. Delivery phases and why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Phase</w:t>
            </w:r>
          </w:p>
        </w:tc>
        <w:tc>
          <w:tcPr>
            <w:tcW w:type="dxa" w:w="5112"/>
            <w:shd w:fill="D9EAF7"/>
          </w:tcPr>
          <w:p>
            <w:r>
              <w:rPr>
                <w:b/>
                <w:sz w:val="16"/>
              </w:rPr>
              <w:t>Why we build it</w:t>
            </w:r>
          </w:p>
        </w:tc>
      </w:tr>
      <w:tr>
        <w:tc>
          <w:tcPr>
            <w:tcW w:type="dxa" w:w="5112"/>
            <w:vAlign w:val="center"/>
          </w:tcPr>
          <w:p>
            <w:r>
              <w:rPr>
                <w:sz w:val="16"/>
              </w:rPr>
              <w:t>0 — Foundations &amp; guardrails</w:t>
            </w:r>
          </w:p>
        </w:tc>
        <w:tc>
          <w:tcPr>
            <w:tcW w:type="dxa" w:w="5112"/>
            <w:vAlign w:val="center"/>
          </w:tcPr>
          <w:p>
            <w:r>
              <w:rPr>
                <w:sz w:val="16"/>
              </w:rPr>
              <w:t>Establish repository, environments, security, CI/CD, docs and test harness before feature debt forms.</w:t>
            </w:r>
          </w:p>
        </w:tc>
      </w:tr>
      <w:tr>
        <w:tc>
          <w:tcPr>
            <w:tcW w:type="dxa" w:w="5112"/>
            <w:vAlign w:val="center"/>
          </w:tcPr>
          <w:p>
            <w:r>
              <w:rPr>
                <w:sz w:val="16"/>
              </w:rPr>
              <w:t>1 — Evidence &amp; provenance</w:t>
            </w:r>
          </w:p>
        </w:tc>
        <w:tc>
          <w:tcPr>
            <w:tcW w:type="dxa" w:w="5112"/>
            <w:vAlign w:val="center"/>
          </w:tcPr>
          <w:p>
            <w:r>
              <w:rPr>
                <w:sz w:val="16"/>
              </w:rPr>
              <w:t>No model output should exist without traceable, verified inputs.</w:t>
            </w:r>
          </w:p>
        </w:tc>
      </w:tr>
      <w:tr>
        <w:tc>
          <w:tcPr>
            <w:tcW w:type="dxa" w:w="5112"/>
            <w:vAlign w:val="center"/>
          </w:tcPr>
          <w:p>
            <w:r>
              <w:rPr>
                <w:sz w:val="16"/>
              </w:rPr>
              <w:t>2 — Personal finance profile</w:t>
            </w:r>
          </w:p>
        </w:tc>
        <w:tc>
          <w:tcPr>
            <w:tcW w:type="dxa" w:w="5112"/>
            <w:vAlign w:val="center"/>
          </w:tcPr>
          <w:p>
            <w:r>
              <w:rPr>
                <w:sz w:val="16"/>
              </w:rPr>
              <w:t>Portfolio analysis must reflect actual goals, cash flows and constraints.</w:t>
            </w:r>
          </w:p>
        </w:tc>
      </w:tr>
      <w:tr>
        <w:tc>
          <w:tcPr>
            <w:tcW w:type="dxa" w:w="5112"/>
            <w:vAlign w:val="center"/>
          </w:tcPr>
          <w:p>
            <w:r>
              <w:rPr>
                <w:sz w:val="16"/>
              </w:rPr>
              <w:t>3 — Assumption engine</w:t>
            </w:r>
          </w:p>
        </w:tc>
        <w:tc>
          <w:tcPr>
            <w:tcW w:type="dxa" w:w="5112"/>
            <w:vAlign w:val="center"/>
          </w:tcPr>
          <w:p>
            <w:r>
              <w:rPr>
                <w:sz w:val="16"/>
              </w:rPr>
              <w:t>Institutional forecasts are heterogeneous and must be normalized/approved.</w:t>
            </w:r>
          </w:p>
        </w:tc>
      </w:tr>
      <w:tr>
        <w:tc>
          <w:tcPr>
            <w:tcW w:type="dxa" w:w="5112"/>
            <w:vAlign w:val="center"/>
          </w:tcPr>
          <w:p>
            <w:r>
              <w:rPr>
                <w:sz w:val="16"/>
              </w:rPr>
              <w:t>4 — Portfolio engine</w:t>
            </w:r>
          </w:p>
        </w:tc>
        <w:tc>
          <w:tcPr>
            <w:tcW w:type="dxa" w:w="5112"/>
            <w:vAlign w:val="center"/>
          </w:tcPr>
          <w:p>
            <w:r>
              <w:rPr>
                <w:sz w:val="16"/>
              </w:rPr>
              <w:t>Implement the analytical core only after inputs are governed.</w:t>
            </w:r>
          </w:p>
        </w:tc>
      </w:tr>
      <w:tr>
        <w:tc>
          <w:tcPr>
            <w:tcW w:type="dxa" w:w="5112"/>
            <w:vAlign w:val="center"/>
          </w:tcPr>
          <w:p>
            <w:r>
              <w:rPr>
                <w:sz w:val="16"/>
              </w:rPr>
              <w:t>5 — Risk &amp; historical analytics</w:t>
            </w:r>
          </w:p>
        </w:tc>
        <w:tc>
          <w:tcPr>
            <w:tcW w:type="dxa" w:w="5112"/>
            <w:vAlign w:val="center"/>
          </w:tcPr>
          <w:p>
            <w:r>
              <w:rPr>
                <w:sz w:val="16"/>
              </w:rPr>
              <w:t>Expected return alone is insufficient for loss-conscious planning.</w:t>
            </w:r>
          </w:p>
        </w:tc>
      </w:tr>
      <w:tr>
        <w:tc>
          <w:tcPr>
            <w:tcW w:type="dxa" w:w="5112"/>
            <w:vAlign w:val="center"/>
          </w:tcPr>
          <w:p>
            <w:r>
              <w:rPr>
                <w:sz w:val="16"/>
              </w:rPr>
              <w:t>6 — Goal simulation</w:t>
            </w:r>
          </w:p>
        </w:tc>
        <w:tc>
          <w:tcPr>
            <w:tcW w:type="dxa" w:w="5112"/>
            <w:vAlign w:val="center"/>
          </w:tcPr>
          <w:p>
            <w:r>
              <w:rPr>
                <w:sz w:val="16"/>
              </w:rPr>
              <w:t>Probability outputs come only after assumptions and risk calculations are validated.</w:t>
            </w:r>
          </w:p>
        </w:tc>
      </w:tr>
      <w:tr>
        <w:tc>
          <w:tcPr>
            <w:tcW w:type="dxa" w:w="5112"/>
            <w:vAlign w:val="center"/>
          </w:tcPr>
          <w:p>
            <w:r>
              <w:rPr>
                <w:sz w:val="16"/>
              </w:rPr>
              <w:t>7 — UAE product layer</w:t>
            </w:r>
          </w:p>
        </w:tc>
        <w:tc>
          <w:tcPr>
            <w:tcW w:type="dxa" w:w="5112"/>
            <w:vAlign w:val="center"/>
          </w:tcPr>
          <w:p>
            <w:r>
              <w:rPr>
                <w:sz w:val="16"/>
              </w:rPr>
              <w:t>Theoretical allocation must be translated into implementable, verified instruments.</w:t>
            </w:r>
          </w:p>
        </w:tc>
      </w:tr>
      <w:tr>
        <w:tc>
          <w:tcPr>
            <w:tcW w:type="dxa" w:w="5112"/>
            <w:vAlign w:val="center"/>
          </w:tcPr>
          <w:p>
            <w:r>
              <w:rPr>
                <w:sz w:val="16"/>
              </w:rPr>
              <w:t>8 — Reporting/explainability</w:t>
            </w:r>
          </w:p>
        </w:tc>
        <w:tc>
          <w:tcPr>
            <w:tcW w:type="dxa" w:w="5112"/>
            <w:vAlign w:val="center"/>
          </w:tcPr>
          <w:p>
            <w:r>
              <w:rPr>
                <w:sz w:val="16"/>
              </w:rPr>
              <w:t>A non-technical owner must understand each result and limitation.</w:t>
            </w:r>
          </w:p>
        </w:tc>
      </w:tr>
      <w:tr>
        <w:tc>
          <w:tcPr>
            <w:tcW w:type="dxa" w:w="5112"/>
            <w:vAlign w:val="center"/>
          </w:tcPr>
          <w:p>
            <w:r>
              <w:rPr>
                <w:sz w:val="16"/>
              </w:rPr>
              <w:t>9 — Hardening/release</w:t>
            </w:r>
          </w:p>
        </w:tc>
        <w:tc>
          <w:tcPr>
            <w:tcW w:type="dxa" w:w="5112"/>
            <w:vAlign w:val="center"/>
          </w:tcPr>
          <w:p>
            <w:r>
              <w:rPr>
                <w:sz w:val="16"/>
              </w:rPr>
              <w:t>Security, E2E, restore, performance and UAT must pass before production.</w:t>
            </w:r>
          </w:p>
        </w:tc>
      </w:tr>
    </w:tbl>
    <w:p/>
    <w:p>
      <w:pPr>
        <w:pStyle w:val="Heading1"/>
      </w:pPr>
      <w:r>
        <w:t>10. Recommended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Layer</w:t>
            </w:r>
          </w:p>
        </w:tc>
        <w:tc>
          <w:tcPr>
            <w:tcW w:type="dxa" w:w="3408"/>
            <w:shd w:fill="D9EAF7"/>
          </w:tcPr>
          <w:p>
            <w:r>
              <w:rPr>
                <w:b/>
                <w:sz w:val="16"/>
              </w:rPr>
              <w:t>Default</w:t>
            </w:r>
          </w:p>
        </w:tc>
        <w:tc>
          <w:tcPr>
            <w:tcW w:type="dxa" w:w="3408"/>
            <w:shd w:fill="D9EAF7"/>
          </w:tcPr>
          <w:p>
            <w:r>
              <w:rPr>
                <w:b/>
                <w:sz w:val="16"/>
              </w:rPr>
              <w:t>Reason</w:t>
            </w:r>
          </w:p>
        </w:tc>
      </w:tr>
      <w:tr>
        <w:tc>
          <w:tcPr>
            <w:tcW w:type="dxa" w:w="3408"/>
            <w:vAlign w:val="center"/>
          </w:tcPr>
          <w:p>
            <w:r>
              <w:rPr>
                <w:sz w:val="16"/>
              </w:rPr>
              <w:t>Frontend</w:t>
            </w:r>
          </w:p>
        </w:tc>
        <w:tc>
          <w:tcPr>
            <w:tcW w:type="dxa" w:w="3408"/>
            <w:vAlign w:val="center"/>
          </w:tcPr>
          <w:p>
            <w:r>
              <w:rPr>
                <w:sz w:val="16"/>
              </w:rPr>
              <w:t>Next.js + TypeScript</w:t>
            </w:r>
          </w:p>
        </w:tc>
        <w:tc>
          <w:tcPr>
            <w:tcW w:type="dxa" w:w="3408"/>
            <w:vAlign w:val="center"/>
          </w:tcPr>
          <w:p>
            <w:r>
              <w:rPr>
                <w:sz w:val="16"/>
              </w:rPr>
              <w:t>Typed, mature, testable web stack</w:t>
            </w:r>
          </w:p>
        </w:tc>
      </w:tr>
      <w:tr>
        <w:tc>
          <w:tcPr>
            <w:tcW w:type="dxa" w:w="3408"/>
            <w:vAlign w:val="center"/>
          </w:tcPr>
          <w:p>
            <w:r>
              <w:rPr>
                <w:sz w:val="16"/>
              </w:rPr>
              <w:t>Backend/API</w:t>
            </w:r>
          </w:p>
        </w:tc>
        <w:tc>
          <w:tcPr>
            <w:tcW w:type="dxa" w:w="3408"/>
            <w:vAlign w:val="center"/>
          </w:tcPr>
          <w:p>
            <w:r>
              <w:rPr>
                <w:sz w:val="16"/>
              </w:rPr>
              <w:t>Python 3.13 + FastAPI</w:t>
            </w:r>
          </w:p>
        </w:tc>
        <w:tc>
          <w:tcPr>
            <w:tcW w:type="dxa" w:w="3408"/>
            <w:vAlign w:val="center"/>
          </w:tcPr>
          <w:p>
            <w:r>
              <w:rPr>
                <w:sz w:val="16"/>
              </w:rPr>
              <w:t>Strong fit for numerical/financial services</w:t>
            </w:r>
          </w:p>
        </w:tc>
      </w:tr>
      <w:tr>
        <w:tc>
          <w:tcPr>
            <w:tcW w:type="dxa" w:w="3408"/>
            <w:vAlign w:val="center"/>
          </w:tcPr>
          <w:p>
            <w:r>
              <w:rPr>
                <w:sz w:val="16"/>
              </w:rPr>
              <w:t>Data/science</w:t>
            </w:r>
          </w:p>
        </w:tc>
        <w:tc>
          <w:tcPr>
            <w:tcW w:type="dxa" w:w="3408"/>
            <w:vAlign w:val="center"/>
          </w:tcPr>
          <w:p>
            <w:r>
              <w:rPr>
                <w:sz w:val="16"/>
              </w:rPr>
              <w:t>NumPy, pandas, SciPy</w:t>
            </w:r>
          </w:p>
        </w:tc>
        <w:tc>
          <w:tcPr>
            <w:tcW w:type="dxa" w:w="3408"/>
            <w:vAlign w:val="center"/>
          </w:tcPr>
          <w:p>
            <w:r>
              <w:rPr>
                <w:sz w:val="16"/>
              </w:rPr>
              <w:t>Transparent and directly testable calculations</w:t>
            </w:r>
          </w:p>
        </w:tc>
      </w:tr>
      <w:tr>
        <w:tc>
          <w:tcPr>
            <w:tcW w:type="dxa" w:w="3408"/>
            <w:vAlign w:val="center"/>
          </w:tcPr>
          <w:p>
            <w:r>
              <w:rPr>
                <w:sz w:val="16"/>
              </w:rPr>
              <w:t>Database</w:t>
            </w:r>
          </w:p>
        </w:tc>
        <w:tc>
          <w:tcPr>
            <w:tcW w:type="dxa" w:w="3408"/>
            <w:vAlign w:val="center"/>
          </w:tcPr>
          <w:p>
            <w:r>
              <w:rPr>
                <w:sz w:val="16"/>
              </w:rPr>
              <w:t>PostgreSQL</w:t>
            </w:r>
          </w:p>
        </w:tc>
        <w:tc>
          <w:tcPr>
            <w:tcW w:type="dxa" w:w="3408"/>
            <w:vAlign w:val="center"/>
          </w:tcPr>
          <w:p>
            <w:r>
              <w:rPr>
                <w:sz w:val="16"/>
              </w:rPr>
              <w:t>Integrity, versioning and audit-friendly relational model</w:t>
            </w:r>
          </w:p>
        </w:tc>
      </w:tr>
      <w:tr>
        <w:tc>
          <w:tcPr>
            <w:tcW w:type="dxa" w:w="3408"/>
            <w:vAlign w:val="center"/>
          </w:tcPr>
          <w:p>
            <w:r>
              <w:rPr>
                <w:sz w:val="16"/>
              </w:rPr>
              <w:t>ORM/migrations</w:t>
            </w:r>
          </w:p>
        </w:tc>
        <w:tc>
          <w:tcPr>
            <w:tcW w:type="dxa" w:w="3408"/>
            <w:vAlign w:val="center"/>
          </w:tcPr>
          <w:p>
            <w:r>
              <w:rPr>
                <w:sz w:val="16"/>
              </w:rPr>
              <w:t>SQLAlchemy + Alembic</w:t>
            </w:r>
          </w:p>
        </w:tc>
        <w:tc>
          <w:tcPr>
            <w:tcW w:type="dxa" w:w="3408"/>
            <w:vAlign w:val="center"/>
          </w:tcPr>
          <w:p>
            <w:r>
              <w:rPr>
                <w:sz w:val="16"/>
              </w:rPr>
              <w:t>Explicit schemas and reproducible migrations</w:t>
            </w:r>
          </w:p>
        </w:tc>
      </w:tr>
      <w:tr>
        <w:tc>
          <w:tcPr>
            <w:tcW w:type="dxa" w:w="3408"/>
            <w:vAlign w:val="center"/>
          </w:tcPr>
          <w:p>
            <w:r>
              <w:rPr>
                <w:sz w:val="16"/>
              </w:rPr>
              <w:t>Authentication</w:t>
            </w:r>
          </w:p>
        </w:tc>
        <w:tc>
          <w:tcPr>
            <w:tcW w:type="dxa" w:w="3408"/>
            <w:vAlign w:val="center"/>
          </w:tcPr>
          <w:p>
            <w:r>
              <w:rPr>
                <w:sz w:val="16"/>
              </w:rPr>
              <w:t>Managed OIDC/OAuth provider with MFA</w:t>
            </w:r>
          </w:p>
        </w:tc>
        <w:tc>
          <w:tcPr>
            <w:tcW w:type="dxa" w:w="3408"/>
            <w:vAlign w:val="center"/>
          </w:tcPr>
          <w:p>
            <w:r>
              <w:rPr>
                <w:sz w:val="16"/>
              </w:rPr>
              <w:t>Avoid custom-auth risk</w:t>
            </w:r>
          </w:p>
        </w:tc>
      </w:tr>
      <w:tr>
        <w:tc>
          <w:tcPr>
            <w:tcW w:type="dxa" w:w="3408"/>
            <w:vAlign w:val="center"/>
          </w:tcPr>
          <w:p>
            <w:r>
              <w:rPr>
                <w:sz w:val="16"/>
              </w:rPr>
              <w:t>Storage</w:t>
            </w:r>
          </w:p>
        </w:tc>
        <w:tc>
          <w:tcPr>
            <w:tcW w:type="dxa" w:w="3408"/>
            <w:vAlign w:val="center"/>
          </w:tcPr>
          <w:p>
            <w:r>
              <w:rPr>
                <w:sz w:val="16"/>
              </w:rPr>
              <w:t>Managed encrypted object storage</w:t>
            </w:r>
          </w:p>
        </w:tc>
        <w:tc>
          <w:tcPr>
            <w:tcW w:type="dxa" w:w="3408"/>
            <w:vAlign w:val="center"/>
          </w:tcPr>
          <w:p>
            <w:r>
              <w:rPr>
                <w:sz w:val="16"/>
              </w:rPr>
              <w:t>Evidence documents/reports</w:t>
            </w:r>
          </w:p>
        </w:tc>
      </w:tr>
      <w:tr>
        <w:tc>
          <w:tcPr>
            <w:tcW w:type="dxa" w:w="3408"/>
            <w:vAlign w:val="center"/>
          </w:tcPr>
          <w:p>
            <w:r>
              <w:rPr>
                <w:sz w:val="16"/>
              </w:rPr>
              <w:t>CI/CD</w:t>
            </w:r>
          </w:p>
        </w:tc>
        <w:tc>
          <w:tcPr>
            <w:tcW w:type="dxa" w:w="3408"/>
            <w:vAlign w:val="center"/>
          </w:tcPr>
          <w:p>
            <w:r>
              <w:rPr>
                <w:sz w:val="16"/>
              </w:rPr>
              <w:t>GitHub Actions or equivalent</w:t>
            </w:r>
          </w:p>
        </w:tc>
        <w:tc>
          <w:tcPr>
            <w:tcW w:type="dxa" w:w="3408"/>
            <w:vAlign w:val="center"/>
          </w:tcPr>
          <w:p>
            <w:r>
              <w:rPr>
                <w:sz w:val="16"/>
              </w:rPr>
              <w:t>Automated quality/security gates</w:t>
            </w:r>
          </w:p>
        </w:tc>
      </w:tr>
      <w:tr>
        <w:tc>
          <w:tcPr>
            <w:tcW w:type="dxa" w:w="3408"/>
            <w:vAlign w:val="center"/>
          </w:tcPr>
          <w:p>
            <w:r>
              <w:rPr>
                <w:sz w:val="16"/>
              </w:rPr>
              <w:t>IaC</w:t>
            </w:r>
          </w:p>
        </w:tc>
        <w:tc>
          <w:tcPr>
            <w:tcW w:type="dxa" w:w="3408"/>
            <w:vAlign w:val="center"/>
          </w:tcPr>
          <w:p>
            <w:r>
              <w:rPr>
                <w:sz w:val="16"/>
              </w:rPr>
              <w:t>Terraform/OpenTofu when cloud infrastructure is introduced</w:t>
            </w:r>
          </w:p>
        </w:tc>
        <w:tc>
          <w:tcPr>
            <w:tcW w:type="dxa" w:w="3408"/>
            <w:vAlign w:val="center"/>
          </w:tcPr>
          <w:p>
            <w:r>
              <w:rPr>
                <w:sz w:val="16"/>
              </w:rPr>
              <w:t>Reviewable/reproducible infrastructure</w:t>
            </w:r>
          </w:p>
        </w:tc>
      </w:tr>
      <w:tr>
        <w:tc>
          <w:tcPr>
            <w:tcW w:type="dxa" w:w="3408"/>
            <w:vAlign w:val="center"/>
          </w:tcPr>
          <w:p>
            <w:r>
              <w:rPr>
                <w:sz w:val="16"/>
              </w:rPr>
              <w:t>Testing</w:t>
            </w:r>
          </w:p>
        </w:tc>
        <w:tc>
          <w:tcPr>
            <w:tcW w:type="dxa" w:w="3408"/>
            <w:vAlign w:val="center"/>
          </w:tcPr>
          <w:p>
            <w:r>
              <w:rPr>
                <w:sz w:val="16"/>
              </w:rPr>
              <w:t>pytest + Vitest/Jest + Playwright</w:t>
            </w:r>
          </w:p>
        </w:tc>
        <w:tc>
          <w:tcPr>
            <w:tcW w:type="dxa" w:w="3408"/>
            <w:vAlign w:val="center"/>
          </w:tcPr>
          <w:p>
            <w:r>
              <w:rPr>
                <w:sz w:val="16"/>
              </w:rPr>
              <w:t>Unit/integration/browser E2E</w:t>
            </w:r>
          </w:p>
        </w:tc>
      </w:tr>
      <w:tr>
        <w:tc>
          <w:tcPr>
            <w:tcW w:type="dxa" w:w="3408"/>
            <w:vAlign w:val="center"/>
          </w:tcPr>
          <w:p>
            <w:r>
              <w:rPr>
                <w:sz w:val="16"/>
              </w:rPr>
              <w:t>Observability</w:t>
            </w:r>
          </w:p>
        </w:tc>
        <w:tc>
          <w:tcPr>
            <w:tcW w:type="dxa" w:w="3408"/>
            <w:vAlign w:val="center"/>
          </w:tcPr>
          <w:p>
            <w:r>
              <w:rPr>
                <w:sz w:val="16"/>
              </w:rPr>
              <w:t>Structured logs + error tracking + metrics</w:t>
            </w:r>
          </w:p>
        </w:tc>
        <w:tc>
          <w:tcPr>
            <w:tcW w:type="dxa" w:w="3408"/>
            <w:vAlign w:val="center"/>
          </w:tcPr>
          <w:p>
            <w:r>
              <w:rPr>
                <w:sz w:val="16"/>
              </w:rPr>
              <w:t>Operational visibility</w:t>
            </w:r>
          </w:p>
        </w:tc>
      </w:tr>
      <w:tr>
        <w:tc>
          <w:tcPr>
            <w:tcW w:type="dxa" w:w="3408"/>
            <w:vAlign w:val="center"/>
          </w:tcPr>
          <w:p>
            <w:r>
              <w:rPr>
                <w:sz w:val="16"/>
              </w:rPr>
              <w:t>Containers</w:t>
            </w:r>
          </w:p>
        </w:tc>
        <w:tc>
          <w:tcPr>
            <w:tcW w:type="dxa" w:w="3408"/>
            <w:vAlign w:val="center"/>
          </w:tcPr>
          <w:p>
            <w:r>
              <w:rPr>
                <w:sz w:val="16"/>
              </w:rPr>
              <w:t>Docker for dev/build; managed hosting for production</w:t>
            </w:r>
          </w:p>
        </w:tc>
        <w:tc>
          <w:tcPr>
            <w:tcW w:type="dxa" w:w="3408"/>
            <w:vAlign w:val="center"/>
          </w:tcPr>
          <w:p>
            <w:r>
              <w:rPr>
                <w:sz w:val="16"/>
              </w:rPr>
              <w:t>Reproducibility without premature complexity</w:t>
            </w:r>
          </w:p>
        </w:tc>
      </w:tr>
    </w:tbl>
    <w:p/>
    <w:p>
      <w:pPr>
        <w:pStyle w:val="Heading1"/>
      </w:pPr>
      <w:r>
        <w:t>11. Documentation</w:t>
      </w:r>
    </w:p>
    <w:p>
      <w:pPr>
        <w:pStyle w:val="ListBullet"/>
      </w:pPr>
      <w:r>
        <w:t>README.md — product purpose, quick start, architecture and limitations.</w:t>
      </w:r>
    </w:p>
    <w:p>
      <w:pPr>
        <w:pStyle w:val="ListBullet"/>
      </w:pPr>
      <w:r>
        <w:t>SETUP.md — step-by-step setup for a zero-coding owner.</w:t>
      </w:r>
    </w:p>
    <w:p>
      <w:pPr>
        <w:pStyle w:val="ListBullet"/>
      </w:pPr>
      <w:r>
        <w:t>ARCHITECTURE.md + ADRs — architecture and decisions.</w:t>
      </w:r>
    </w:p>
    <w:p>
      <w:pPr>
        <w:pStyle w:val="ListBullet"/>
      </w:pPr>
      <w:r>
        <w:t>SECURITY.md + THREAT_MODEL.md — controls, threats, secrets and incident handling.</w:t>
      </w:r>
    </w:p>
    <w:p>
      <w:pPr>
        <w:pStyle w:val="ListBullet"/>
      </w:pPr>
      <w:r>
        <w:t>DATA_DICTIONARY.md — fields, units, allowed values and sensitivity.</w:t>
      </w:r>
    </w:p>
    <w:p>
      <w:pPr>
        <w:pStyle w:val="ListBullet"/>
      </w:pPr>
      <w:r>
        <w:t>MODEL_METHODOLOGY.md — formulas, assumptions, backtests and simulations.</w:t>
      </w:r>
    </w:p>
    <w:p>
      <w:pPr>
        <w:pStyle w:val="ListBullet"/>
      </w:pPr>
      <w:r>
        <w:t>EVIDENCE_POLICY.md — source tiers, verification, freshness and gating.</w:t>
      </w:r>
    </w:p>
    <w:p>
      <w:pPr>
        <w:pStyle w:val="ListBullet"/>
      </w:pPr>
      <w:r>
        <w:t>TESTING.md — strategy, commands, fixtures and E2E journeys.</w:t>
      </w:r>
    </w:p>
    <w:p>
      <w:pPr>
        <w:pStyle w:val="ListBullet"/>
      </w:pPr>
      <w:r>
        <w:t>DEPLOYMENT.md + RUNBOOK.md — staging/production, rollback, backup/restore and incidents.</w:t>
      </w:r>
    </w:p>
    <w:p>
      <w:pPr>
        <w:pStyle w:val="ListBullet"/>
      </w:pPr>
      <w:r>
        <w:t>CHANGELOG.md + release notes; USER_GUIDE.md once UI stabilizes.</w:t>
      </w:r>
    </w:p>
    <w:p>
      <w:pPr>
        <w:pStyle w:val="Heading1"/>
      </w:pPr>
      <w:r>
        <w:t>12. Business acceptance criteria</w:t>
      </w:r>
    </w:p>
    <w:p>
      <w:pPr>
        <w:pStyle w:val="ListBullet"/>
      </w:pPr>
      <w:r>
        <w:t>No production result from an unverified required assumption except clearly isolated illustrative mode.</w:t>
      </w:r>
    </w:p>
    <w:p>
      <w:pPr>
        <w:pStyle w:val="ListBullet"/>
      </w:pPr>
      <w:r>
        <w:t>Every portfolio metric traces to formula, assumption version and evidence.</w:t>
      </w:r>
    </w:p>
    <w:p>
      <w:pPr>
        <w:pStyle w:val="ListBullet"/>
      </w:pPr>
      <w:r>
        <w:t>Critical journeys pass automated E2E tests in staging.</w:t>
      </w:r>
    </w:p>
    <w:p>
      <w:pPr>
        <w:pStyle w:val="ListBullet"/>
      </w:pPr>
      <w:r>
        <w:t>Main cannot be directly pushed; required checks pass before merge.</w:t>
      </w:r>
    </w:p>
    <w:p>
      <w:pPr>
        <w:pStyle w:val="ListBullet"/>
      </w:pPr>
      <w:r>
        <w:t>Backup restoration is tested before first production release.</w:t>
      </w:r>
    </w:p>
    <w:p>
      <w:pPr>
        <w:pStyle w:val="ListBullet"/>
      </w:pPr>
      <w:r>
        <w:t>Critical/high unresolved security defects block release unless formally accepted.</w:t>
      </w:r>
    </w:p>
    <w:p>
      <w:pPr>
        <w:pStyle w:val="ListBullet"/>
      </w:pPr>
      <w:r>
        <w:t>Non-technical owner can follow setup and user documentation.</w:t>
      </w:r>
    </w:p>
    <w:p>
      <w:pPr>
        <w:pStyle w:val="ListBullet"/>
      </w:pPr>
      <w:r>
        <w:t>Outputs visibly show data-as-of/model versions and limitations.</w:t>
      </w:r>
    </w:p>
    <w:p>
      <w:pPr>
        <w:pStyle w:val="Heading1"/>
      </w:pPr>
      <w:r>
        <w:t>13. Major risks and mitigations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Risk</w:t>
            </w:r>
          </w:p>
        </w:tc>
        <w:tc>
          <w:tcPr>
            <w:tcW w:type="dxa" w:w="5112"/>
            <w:shd w:fill="D9EAF7"/>
          </w:tcPr>
          <w:p>
            <w:r>
              <w:rPr>
                <w:b/>
                <w:sz w:val="16"/>
              </w:rPr>
              <w:t>Mitigation</w:t>
            </w:r>
          </w:p>
        </w:tc>
      </w:tr>
      <w:tr>
        <w:tc>
          <w:tcPr>
            <w:tcW w:type="dxa" w:w="5112"/>
            <w:vAlign w:val="center"/>
          </w:tcPr>
          <w:p>
            <w:r>
              <w:rPr>
                <w:sz w:val="16"/>
              </w:rPr>
              <w:t>False precision</w:t>
            </w:r>
          </w:p>
        </w:tc>
        <w:tc>
          <w:tcPr>
            <w:tcW w:type="dxa" w:w="5112"/>
            <w:vAlign w:val="center"/>
          </w:tcPr>
          <w:p>
            <w:r>
              <w:rPr>
                <w:sz w:val="16"/>
              </w:rPr>
              <w:t>Hard gates, ranges/scenarios, uncertainty labels</w:t>
            </w:r>
          </w:p>
        </w:tc>
      </w:tr>
      <w:tr>
        <w:tc>
          <w:tcPr>
            <w:tcW w:type="dxa" w:w="5112"/>
            <w:vAlign w:val="center"/>
          </w:tcPr>
          <w:p>
            <w:r>
              <w:rPr>
                <w:sz w:val="16"/>
              </w:rPr>
              <w:t>Stale market inputs</w:t>
            </w:r>
          </w:p>
        </w:tc>
        <w:tc>
          <w:tcPr>
            <w:tcW w:type="dxa" w:w="5112"/>
            <w:vAlign w:val="center"/>
          </w:tcPr>
          <w:p>
            <w:r>
              <w:rPr>
                <w:sz w:val="16"/>
              </w:rPr>
              <w:t>data_as_of, freshness SLAs, warnings/blocks</w:t>
            </w:r>
          </w:p>
        </w:tc>
      </w:tr>
      <w:tr>
        <w:tc>
          <w:tcPr>
            <w:tcW w:type="dxa" w:w="5112"/>
            <w:vAlign w:val="center"/>
          </w:tcPr>
          <w:p>
            <w:r>
              <w:rPr>
                <w:sz w:val="16"/>
              </w:rPr>
              <w:t>Coding-agent unsafe change</w:t>
            </w:r>
          </w:p>
        </w:tc>
        <w:tc>
          <w:tcPr>
            <w:tcW w:type="dxa" w:w="5112"/>
            <w:vAlign w:val="center"/>
          </w:tcPr>
          <w:p>
            <w:r>
              <w:rPr>
                <w:sz w:val="16"/>
              </w:rPr>
              <w:t>Small phases, tests, PR-only, locked main</w:t>
            </w:r>
          </w:p>
        </w:tc>
      </w:tr>
      <w:tr>
        <w:tc>
          <w:tcPr>
            <w:tcW w:type="dxa" w:w="5112"/>
            <w:vAlign w:val="center"/>
          </w:tcPr>
          <w:p>
            <w:r>
              <w:rPr>
                <w:sz w:val="16"/>
              </w:rPr>
              <w:t>Formula defect</w:t>
            </w:r>
          </w:p>
        </w:tc>
        <w:tc>
          <w:tcPr>
            <w:tcW w:type="dxa" w:w="5112"/>
            <w:vAlign w:val="center"/>
          </w:tcPr>
          <w:p>
            <w:r>
              <w:rPr>
                <w:sz w:val="16"/>
              </w:rPr>
              <w:t>Independent reconciliation, golden fixtures, boundary/property tests</w:t>
            </w:r>
          </w:p>
        </w:tc>
      </w:tr>
      <w:tr>
        <w:tc>
          <w:tcPr>
            <w:tcW w:type="dxa" w:w="5112"/>
            <w:vAlign w:val="center"/>
          </w:tcPr>
          <w:p>
            <w:r>
              <w:rPr>
                <w:sz w:val="16"/>
              </w:rPr>
              <w:t>Sensitive data exposure</w:t>
            </w:r>
          </w:p>
        </w:tc>
        <w:tc>
          <w:tcPr>
            <w:tcW w:type="dxa" w:w="5112"/>
            <w:vAlign w:val="center"/>
          </w:tcPr>
          <w:p>
            <w:r>
              <w:rPr>
                <w:sz w:val="16"/>
              </w:rPr>
              <w:t>Minimization, encryption, least privilege, log redaction</w:t>
            </w:r>
          </w:p>
        </w:tc>
      </w:tr>
      <w:tr>
        <w:tc>
          <w:tcPr>
            <w:tcW w:type="dxa" w:w="5112"/>
            <w:vAlign w:val="center"/>
          </w:tcPr>
          <w:p>
            <w:r>
              <w:rPr>
                <w:sz w:val="16"/>
              </w:rPr>
              <w:t>Regulatory/tax uncertainty</w:t>
            </w:r>
          </w:p>
        </w:tc>
        <w:tc>
          <w:tcPr>
            <w:tcW w:type="dxa" w:w="5112"/>
            <w:vAlign w:val="center"/>
          </w:tcPr>
          <w:p>
            <w:r>
              <w:rPr>
                <w:sz w:val="16"/>
              </w:rPr>
              <w:t>Sourced facts; uncertainty flags; professional confirmation</w:t>
            </w:r>
          </w:p>
        </w:tc>
      </w:tr>
      <w:tr>
        <w:tc>
          <w:tcPr>
            <w:tcW w:type="dxa" w:w="5112"/>
            <w:vAlign w:val="center"/>
          </w:tcPr>
          <w:p>
            <w:r>
              <w:rPr>
                <w:sz w:val="16"/>
              </w:rPr>
              <w:t>Over-engineering</w:t>
            </w:r>
          </w:p>
        </w:tc>
        <w:tc>
          <w:tcPr>
            <w:tcW w:type="dxa" w:w="5112"/>
            <w:vAlign w:val="center"/>
          </w:tcPr>
          <w:p>
            <w:r>
              <w:rPr>
                <w:sz w:val="16"/>
              </w:rPr>
              <w:t>Modular monolith and managed services first</w:t>
            </w:r>
          </w:p>
        </w:tc>
      </w:tr>
    </w:tbl>
    <w:p/>
    <w:p>
      <w:pPr>
        <w:pStyle w:val="Heading1"/>
      </w:pPr>
      <w:r>
        <w:t>14. Definition of business-ready</w:t>
      </w:r>
    </w:p>
    <w:p>
      <w:r>
        <w:t>Business-ready means the software controls are operational, required evidence for the intended asset universe is complete, model-validation tests pass, outputs are traceable and understandable, and the owner can operate the system using documented workflows. Engineering completion alone does not make the investment model evidence-complete.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