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Product Requirements Document (PRD)</w:t>
      </w:r>
    </w:p>
    <w:p>
      <w:pPr>
        <w:jc w:val="center"/>
      </w:pPr>
      <w:r>
        <w:rPr>
          <w:i/>
          <w:sz w:val="22"/>
        </w:rPr>
        <w:t>Enterprise Personal Investment &amp; Financial Planning Model</w:t>
      </w:r>
    </w:p>
    <w:p>
      <w:pPr>
        <w:jc w:val="center"/>
      </w:pPr>
      <w:r>
        <w:rPr>
          <w:sz w:val="18"/>
        </w:rPr>
        <w:t>Version 1.0 | 16 September 2026 | Enterprise build specification</w:t>
      </w:r>
    </w:p>
    <w:p>
      <w:r>
        <w:br w:type="page"/>
      </w:r>
    </w:p>
    <w:p>
      <w:pPr>
        <w:pStyle w:val="Heading1"/>
      </w:pPr>
      <w:r>
        <w:t>1. Coding-agent mission</w:t>
      </w:r>
    </w:p>
    <w:p>
      <w:r>
        <w:t>Implement an enterprise-grade, security-first, auditable personal investment and financial-planning web application. Work in small phases. For every phase: explain why it exists; implement only scoped requirements; add/update automated tests; update documentation; run required checks; and do not proceed when acceptance criteria fail.</w:t>
      </w:r>
    </w:p>
    <w:p>
      <w:r>
        <w:t>The product owner has zero coding knowledge and has never built an AI software project. Never assume knowledge of Git, terminals, cloud consoles, databases or deployment. Prefer automation, safe defaults and exact step-by-step instructions.</w:t>
      </w:r>
    </w:p>
    <w:p>
      <w:pPr>
        <w:pStyle w:val="Heading1"/>
      </w:pPr>
      <w:r>
        <w:t>2. Product principles</w:t>
      </w:r>
    </w:p>
    <w:p>
      <w:pPr>
        <w:pStyle w:val="ListBullet"/>
      </w:pPr>
      <w:r>
        <w:t>Evidence before assumptions; assumptions before portfolios; validated portfolios before probabilities.</w:t>
      </w:r>
    </w:p>
    <w:p>
      <w:pPr>
        <w:pStyle w:val="ListBullet"/>
      </w:pPr>
      <w:r>
        <w:t>Traceability over convenience; every material output must be reproducible.</w:t>
      </w:r>
    </w:p>
    <w:p>
      <w:pPr>
        <w:pStyle w:val="ListBullet"/>
      </w:pPr>
      <w:r>
        <w:t>Fail closed when required data is missing, stale or unverified.</w:t>
      </w:r>
    </w:p>
    <w:p>
      <w:pPr>
        <w:pStyle w:val="ListBullet"/>
      </w:pPr>
      <w:r>
        <w:t>Separate observed data, forecasts, model assumptions, scenarios and illustrative values in schema and UI.</w:t>
      </w:r>
    </w:p>
    <w:p>
      <w:pPr>
        <w:pStyle w:val="ListBullet"/>
      </w:pPr>
      <w:r>
        <w:t>Show downside, drawdown, liquidity and stress outcomes alongside expected return.</w:t>
      </w:r>
    </w:p>
    <w:p>
      <w:pPr>
        <w:pStyle w:val="ListBullet"/>
      </w:pPr>
      <w:r>
        <w:t>Security and testing are part of every feature.</w:t>
      </w:r>
    </w:p>
    <w:p>
      <w:pPr>
        <w:pStyle w:val="ListBullet"/>
      </w:pPr>
      <w:r>
        <w:t>Use a modular monolith first; optimize for clarity and auditability.</w:t>
      </w:r>
    </w:p>
    <w:p>
      <w:pPr>
        <w:pStyle w:val="Heading1"/>
      </w:pPr>
      <w:r>
        <w:t>3. Functional modules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Module</w:t>
            </w:r>
          </w:p>
        </w:tc>
        <w:tc>
          <w:tcPr>
            <w:tcW w:type="dxa" w:w="5112"/>
            <w:shd w:fill="D9EAF7"/>
          </w:tcPr>
          <w:p>
            <w:r>
              <w:rPr>
                <w:b/>
                <w:sz w:val="16"/>
              </w:rPr>
              <w:t>Requirement</w:t>
            </w:r>
          </w:p>
        </w:tc>
      </w:tr>
      <w:tr>
        <w:tc>
          <w:tcPr>
            <w:tcW w:type="dxa" w:w="5112"/>
            <w:vAlign w:val="center"/>
          </w:tcPr>
          <w:p>
            <w:r>
              <w:rPr>
                <w:sz w:val="16"/>
              </w:rPr>
              <w:t>M1 Evidence Registry</w:t>
            </w:r>
          </w:p>
        </w:tc>
        <w:tc>
          <w:tcPr>
            <w:tcW w:type="dxa" w:w="5112"/>
            <w:vAlign w:val="center"/>
          </w:tcPr>
          <w:p>
            <w:r>
              <w:rPr>
                <w:sz w:val="16"/>
              </w:rPr>
              <w:t>Source records, metadata, source tier, verification, notes and evidence attachments/links.</w:t>
            </w:r>
          </w:p>
        </w:tc>
      </w:tr>
      <w:tr>
        <w:tc>
          <w:tcPr>
            <w:tcW w:type="dxa" w:w="5112"/>
            <w:vAlign w:val="center"/>
          </w:tcPr>
          <w:p>
            <w:r>
              <w:rPr>
                <w:sz w:val="16"/>
              </w:rPr>
              <w:t>M2 Provenance Register</w:t>
            </w:r>
          </w:p>
        </w:tc>
        <w:tc>
          <w:tcPr>
            <w:tcW w:type="dxa" w:w="5112"/>
            <w:vAlign w:val="center"/>
          </w:tcPr>
          <w:p>
            <w:r>
              <w:rPr>
                <w:sz w:val="16"/>
              </w:rPr>
              <w:t>Variable/value/unit/source/methodology/confidence/status/effective date/data_as_of/refresh cadence.</w:t>
            </w:r>
          </w:p>
        </w:tc>
      </w:tr>
      <w:tr>
        <w:tc>
          <w:tcPr>
            <w:tcW w:type="dxa" w:w="5112"/>
            <w:vAlign w:val="center"/>
          </w:tcPr>
          <w:p>
            <w:r>
              <w:rPr>
                <w:sz w:val="16"/>
              </w:rPr>
              <w:t>M3 Assumption Register</w:t>
            </w:r>
          </w:p>
        </w:tc>
        <w:tc>
          <w:tcPr>
            <w:tcW w:type="dxa" w:w="5112"/>
            <w:vAlign w:val="center"/>
          </w:tcPr>
          <w:p>
            <w:r>
              <w:rPr>
                <w:sz w:val="16"/>
              </w:rPr>
              <w:t>Versioned Bear/Base/Bull assumptions, normalization and approval rationale.</w:t>
            </w:r>
          </w:p>
        </w:tc>
      </w:tr>
      <w:tr>
        <w:tc>
          <w:tcPr>
            <w:tcW w:type="dxa" w:w="5112"/>
            <w:vAlign w:val="center"/>
          </w:tcPr>
          <w:p>
            <w:r>
              <w:rPr>
                <w:sz w:val="16"/>
              </w:rPr>
              <w:t>M4 Validation Register</w:t>
            </w:r>
          </w:p>
        </w:tc>
        <w:tc>
          <w:tcPr>
            <w:tcW w:type="dxa" w:w="5112"/>
            <w:vAlign w:val="center"/>
          </w:tcPr>
          <w:p>
            <w:r>
              <w:rPr>
                <w:sz w:val="16"/>
              </w:rPr>
              <w:t>Source, freshness, reconciliation, backtest, stress, sensitivity, simulation and product validation.</w:t>
            </w:r>
          </w:p>
        </w:tc>
      </w:tr>
      <w:tr>
        <w:tc>
          <w:tcPr>
            <w:tcW w:type="dxa" w:w="5112"/>
            <w:vAlign w:val="center"/>
          </w:tcPr>
          <w:p>
            <w:r>
              <w:rPr>
                <w:sz w:val="16"/>
              </w:rPr>
              <w:t>M5 Personal Finance</w:t>
            </w:r>
          </w:p>
        </w:tc>
        <w:tc>
          <w:tcPr>
            <w:tcW w:type="dxa" w:w="5112"/>
            <w:vAlign w:val="center"/>
          </w:tcPr>
          <w:p>
            <w:r>
              <w:rPr>
                <w:sz w:val="16"/>
              </w:rPr>
              <w:t>Assets/liabilities, income/expenses, reserve, contributions, goals, horizons, liquidity and constraints.</w:t>
            </w:r>
          </w:p>
        </w:tc>
      </w:tr>
      <w:tr>
        <w:tc>
          <w:tcPr>
            <w:tcW w:type="dxa" w:w="5112"/>
            <w:vAlign w:val="center"/>
          </w:tcPr>
          <w:p>
            <w:r>
              <w:rPr>
                <w:sz w:val="16"/>
              </w:rPr>
              <w:t>M6 Personal Inflation</w:t>
            </w:r>
          </w:p>
        </w:tc>
        <w:tc>
          <w:tcPr>
            <w:tcW w:type="dxa" w:w="5112"/>
            <w:vAlign w:val="center"/>
          </w:tcPr>
          <w:p>
            <w:r>
              <w:rPr>
                <w:sz w:val="16"/>
              </w:rPr>
              <w:t>Household weights × category inflation; compare with official headline CPI.</w:t>
            </w:r>
          </w:p>
        </w:tc>
      </w:tr>
      <w:tr>
        <w:tc>
          <w:tcPr>
            <w:tcW w:type="dxa" w:w="5112"/>
            <w:vAlign w:val="center"/>
          </w:tcPr>
          <w:p>
            <w:r>
              <w:rPr>
                <w:sz w:val="16"/>
              </w:rPr>
              <w:t>M7 Portfolio Engine</w:t>
            </w:r>
          </w:p>
        </w:tc>
        <w:tc>
          <w:tcPr>
            <w:tcW w:type="dxa" w:w="5112"/>
            <w:vAlign w:val="center"/>
          </w:tcPr>
          <w:p>
            <w:r>
              <w:rPr>
                <w:sz w:val="16"/>
              </w:rPr>
              <w:t>Weights, expected return, covariance risk, fees, inflation, tax flags, FX, cash flows and rebalancing.</w:t>
            </w:r>
          </w:p>
        </w:tc>
      </w:tr>
      <w:tr>
        <w:tc>
          <w:tcPr>
            <w:tcW w:type="dxa" w:w="5112"/>
            <w:vAlign w:val="center"/>
          </w:tcPr>
          <w:p>
            <w:r>
              <w:rPr>
                <w:sz w:val="16"/>
              </w:rPr>
              <w:t>M8 Historical Analytics</w:t>
            </w:r>
          </w:p>
        </w:tc>
        <w:tc>
          <w:tcPr>
            <w:tcW w:type="dxa" w:w="5112"/>
            <w:vAlign w:val="center"/>
          </w:tcPr>
          <w:p>
            <w:r>
              <w:rPr>
                <w:sz w:val="16"/>
              </w:rPr>
              <w:t>Backtests, rolling returns, drawdowns, recovery and benchmark comparison.</w:t>
            </w:r>
          </w:p>
        </w:tc>
      </w:tr>
      <w:tr>
        <w:tc>
          <w:tcPr>
            <w:tcW w:type="dxa" w:w="5112"/>
            <w:vAlign w:val="center"/>
          </w:tcPr>
          <w:p>
            <w:r>
              <w:rPr>
                <w:sz w:val="16"/>
              </w:rPr>
              <w:t>M9 Stress/Sensitivity</w:t>
            </w:r>
          </w:p>
        </w:tc>
        <w:tc>
          <w:tcPr>
            <w:tcW w:type="dxa" w:w="5112"/>
            <w:vAlign w:val="center"/>
          </w:tcPr>
          <w:p>
            <w:r>
              <w:rPr>
                <w:sz w:val="16"/>
              </w:rPr>
              <w:t>Historical/hypothetical shocks, sensitivities, concentration and liquidity.</w:t>
            </w:r>
          </w:p>
        </w:tc>
      </w:tr>
      <w:tr>
        <w:tc>
          <w:tcPr>
            <w:tcW w:type="dxa" w:w="5112"/>
            <w:vAlign w:val="center"/>
          </w:tcPr>
          <w:p>
            <w:r>
              <w:rPr>
                <w:sz w:val="16"/>
              </w:rPr>
              <w:t>M10 Monte Carlo/Goals</w:t>
            </w:r>
          </w:p>
        </w:tc>
        <w:tc>
          <w:tcPr>
            <w:tcW w:type="dxa" w:w="5112"/>
            <w:vAlign w:val="center"/>
          </w:tcPr>
          <w:p>
            <w:r>
              <w:rPr>
                <w:sz w:val="16"/>
              </w:rPr>
              <w:t>Seeded simulation, percentiles, goal success and stability/convergence.</w:t>
            </w:r>
          </w:p>
        </w:tc>
      </w:tr>
      <w:tr>
        <w:tc>
          <w:tcPr>
            <w:tcW w:type="dxa" w:w="5112"/>
            <w:vAlign w:val="center"/>
          </w:tcPr>
          <w:p>
            <w:r>
              <w:rPr>
                <w:sz w:val="16"/>
              </w:rPr>
              <w:t>M11 Product Due Diligence</w:t>
            </w:r>
          </w:p>
        </w:tc>
        <w:tc>
          <w:tcPr>
            <w:tcW w:type="dxa" w:w="5112"/>
            <w:vAlign w:val="center"/>
          </w:tcPr>
          <w:p>
            <w:r>
              <w:rPr>
                <w:sz w:val="16"/>
              </w:rPr>
              <w:t>Issuer, domicile, currency, fees, liquidity, distribution, availability and verification.</w:t>
            </w:r>
          </w:p>
        </w:tc>
      </w:tr>
      <w:tr>
        <w:tc>
          <w:tcPr>
            <w:tcW w:type="dxa" w:w="5112"/>
            <w:vAlign w:val="center"/>
          </w:tcPr>
          <w:p>
            <w:r>
              <w:rPr>
                <w:sz w:val="16"/>
              </w:rPr>
              <w:t>M12 Reporting</w:t>
            </w:r>
          </w:p>
        </w:tc>
        <w:tc>
          <w:tcPr>
            <w:tcW w:type="dxa" w:w="5112"/>
            <w:vAlign w:val="center"/>
          </w:tcPr>
          <w:p>
            <w:r>
              <w:rPr>
                <w:sz w:val="16"/>
              </w:rPr>
              <w:t>Dashboard, traceability drill-down, model/data-as-of labels and exports.</w:t>
            </w:r>
          </w:p>
        </w:tc>
      </w:tr>
      <w:tr>
        <w:tc>
          <w:tcPr>
            <w:tcW w:type="dxa" w:w="5112"/>
            <w:vAlign w:val="center"/>
          </w:tcPr>
          <w:p>
            <w:r>
              <w:rPr>
                <w:sz w:val="16"/>
              </w:rPr>
              <w:t>M13 Admin/Audit</w:t>
            </w:r>
          </w:p>
        </w:tc>
        <w:tc>
          <w:tcPr>
            <w:tcW w:type="dxa" w:w="5112"/>
            <w:vAlign w:val="center"/>
          </w:tcPr>
          <w:p>
            <w:r>
              <w:rPr>
                <w:sz w:val="16"/>
              </w:rPr>
              <w:t>Roles, audit events, environment health, refresh status and exceptions.</w:t>
            </w:r>
          </w:p>
        </w:tc>
      </w:tr>
    </w:tbl>
    <w:p/>
    <w:p>
      <w:pPr>
        <w:pStyle w:val="Heading1"/>
      </w:pPr>
      <w:r>
        <w:t>4. Required domain model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Entity</w:t>
            </w:r>
          </w:p>
        </w:tc>
        <w:tc>
          <w:tcPr>
            <w:tcW w:type="dxa" w:w="5112"/>
            <w:shd w:fill="D9EAF7"/>
          </w:tcPr>
          <w:p>
            <w:r>
              <w:rPr>
                <w:b/>
                <w:sz w:val="16"/>
              </w:rPr>
              <w:t>Minimum fields</w:t>
            </w:r>
          </w:p>
        </w:tc>
      </w:tr>
      <w:tr>
        <w:tc>
          <w:tcPr>
            <w:tcW w:type="dxa" w:w="5112"/>
            <w:vAlign w:val="center"/>
          </w:tcPr>
          <w:p>
            <w:r>
              <w:rPr>
                <w:sz w:val="16"/>
              </w:rPr>
              <w:t>EvidenceSource</w:t>
            </w:r>
          </w:p>
        </w:tc>
        <w:tc>
          <w:tcPr>
            <w:tcW w:type="dxa" w:w="5112"/>
            <w:vAlign w:val="center"/>
          </w:tcPr>
          <w:p>
            <w:r>
              <w:rPr>
                <w:sz w:val="16"/>
              </w:rPr>
              <w:t>id, source_tier, institution, title, canonical_url/document_ref, publication_date, retrieved_at, jurisdiction</w:t>
            </w:r>
          </w:p>
        </w:tc>
      </w:tr>
      <w:tr>
        <w:tc>
          <w:tcPr>
            <w:tcW w:type="dxa" w:w="5112"/>
            <w:vAlign w:val="center"/>
          </w:tcPr>
          <w:p>
            <w:r>
              <w:rPr>
                <w:sz w:val="16"/>
              </w:rPr>
              <w:t>EvidenceObservation</w:t>
            </w:r>
          </w:p>
        </w:tc>
        <w:tc>
          <w:tcPr>
            <w:tcW w:type="dxa" w:w="5112"/>
            <w:vAlign w:val="center"/>
          </w:tcPr>
          <w:p>
            <w:r>
              <w:rPr>
                <w:sz w:val="16"/>
              </w:rPr>
              <w:t>id, source_id, variable_id, value, unit, observation/forecast period, methodology, data_as_of, verification_status</w:t>
            </w:r>
          </w:p>
        </w:tc>
      </w:tr>
      <w:tr>
        <w:tc>
          <w:tcPr>
            <w:tcW w:type="dxa" w:w="5112"/>
            <w:vAlign w:val="center"/>
          </w:tcPr>
          <w:p>
            <w:r>
              <w:rPr>
                <w:sz w:val="16"/>
              </w:rPr>
              <w:t>Assumption</w:t>
            </w:r>
          </w:p>
        </w:tc>
        <w:tc>
          <w:tcPr>
            <w:tcW w:type="dxa" w:w="5112"/>
            <w:vAlign w:val="center"/>
          </w:tcPr>
          <w:p>
            <w:r>
              <w:rPr>
                <w:sz w:val="16"/>
              </w:rPr>
              <w:t>id, variable_id, scenario, value/range, currency, horizon, rationale, source links, status, version, approved_at</w:t>
            </w:r>
          </w:p>
        </w:tc>
      </w:tr>
      <w:tr>
        <w:tc>
          <w:tcPr>
            <w:tcW w:type="dxa" w:w="5112"/>
            <w:vAlign w:val="center"/>
          </w:tcPr>
          <w:p>
            <w:r>
              <w:rPr>
                <w:sz w:val="16"/>
              </w:rPr>
              <w:t>ValidationTest</w:t>
            </w:r>
          </w:p>
        </w:tc>
        <w:tc>
          <w:tcPr>
            <w:tcW w:type="dxa" w:w="5112"/>
            <w:vAlign w:val="center"/>
          </w:tcPr>
          <w:p>
            <w:r>
              <w:rPr>
                <w:sz w:val="16"/>
              </w:rPr>
              <w:t>id, type, target_id, executed_at, result, threshold, evidence, reviewer, status</w:t>
            </w:r>
          </w:p>
        </w:tc>
      </w:tr>
      <w:tr>
        <w:tc>
          <w:tcPr>
            <w:tcW w:type="dxa" w:w="5112"/>
            <w:vAlign w:val="center"/>
          </w:tcPr>
          <w:p>
            <w:r>
              <w:rPr>
                <w:sz w:val="16"/>
              </w:rPr>
              <w:t>UserFinancialProfile</w:t>
            </w:r>
          </w:p>
        </w:tc>
        <w:tc>
          <w:tcPr>
            <w:tcW w:type="dxa" w:w="5112"/>
            <w:vAlign w:val="center"/>
          </w:tcPr>
          <w:p>
            <w:r>
              <w:rPr>
                <w:sz w:val="16"/>
              </w:rPr>
              <w:t>base_currency, assets, liabilities, income, expenses, reserve, constraints</w:t>
            </w:r>
          </w:p>
        </w:tc>
      </w:tr>
      <w:tr>
        <w:tc>
          <w:tcPr>
            <w:tcW w:type="dxa" w:w="5112"/>
            <w:vAlign w:val="center"/>
          </w:tcPr>
          <w:p>
            <w:r>
              <w:rPr>
                <w:sz w:val="16"/>
              </w:rPr>
              <w:t>Goal</w:t>
            </w:r>
          </w:p>
        </w:tc>
        <w:tc>
          <w:tcPr>
            <w:tcW w:type="dxa" w:w="5112"/>
            <w:vAlign w:val="center"/>
          </w:tcPr>
          <w:p>
            <w:r>
              <w:rPr>
                <w:sz w:val="16"/>
              </w:rPr>
              <w:t>name, target_amount, target_date/horizon, priority, inflation adjustment, contribution rule</w:t>
            </w:r>
          </w:p>
        </w:tc>
      </w:tr>
      <w:tr>
        <w:tc>
          <w:tcPr>
            <w:tcW w:type="dxa" w:w="5112"/>
            <w:vAlign w:val="center"/>
          </w:tcPr>
          <w:p>
            <w:r>
              <w:rPr>
                <w:sz w:val="16"/>
              </w:rPr>
              <w:t>AssetClass</w:t>
            </w:r>
          </w:p>
        </w:tc>
        <w:tc>
          <w:tcPr>
            <w:tcW w:type="dxa" w:w="5112"/>
            <w:vAlign w:val="center"/>
          </w:tcPr>
          <w:p>
            <w:r>
              <w:rPr>
                <w:sz w:val="16"/>
              </w:rPr>
              <w:t>name, currency, expected-return assumption, volatility assumption, liquidity class</w:t>
            </w:r>
          </w:p>
        </w:tc>
      </w:tr>
      <w:tr>
        <w:tc>
          <w:tcPr>
            <w:tcW w:type="dxa" w:w="5112"/>
            <w:vAlign w:val="center"/>
          </w:tcPr>
          <w:p>
            <w:r>
              <w:rPr>
                <w:sz w:val="16"/>
              </w:rPr>
              <w:t>CorrelationSet</w:t>
            </w:r>
          </w:p>
        </w:tc>
        <w:tc>
          <w:tcPr>
            <w:tcW w:type="dxa" w:w="5112"/>
            <w:vAlign w:val="center"/>
          </w:tcPr>
          <w:p>
            <w:r>
              <w:rPr>
                <w:sz w:val="16"/>
              </w:rPr>
              <w:t>version, asset pair, correlation, period/methodology, source</w:t>
            </w:r>
          </w:p>
        </w:tc>
      </w:tr>
      <w:tr>
        <w:tc>
          <w:tcPr>
            <w:tcW w:type="dxa" w:w="5112"/>
            <w:vAlign w:val="center"/>
          </w:tcPr>
          <w:p>
            <w:r>
              <w:rPr>
                <w:sz w:val="16"/>
              </w:rPr>
              <w:t>Portfolio</w:t>
            </w:r>
          </w:p>
        </w:tc>
        <w:tc>
          <w:tcPr>
            <w:tcW w:type="dxa" w:w="5112"/>
            <w:vAlign w:val="center"/>
          </w:tcPr>
          <w:p>
            <w:r>
              <w:rPr>
                <w:sz w:val="16"/>
              </w:rPr>
              <w:t>version, weights, rebalance rule, fee assumptions, constraints</w:t>
            </w:r>
          </w:p>
        </w:tc>
      </w:tr>
      <w:tr>
        <w:tc>
          <w:tcPr>
            <w:tcW w:type="dxa" w:w="5112"/>
            <w:vAlign w:val="center"/>
          </w:tcPr>
          <w:p>
            <w:r>
              <w:rPr>
                <w:sz w:val="16"/>
              </w:rPr>
              <w:t>SimulationRun</w:t>
            </w:r>
          </w:p>
        </w:tc>
        <w:tc>
          <w:tcPr>
            <w:tcW w:type="dxa" w:w="5112"/>
            <w:vAlign w:val="center"/>
          </w:tcPr>
          <w:p>
            <w:r>
              <w:rPr>
                <w:sz w:val="16"/>
              </w:rPr>
              <w:t>portfolio version, assumption set, seed, paths, horizon, summary, created_at</w:t>
            </w:r>
          </w:p>
        </w:tc>
      </w:tr>
      <w:tr>
        <w:tc>
          <w:tcPr>
            <w:tcW w:type="dxa" w:w="5112"/>
            <w:vAlign w:val="center"/>
          </w:tcPr>
          <w:p>
            <w:r>
              <w:rPr>
                <w:sz w:val="16"/>
              </w:rPr>
              <w:t>Product</w:t>
            </w:r>
          </w:p>
        </w:tc>
        <w:tc>
          <w:tcPr>
            <w:tcW w:type="dxa" w:w="5112"/>
            <w:vAlign w:val="center"/>
          </w:tcPr>
          <w:p>
            <w:r>
              <w:rPr>
                <w:sz w:val="16"/>
              </w:rPr>
              <w:t>identifier, issuer, asset class, domicile, currency, fees, liquidity, availability, verification</w:t>
            </w:r>
          </w:p>
        </w:tc>
      </w:tr>
      <w:tr>
        <w:tc>
          <w:tcPr>
            <w:tcW w:type="dxa" w:w="5112"/>
            <w:vAlign w:val="center"/>
          </w:tcPr>
          <w:p>
            <w:r>
              <w:rPr>
                <w:sz w:val="16"/>
              </w:rPr>
              <w:t>AuditEvent</w:t>
            </w:r>
          </w:p>
        </w:tc>
        <w:tc>
          <w:tcPr>
            <w:tcW w:type="dxa" w:w="5112"/>
            <w:vAlign w:val="center"/>
          </w:tcPr>
          <w:p>
            <w:r>
              <w:rPr>
                <w:sz w:val="16"/>
              </w:rPr>
              <w:t>actor, action, entity, diff/hash, timestamp, request/correlation id</w:t>
            </w:r>
          </w:p>
        </w:tc>
      </w:tr>
    </w:tbl>
    <w:p/>
    <w:p>
      <w:pPr>
        <w:pStyle w:val="Heading1"/>
      </w:pPr>
      <w:r>
        <w:t>5. Calculation requirements</w:t>
      </w:r>
    </w:p>
    <w:p>
      <w:pPr>
        <w:pStyle w:val="ListBullet"/>
      </w:pPr>
      <w:r>
        <w:t>Expected portfolio return uses weighted approved asset-return assumptions.</w:t>
      </w:r>
    </w:p>
    <w:p>
      <w:pPr>
        <w:pStyle w:val="ListBullet"/>
      </w:pPr>
      <w:r>
        <w:t>Portfolio variance/volatility uses a covariance matrix; invalid inputs are rejected rather than silently repaired.</w:t>
      </w:r>
    </w:p>
    <w:p>
      <w:pPr>
        <w:pStyle w:val="ListBullet"/>
      </w:pPr>
      <w:r>
        <w:t>Real-return views clearly identify headline versus personal inflation.</w:t>
      </w:r>
    </w:p>
    <w:p>
      <w:pPr>
        <w:pStyle w:val="ListBullet"/>
      </w:pPr>
      <w:r>
        <w:t>Fee drag is explicit; unknown fees are flagged, never silently set to zero.</w:t>
      </w:r>
    </w:p>
    <w:p>
      <w:pPr>
        <w:pStyle w:val="ListBullet"/>
      </w:pPr>
      <w:r>
        <w:t>FX distinguishes base currency, asset currency and hedging status.</w:t>
      </w:r>
    </w:p>
    <w:p>
      <w:pPr>
        <w:pStyle w:val="ListBullet"/>
      </w:pPr>
      <w:r>
        <w:t>Backtests use reproducible ranges, rebalance rules, cash-flow treatment and benchmarks; prevent look-ahead/survivorship shortcuts.</w:t>
      </w:r>
    </w:p>
    <w:p>
      <w:pPr>
        <w:pStyle w:val="ListBullet"/>
      </w:pPr>
      <w:r>
        <w:t>Monte Carlo supports deterministic seed, configurable path count, documented return-generation method and convergence/stability testing.</w:t>
      </w:r>
    </w:p>
    <w:p>
      <w:pPr>
        <w:pStyle w:val="ListBullet"/>
      </w:pPr>
      <w:r>
        <w:t>Goal probability = successful valid paths / total valid paths and is labeled conditional, not guaranteed.</w:t>
      </w:r>
    </w:p>
    <w:p>
      <w:pPr>
        <w:pStyle w:val="ListBullet"/>
      </w:pPr>
      <w:r>
        <w:t>Internal precision is retained; rounding occurs at presentation.</w:t>
      </w:r>
    </w:p>
    <w:p>
      <w:pPr>
        <w:pStyle w:val="Heading1"/>
      </w:pPr>
      <w:r>
        <w:t>6. Data-quality and production gates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Gate</w:t>
            </w:r>
          </w:p>
        </w:tc>
        <w:tc>
          <w:tcPr>
            <w:tcW w:type="dxa" w:w="5112"/>
            <w:shd w:fill="D9EAF7"/>
          </w:tcPr>
          <w:p>
            <w:r>
              <w:rPr>
                <w:b/>
                <w:sz w:val="16"/>
              </w:rPr>
              <w:t>Required behavior</w:t>
            </w:r>
          </w:p>
        </w:tc>
      </w:tr>
      <w:tr>
        <w:tc>
          <w:tcPr>
            <w:tcW w:type="dxa" w:w="5112"/>
            <w:vAlign w:val="center"/>
          </w:tcPr>
          <w:p>
            <w:r>
              <w:rPr>
                <w:sz w:val="16"/>
              </w:rPr>
              <w:t>Verification</w:t>
            </w:r>
          </w:p>
        </w:tc>
        <w:tc>
          <w:tcPr>
            <w:tcW w:type="dxa" w:w="5112"/>
            <w:vAlign w:val="center"/>
          </w:tcPr>
          <w:p>
            <w:r>
              <w:rPr>
                <w:sz w:val="16"/>
              </w:rPr>
              <w:t>Required production variables must be verified/approved.</w:t>
            </w:r>
          </w:p>
        </w:tc>
      </w:tr>
      <w:tr>
        <w:tc>
          <w:tcPr>
            <w:tcW w:type="dxa" w:w="5112"/>
            <w:vAlign w:val="center"/>
          </w:tcPr>
          <w:p>
            <w:r>
              <w:rPr>
                <w:sz w:val="16"/>
              </w:rPr>
              <w:t>Freshness</w:t>
            </w:r>
          </w:p>
        </w:tc>
        <w:tc>
          <w:tcPr>
            <w:tcW w:type="dxa" w:w="5112"/>
            <w:vAlign w:val="center"/>
          </w:tcPr>
          <w:p>
            <w:r>
              <w:rPr>
                <w:sz w:val="16"/>
              </w:rPr>
              <w:t>Material stale inputs warn and block dependent production outputs when configured.</w:t>
            </w:r>
          </w:p>
        </w:tc>
      </w:tr>
      <w:tr>
        <w:tc>
          <w:tcPr>
            <w:tcW w:type="dxa" w:w="5112"/>
            <w:vAlign w:val="center"/>
          </w:tcPr>
          <w:p>
            <w:r>
              <w:rPr>
                <w:sz w:val="16"/>
              </w:rPr>
              <w:t>Completeness</w:t>
            </w:r>
          </w:p>
        </w:tc>
        <w:tc>
          <w:tcPr>
            <w:tcW w:type="dxa" w:w="5112"/>
            <w:vAlign w:val="center"/>
          </w:tcPr>
          <w:p>
            <w:r>
              <w:rPr>
                <w:sz w:val="16"/>
              </w:rPr>
              <w:t>Missing required volatility/correlation/fee/FX fields block dependent metrics.</w:t>
            </w:r>
          </w:p>
        </w:tc>
      </w:tr>
      <w:tr>
        <w:tc>
          <w:tcPr>
            <w:tcW w:type="dxa" w:w="5112"/>
            <w:vAlign w:val="center"/>
          </w:tcPr>
          <w:p>
            <w:r>
              <w:rPr>
                <w:sz w:val="16"/>
              </w:rPr>
              <w:t>Source tier</w:t>
            </w:r>
          </w:p>
        </w:tc>
        <w:tc>
          <w:tcPr>
            <w:tcW w:type="dxa" w:w="5112"/>
            <w:vAlign w:val="center"/>
          </w:tcPr>
          <w:p>
            <w:r>
              <w:rPr>
                <w:sz w:val="16"/>
              </w:rPr>
              <w:t>Core assumptions meet evidence policy; exceptions require approval.</w:t>
            </w:r>
          </w:p>
        </w:tc>
      </w:tr>
      <w:tr>
        <w:tc>
          <w:tcPr>
            <w:tcW w:type="dxa" w:w="5112"/>
            <w:vAlign w:val="center"/>
          </w:tcPr>
          <w:p>
            <w:r>
              <w:rPr>
                <w:sz w:val="16"/>
              </w:rPr>
              <w:t>Scenario labeling</w:t>
            </w:r>
          </w:p>
        </w:tc>
        <w:tc>
          <w:tcPr>
            <w:tcW w:type="dxa" w:w="5112"/>
            <w:vAlign w:val="center"/>
          </w:tcPr>
          <w:p>
            <w:r>
              <w:rPr>
                <w:sz w:val="16"/>
              </w:rPr>
              <w:t>Illustrative values cannot appear as observed/forecast values.</w:t>
            </w:r>
          </w:p>
        </w:tc>
      </w:tr>
      <w:tr>
        <w:tc>
          <w:tcPr>
            <w:tcW w:type="dxa" w:w="5112"/>
            <w:vAlign w:val="center"/>
          </w:tcPr>
          <w:p>
            <w:r>
              <w:rPr>
                <w:sz w:val="16"/>
              </w:rPr>
              <w:t>Versioning</w:t>
            </w:r>
          </w:p>
        </w:tc>
        <w:tc>
          <w:tcPr>
            <w:tcW w:type="dxa" w:w="5112"/>
            <w:vAlign w:val="center"/>
          </w:tcPr>
          <w:p>
            <w:r>
              <w:rPr>
                <w:sz w:val="16"/>
              </w:rPr>
              <w:t>Every result stores model/code, assumption-set and data-as-of versions.</w:t>
            </w:r>
          </w:p>
        </w:tc>
      </w:tr>
      <w:tr>
        <w:tc>
          <w:tcPr>
            <w:tcW w:type="dxa" w:w="5112"/>
            <w:vAlign w:val="center"/>
          </w:tcPr>
          <w:p>
            <w:r>
              <w:rPr>
                <w:sz w:val="16"/>
              </w:rPr>
              <w:t>Research completion</w:t>
            </w:r>
          </w:p>
        </w:tc>
        <w:tc>
          <w:tcPr>
            <w:tcW w:type="dxa" w:w="5112"/>
            <w:vAlign w:val="center"/>
          </w:tcPr>
          <w:p>
            <w:r>
              <w:rPr>
                <w:sz w:val="16"/>
              </w:rPr>
              <w:t>Final portfolio recommendation mode disabled until defined research modules are complete.</w:t>
            </w:r>
          </w:p>
        </w:tc>
      </w:tr>
    </w:tbl>
    <w:p/>
    <w:p>
      <w:pPr>
        <w:pStyle w:val="Heading1"/>
      </w:pPr>
      <w:r>
        <w:t>7. Security architecture and DevSecOps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Area</w:t>
            </w:r>
          </w:p>
        </w:tc>
        <w:tc>
          <w:tcPr>
            <w:tcW w:type="dxa" w:w="5112"/>
            <w:shd w:fill="D9EAF7"/>
          </w:tcPr>
          <w:p>
            <w:r>
              <w:rPr>
                <w:b/>
                <w:sz w:val="16"/>
              </w:rPr>
              <w:t>Implementation / acceptance</w:t>
            </w:r>
          </w:p>
        </w:tc>
      </w:tr>
      <w:tr>
        <w:tc>
          <w:tcPr>
            <w:tcW w:type="dxa" w:w="5112"/>
            <w:vAlign w:val="center"/>
          </w:tcPr>
          <w:p>
            <w:r>
              <w:rPr>
                <w:sz w:val="16"/>
              </w:rPr>
              <w:t>Threat model</w:t>
            </w:r>
          </w:p>
        </w:tc>
        <w:tc>
          <w:tcPr>
            <w:tcW w:type="dxa" w:w="5112"/>
            <w:vAlign w:val="center"/>
          </w:tcPr>
          <w:p>
            <w:r>
              <w:rPr>
                <w:sz w:val="16"/>
              </w:rPr>
              <w:t>Create before personal financial data; update on material architecture changes.</w:t>
            </w:r>
          </w:p>
        </w:tc>
      </w:tr>
      <w:tr>
        <w:tc>
          <w:tcPr>
            <w:tcW w:type="dxa" w:w="5112"/>
            <w:vAlign w:val="center"/>
          </w:tcPr>
          <w:p>
            <w:r>
              <w:rPr>
                <w:sz w:val="16"/>
              </w:rPr>
              <w:t>Authentication</w:t>
            </w:r>
          </w:p>
        </w:tc>
        <w:tc>
          <w:tcPr>
            <w:tcW w:type="dxa" w:w="5112"/>
            <w:vAlign w:val="center"/>
          </w:tcPr>
          <w:p>
            <w:r>
              <w:rPr>
                <w:sz w:val="16"/>
              </w:rPr>
              <w:t>Managed identity, MFA support, secure session expiry/revocation.</w:t>
            </w:r>
          </w:p>
        </w:tc>
      </w:tr>
      <w:tr>
        <w:tc>
          <w:tcPr>
            <w:tcW w:type="dxa" w:w="5112"/>
            <w:vAlign w:val="center"/>
          </w:tcPr>
          <w:p>
            <w:r>
              <w:rPr>
                <w:sz w:val="16"/>
              </w:rPr>
              <w:t>Authorization</w:t>
            </w:r>
          </w:p>
        </w:tc>
        <w:tc>
          <w:tcPr>
            <w:tcW w:type="dxa" w:w="5112"/>
            <w:vAlign w:val="center"/>
          </w:tcPr>
          <w:p>
            <w:r>
              <w:rPr>
                <w:sz w:val="16"/>
              </w:rPr>
              <w:t>Server-side RBAC; deny by default; negative privilege-escalation tests.</w:t>
            </w:r>
          </w:p>
        </w:tc>
      </w:tr>
      <w:tr>
        <w:tc>
          <w:tcPr>
            <w:tcW w:type="dxa" w:w="5112"/>
            <w:vAlign w:val="center"/>
          </w:tcPr>
          <w:p>
            <w:r>
              <w:rPr>
                <w:sz w:val="16"/>
              </w:rPr>
              <w:t>Secrets</w:t>
            </w:r>
          </w:p>
        </w:tc>
        <w:tc>
          <w:tcPr>
            <w:tcW w:type="dxa" w:w="5112"/>
            <w:vAlign w:val="center"/>
          </w:tcPr>
          <w:p>
            <w:r>
              <w:rPr>
                <w:sz w:val="16"/>
              </w:rPr>
              <w:t>Secret manager/env injection; .env excluded; scanning; never log secrets.</w:t>
            </w:r>
          </w:p>
        </w:tc>
      </w:tr>
      <w:tr>
        <w:tc>
          <w:tcPr>
            <w:tcW w:type="dxa" w:w="5112"/>
            <w:vAlign w:val="center"/>
          </w:tcPr>
          <w:p>
            <w:r>
              <w:rPr>
                <w:sz w:val="16"/>
              </w:rPr>
              <w:t>Input/API</w:t>
            </w:r>
          </w:p>
        </w:tc>
        <w:tc>
          <w:tcPr>
            <w:tcW w:type="dxa" w:w="5112"/>
            <w:vAlign w:val="center"/>
          </w:tcPr>
          <w:p>
            <w:r>
              <w:rPr>
                <w:sz w:val="16"/>
              </w:rPr>
              <w:t>Schema validation, parameterized DB, safe file handling, size/rate limits.</w:t>
            </w:r>
          </w:p>
        </w:tc>
      </w:tr>
      <w:tr>
        <w:tc>
          <w:tcPr>
            <w:tcW w:type="dxa" w:w="5112"/>
            <w:vAlign w:val="center"/>
          </w:tcPr>
          <w:p>
            <w:r>
              <w:rPr>
                <w:sz w:val="16"/>
              </w:rPr>
              <w:t>Web</w:t>
            </w:r>
          </w:p>
        </w:tc>
        <w:tc>
          <w:tcPr>
            <w:tcW w:type="dxa" w:w="5112"/>
            <w:vAlign w:val="center"/>
          </w:tcPr>
          <w:p>
            <w:r>
              <w:rPr>
                <w:sz w:val="16"/>
              </w:rPr>
              <w:t>Secure cookies, CSRF defense where relevant, CSP/security headers, safe caching/encoding.</w:t>
            </w:r>
          </w:p>
        </w:tc>
      </w:tr>
      <w:tr>
        <w:tc>
          <w:tcPr>
            <w:tcW w:type="dxa" w:w="5112"/>
            <w:vAlign w:val="center"/>
          </w:tcPr>
          <w:p>
            <w:r>
              <w:rPr>
                <w:sz w:val="16"/>
              </w:rPr>
              <w:t>Dependencies</w:t>
            </w:r>
          </w:p>
        </w:tc>
        <w:tc>
          <w:tcPr>
            <w:tcW w:type="dxa" w:w="5112"/>
            <w:vAlign w:val="center"/>
          </w:tcPr>
          <w:p>
            <w:r>
              <w:rPr>
                <w:sz w:val="16"/>
              </w:rPr>
              <w:t>Lockfiles, SCA/dependency scans, update policy; critical known vulnerabilities block.</w:t>
            </w:r>
          </w:p>
        </w:tc>
      </w:tr>
      <w:tr>
        <w:tc>
          <w:tcPr>
            <w:tcW w:type="dxa" w:w="5112"/>
            <w:vAlign w:val="center"/>
          </w:tcPr>
          <w:p>
            <w:r>
              <w:rPr>
                <w:sz w:val="16"/>
              </w:rPr>
              <w:t>SAST/secret scan</w:t>
            </w:r>
          </w:p>
        </w:tc>
        <w:tc>
          <w:tcPr>
            <w:tcW w:type="dxa" w:w="5112"/>
            <w:vAlign w:val="center"/>
          </w:tcPr>
          <w:p>
            <w:r>
              <w:rPr>
                <w:sz w:val="16"/>
              </w:rPr>
              <w:t>Every PR/default branch; critical findings block merge.</w:t>
            </w:r>
          </w:p>
        </w:tc>
      </w:tr>
      <w:tr>
        <w:tc>
          <w:tcPr>
            <w:tcW w:type="dxa" w:w="5112"/>
            <w:vAlign w:val="center"/>
          </w:tcPr>
          <w:p>
            <w:r>
              <w:rPr>
                <w:sz w:val="16"/>
              </w:rPr>
              <w:t>DAST</w:t>
            </w:r>
          </w:p>
        </w:tc>
        <w:tc>
          <w:tcPr>
            <w:tcW w:type="dxa" w:w="5112"/>
            <w:vAlign w:val="center"/>
          </w:tcPr>
          <w:p>
            <w:r>
              <w:rPr>
                <w:sz w:val="16"/>
              </w:rPr>
              <w:t>Release-candidate staging scan where practical; document false positives.</w:t>
            </w:r>
          </w:p>
        </w:tc>
      </w:tr>
      <w:tr>
        <w:tc>
          <w:tcPr>
            <w:tcW w:type="dxa" w:w="5112"/>
            <w:vAlign w:val="center"/>
          </w:tcPr>
          <w:p>
            <w:r>
              <w:rPr>
                <w:sz w:val="16"/>
              </w:rPr>
              <w:t>Encryption</w:t>
            </w:r>
          </w:p>
        </w:tc>
        <w:tc>
          <w:tcPr>
            <w:tcW w:type="dxa" w:w="5112"/>
            <w:vAlign w:val="center"/>
          </w:tcPr>
          <w:p>
            <w:r>
              <w:rPr>
                <w:sz w:val="16"/>
              </w:rPr>
              <w:t>TLS and encrypted managed storage/database; documented key ownership/rotation.</w:t>
            </w:r>
          </w:p>
        </w:tc>
      </w:tr>
      <w:tr>
        <w:tc>
          <w:tcPr>
            <w:tcW w:type="dxa" w:w="5112"/>
            <w:vAlign w:val="center"/>
          </w:tcPr>
          <w:p>
            <w:r>
              <w:rPr>
                <w:sz w:val="16"/>
              </w:rPr>
              <w:t>Audit</w:t>
            </w:r>
          </w:p>
        </w:tc>
        <w:tc>
          <w:tcPr>
            <w:tcW w:type="dxa" w:w="5112"/>
            <w:vAlign w:val="center"/>
          </w:tcPr>
          <w:p>
            <w:r>
              <w:rPr>
                <w:sz w:val="16"/>
              </w:rPr>
              <w:t>Tamper-resistant audit trail for material/admin changes.</w:t>
            </w:r>
          </w:p>
        </w:tc>
      </w:tr>
      <w:tr>
        <w:tc>
          <w:tcPr>
            <w:tcW w:type="dxa" w:w="5112"/>
            <w:vAlign w:val="center"/>
          </w:tcPr>
          <w:p>
            <w:r>
              <w:rPr>
                <w:sz w:val="16"/>
              </w:rPr>
              <w:t>Privacy</w:t>
            </w:r>
          </w:p>
        </w:tc>
        <w:tc>
          <w:tcPr>
            <w:tcW w:type="dxa" w:w="5112"/>
            <w:vAlign w:val="center"/>
          </w:tcPr>
          <w:p>
            <w:r>
              <w:rPr>
                <w:sz w:val="16"/>
              </w:rPr>
              <w:t>Classify/minimize data, redact logs, retention, export/delete.</w:t>
            </w:r>
          </w:p>
        </w:tc>
      </w:tr>
      <w:tr>
        <w:tc>
          <w:tcPr>
            <w:tcW w:type="dxa" w:w="5112"/>
            <w:vAlign w:val="center"/>
          </w:tcPr>
          <w:p>
            <w:r>
              <w:rPr>
                <w:sz w:val="16"/>
              </w:rPr>
              <w:t>Backups</w:t>
            </w:r>
          </w:p>
        </w:tc>
        <w:tc>
          <w:tcPr>
            <w:tcW w:type="dxa" w:w="5112"/>
            <w:vAlign w:val="center"/>
          </w:tcPr>
          <w:p>
            <w:r>
              <w:rPr>
                <w:sz w:val="16"/>
              </w:rPr>
              <w:t>Encrypted automated backups and periodic restore test.</w:t>
            </w:r>
          </w:p>
        </w:tc>
      </w:tr>
      <w:tr>
        <w:tc>
          <w:tcPr>
            <w:tcW w:type="dxa" w:w="5112"/>
            <w:vAlign w:val="center"/>
          </w:tcPr>
          <w:p>
            <w:r>
              <w:rPr>
                <w:sz w:val="16"/>
              </w:rPr>
              <w:t>Incident response</w:t>
            </w:r>
          </w:p>
        </w:tc>
        <w:tc>
          <w:tcPr>
            <w:tcW w:type="dxa" w:w="5112"/>
            <w:vAlign w:val="center"/>
          </w:tcPr>
          <w:p>
            <w:r>
              <w:rPr>
                <w:sz w:val="16"/>
              </w:rPr>
              <w:t>Runbook for credential leak, data exposure, dependency compromise and model defect.</w:t>
            </w:r>
          </w:p>
        </w:tc>
      </w:tr>
    </w:tbl>
    <w:p/>
    <w:p>
      <w:pPr>
        <w:pStyle w:val="Heading1"/>
      </w:pPr>
      <w:r>
        <w:t>8. Git and repository protection</w:t>
      </w:r>
    </w:p>
    <w:p>
      <w:pPr>
        <w:pStyle w:val="ListBullet"/>
      </w:pPr>
      <w:r>
        <w:t>Default branch is main; direct pushes prohibited.</w:t>
      </w:r>
    </w:p>
    <w:p>
      <w:pPr>
        <w:pStyle w:val="ListBullet"/>
      </w:pPr>
      <w:r>
        <w:t>All changes use pull requests, including coding-agent changes.</w:t>
      </w:r>
    </w:p>
    <w:p>
      <w:pPr>
        <w:pStyle w:val="ListBullet"/>
      </w:pPr>
      <w:r>
        <w:t>Required PR checks: lint, formatting, type checks, unit, integration, build, SAST, dependency scan, secret scan and required E2E.</w:t>
      </w:r>
    </w:p>
    <w:p>
      <w:pPr>
        <w:pStyle w:val="ListBullet"/>
      </w:pPr>
      <w:r>
        <w:t>Require human approval when a qualified reviewer exists; use CODEOWNERS for security/model-critical paths when team size permits. In solo bootstrap, keep PR workflow and automated gates and document the temporary review limitation rather than faking approval.</w:t>
      </w:r>
    </w:p>
    <w:p>
      <w:pPr>
        <w:pStyle w:val="ListBullet"/>
      </w:pPr>
      <w:r>
        <w:t>Dismiss stale approvals after material commits; require conversations resolved.</w:t>
      </w:r>
    </w:p>
    <w:p>
      <w:pPr>
        <w:pStyle w:val="ListBullet"/>
      </w:pPr>
      <w:r>
        <w:t>Block force pushes/deletion; require signed commits where feasible.</w:t>
      </w:r>
    </w:p>
    <w:p>
      <w:pPr>
        <w:pStyle w:val="ListBullet"/>
      </w:pPr>
      <w:r>
        <w:t>Protect release tags and production environment; production deploy requires explicit approval.</w:t>
      </w:r>
    </w:p>
    <w:p>
      <w:pPr>
        <w:pStyle w:val="ListBullet"/>
      </w:pPr>
      <w:r>
        <w:t>Use least-privilege CI tokens and pin trusted third-party CI actions where feasible.</w:t>
      </w:r>
    </w:p>
    <w:p>
      <w:pPr>
        <w:pStyle w:val="ListBullet"/>
      </w:pPr>
      <w:r>
        <w:t>Automated dependency-update PRs may not bypass checks.</w:t>
      </w:r>
    </w:p>
    <w:p>
      <w:pPr>
        <w:pStyle w:val="Heading1"/>
      </w:pPr>
      <w:r>
        <w:t>9. Environments and deployment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6"/>
              </w:rPr>
              <w:t>Environment</w:t>
            </w:r>
          </w:p>
        </w:tc>
        <w:tc>
          <w:tcPr>
            <w:tcW w:type="dxa" w:w="3408"/>
            <w:shd w:fill="D9EAF7"/>
          </w:tcPr>
          <w:p>
            <w:r>
              <w:rPr>
                <w:b/>
                <w:sz w:val="16"/>
              </w:rPr>
              <w:t>Purpose</w:t>
            </w:r>
          </w:p>
        </w:tc>
        <w:tc>
          <w:tcPr>
            <w:tcW w:type="dxa" w:w="3408"/>
            <w:shd w:fill="D9EAF7"/>
          </w:tcPr>
          <w:p>
            <w:r>
              <w:rPr>
                <w:b/>
                <w:sz w:val="16"/>
              </w:rPr>
              <w:t>Rules</w:t>
            </w:r>
          </w:p>
        </w:tc>
      </w:tr>
      <w:tr>
        <w:tc>
          <w:tcPr>
            <w:tcW w:type="dxa" w:w="3408"/>
            <w:vAlign w:val="center"/>
          </w:tcPr>
          <w:p>
            <w:r>
              <w:rPr>
                <w:sz w:val="16"/>
              </w:rPr>
              <w:t>Local/Dev</w:t>
            </w:r>
          </w:p>
        </w:tc>
        <w:tc>
          <w:tcPr>
            <w:tcW w:type="dxa" w:w="3408"/>
            <w:vAlign w:val="center"/>
          </w:tcPr>
          <w:p>
            <w:r>
              <w:rPr>
                <w:sz w:val="16"/>
              </w:rPr>
              <w:t>Developer/coding-agent work</w:t>
            </w:r>
          </w:p>
        </w:tc>
        <w:tc>
          <w:tcPr>
            <w:tcW w:type="dxa" w:w="3408"/>
            <w:vAlign w:val="center"/>
          </w:tcPr>
          <w:p>
            <w:r>
              <w:rPr>
                <w:sz w:val="16"/>
              </w:rPr>
              <w:t>Synthetic data; disposable; fast tests</w:t>
            </w:r>
          </w:p>
        </w:tc>
      </w:tr>
      <w:tr>
        <w:tc>
          <w:tcPr>
            <w:tcW w:type="dxa" w:w="3408"/>
            <w:vAlign w:val="center"/>
          </w:tcPr>
          <w:p>
            <w:r>
              <w:rPr>
                <w:sz w:val="16"/>
              </w:rPr>
              <w:t>CI</w:t>
            </w:r>
          </w:p>
        </w:tc>
        <w:tc>
          <w:tcPr>
            <w:tcW w:type="dxa" w:w="3408"/>
            <w:vAlign w:val="center"/>
          </w:tcPr>
          <w:p>
            <w:r>
              <w:rPr>
                <w:sz w:val="16"/>
              </w:rPr>
              <w:t>Automated validation</w:t>
            </w:r>
          </w:p>
        </w:tc>
        <w:tc>
          <w:tcPr>
            <w:tcW w:type="dxa" w:w="3408"/>
            <w:vAlign w:val="center"/>
          </w:tcPr>
          <w:p>
            <w:r>
              <w:rPr>
                <w:sz w:val="16"/>
              </w:rPr>
              <w:t>Ephemeral; no production data; least-privilege secrets</w:t>
            </w:r>
          </w:p>
        </w:tc>
      </w:tr>
      <w:tr>
        <w:tc>
          <w:tcPr>
            <w:tcW w:type="dxa" w:w="3408"/>
            <w:vAlign w:val="center"/>
          </w:tcPr>
          <w:p>
            <w:r>
              <w:rPr>
                <w:sz w:val="16"/>
              </w:rPr>
              <w:t>Staging</w:t>
            </w:r>
          </w:p>
        </w:tc>
        <w:tc>
          <w:tcPr>
            <w:tcW w:type="dxa" w:w="3408"/>
            <w:vAlign w:val="center"/>
          </w:tcPr>
          <w:p>
            <w:r>
              <w:rPr>
                <w:sz w:val="16"/>
              </w:rPr>
              <w:t>Production-like verification</w:t>
            </w:r>
          </w:p>
        </w:tc>
        <w:tc>
          <w:tcPr>
            <w:tcW w:type="dxa" w:w="3408"/>
            <w:vAlign w:val="center"/>
          </w:tcPr>
          <w:p>
            <w:r>
              <w:rPr>
                <w:sz w:val="16"/>
              </w:rPr>
              <w:t>Separate DB/secrets; sanitized data; mandatory release E2E</w:t>
            </w:r>
          </w:p>
        </w:tc>
      </w:tr>
      <w:tr>
        <w:tc>
          <w:tcPr>
            <w:tcW w:type="dxa" w:w="3408"/>
            <w:vAlign w:val="center"/>
          </w:tcPr>
          <w:p>
            <w:r>
              <w:rPr>
                <w:sz w:val="16"/>
              </w:rPr>
              <w:t>Production</w:t>
            </w:r>
          </w:p>
        </w:tc>
        <w:tc>
          <w:tcPr>
            <w:tcW w:type="dxa" w:w="3408"/>
            <w:vAlign w:val="center"/>
          </w:tcPr>
          <w:p>
            <w:r>
              <w:rPr>
                <w:sz w:val="16"/>
              </w:rPr>
              <w:t>Real personal data/approved models</w:t>
            </w:r>
          </w:p>
        </w:tc>
        <w:tc>
          <w:tcPr>
            <w:tcW w:type="dxa" w:w="3408"/>
            <w:vAlign w:val="center"/>
          </w:tcPr>
          <w:p>
            <w:r>
              <w:rPr>
                <w:sz w:val="16"/>
              </w:rPr>
              <w:t>Protected deploy; backups; monitoring; no debug; audited changes</w:t>
            </w:r>
          </w:p>
        </w:tc>
      </w:tr>
    </w:tbl>
    <w:p/>
    <w:p>
      <w:pPr>
        <w:pStyle w:val="ListBullet"/>
      </w:pPr>
      <w:r>
        <w:t>Version and test database migrations; back up before risky production migrations.</w:t>
      </w:r>
    </w:p>
    <w:p>
      <w:pPr>
        <w:pStyle w:val="ListBullet"/>
      </w:pPr>
      <w:r>
        <w:t>Deploy only reproducible version-controlled builds; no manual production code edits.</w:t>
      </w:r>
    </w:p>
    <w:p>
      <w:pPr>
        <w:pStyle w:val="ListBullet"/>
      </w:pPr>
      <w:r>
        <w:t>Document and exercise rollback before first production release.</w:t>
      </w:r>
    </w:p>
    <w:p>
      <w:pPr>
        <w:pStyle w:val="ListBullet"/>
      </w:pPr>
      <w:r>
        <w:t>Use feature flags for incomplete/high-risk modules.</w:t>
      </w:r>
    </w:p>
    <w:p>
      <w:pPr>
        <w:pStyle w:val="Heading1"/>
      </w:pPr>
      <w:r>
        <w:t>10. Testing strategy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Type</w:t>
            </w:r>
          </w:p>
        </w:tc>
        <w:tc>
          <w:tcPr>
            <w:tcW w:type="dxa" w:w="5112"/>
            <w:shd w:fill="D9EAF7"/>
          </w:tcPr>
          <w:p>
            <w:r>
              <w:rPr>
                <w:b/>
                <w:sz w:val="16"/>
              </w:rPr>
              <w:t>Minimum expectation</w:t>
            </w:r>
          </w:p>
        </w:tc>
      </w:tr>
      <w:tr>
        <w:tc>
          <w:tcPr>
            <w:tcW w:type="dxa" w:w="5112"/>
            <w:vAlign w:val="center"/>
          </w:tcPr>
          <w:p>
            <w:r>
              <w:rPr>
                <w:sz w:val="16"/>
              </w:rPr>
              <w:t>Unit</w:t>
            </w:r>
          </w:p>
        </w:tc>
        <w:tc>
          <w:tcPr>
            <w:tcW w:type="dxa" w:w="5112"/>
            <w:vAlign w:val="center"/>
          </w:tcPr>
          <w:p>
            <w:r>
              <w:rPr>
                <w:sz w:val="16"/>
              </w:rPr>
              <w:t>Every calculation, validator and security-sensitive helper; boundaries/invalid inputs.</w:t>
            </w:r>
          </w:p>
        </w:tc>
      </w:tr>
      <w:tr>
        <w:tc>
          <w:tcPr>
            <w:tcW w:type="dxa" w:w="5112"/>
            <w:vAlign w:val="center"/>
          </w:tcPr>
          <w:p>
            <w:r>
              <w:rPr>
                <w:sz w:val="16"/>
              </w:rPr>
              <w:t>Property/invariant</w:t>
            </w:r>
          </w:p>
        </w:tc>
        <w:tc>
          <w:tcPr>
            <w:tcW w:type="dxa" w:w="5112"/>
            <w:vAlign w:val="center"/>
          </w:tcPr>
          <w:p>
            <w:r>
              <w:rPr>
                <w:sz w:val="16"/>
              </w:rPr>
              <w:t>Weight/aggregation and valid portfolio/covariance invariants.</w:t>
            </w:r>
          </w:p>
        </w:tc>
      </w:tr>
      <w:tr>
        <w:tc>
          <w:tcPr>
            <w:tcW w:type="dxa" w:w="5112"/>
            <w:vAlign w:val="center"/>
          </w:tcPr>
          <w:p>
            <w:r>
              <w:rPr>
                <w:sz w:val="16"/>
              </w:rPr>
              <w:t>Golden/reconciliation</w:t>
            </w:r>
          </w:p>
        </w:tc>
        <w:tc>
          <w:tcPr>
            <w:tcW w:type="dxa" w:w="5112"/>
            <w:vAlign w:val="center"/>
          </w:tcPr>
          <w:p>
            <w:r>
              <w:rPr>
                <w:sz w:val="16"/>
              </w:rPr>
              <w:t>Independent known examples frozen as regression fixtures.</w:t>
            </w:r>
          </w:p>
        </w:tc>
      </w:tr>
      <w:tr>
        <w:tc>
          <w:tcPr>
            <w:tcW w:type="dxa" w:w="5112"/>
            <w:vAlign w:val="center"/>
          </w:tcPr>
          <w:p>
            <w:r>
              <w:rPr>
                <w:sz w:val="16"/>
              </w:rPr>
              <w:t>Integration</w:t>
            </w:r>
          </w:p>
        </w:tc>
        <w:tc>
          <w:tcPr>
            <w:tcW w:type="dxa" w:w="5112"/>
            <w:vAlign w:val="center"/>
          </w:tcPr>
          <w:p>
            <w:r>
              <w:rPr>
                <w:sz w:val="16"/>
              </w:rPr>
              <w:t>API + DB + authz + migrations + evidence/assumption workflows.</w:t>
            </w:r>
          </w:p>
        </w:tc>
      </w:tr>
      <w:tr>
        <w:tc>
          <w:tcPr>
            <w:tcW w:type="dxa" w:w="5112"/>
            <w:vAlign w:val="center"/>
          </w:tcPr>
          <w:p>
            <w:r>
              <w:rPr>
                <w:sz w:val="16"/>
              </w:rPr>
              <w:t>Contract/schema</w:t>
            </w:r>
          </w:p>
        </w:tc>
        <w:tc>
          <w:tcPr>
            <w:tcW w:type="dxa" w:w="5112"/>
            <w:vAlign w:val="center"/>
          </w:tcPr>
          <w:p>
            <w:r>
              <w:rPr>
                <w:sz w:val="16"/>
              </w:rPr>
              <w:t>API/data compatibility and migration tests.</w:t>
            </w:r>
          </w:p>
        </w:tc>
      </w:tr>
      <w:tr>
        <w:tc>
          <w:tcPr>
            <w:tcW w:type="dxa" w:w="5112"/>
            <w:vAlign w:val="center"/>
          </w:tcPr>
          <w:p>
            <w:r>
              <w:rPr>
                <w:sz w:val="16"/>
              </w:rPr>
              <w:t>Security</w:t>
            </w:r>
          </w:p>
        </w:tc>
        <w:tc>
          <w:tcPr>
            <w:tcW w:type="dxa" w:w="5112"/>
            <w:vAlign w:val="center"/>
          </w:tcPr>
          <w:p>
            <w:r>
              <w:rPr>
                <w:sz w:val="16"/>
              </w:rPr>
              <w:t>Authz negative tests, injection/file cases, log/secret checks, SAST/SCA.</w:t>
            </w:r>
          </w:p>
        </w:tc>
      </w:tr>
      <w:tr>
        <w:tc>
          <w:tcPr>
            <w:tcW w:type="dxa" w:w="5112"/>
            <w:vAlign w:val="center"/>
          </w:tcPr>
          <w:p>
            <w:r>
              <w:rPr>
                <w:sz w:val="16"/>
              </w:rPr>
              <w:t>E2E</w:t>
            </w:r>
          </w:p>
        </w:tc>
        <w:tc>
          <w:tcPr>
            <w:tcW w:type="dxa" w:w="5112"/>
            <w:vAlign w:val="center"/>
          </w:tcPr>
          <w:p>
            <w:r>
              <w:rPr>
                <w:sz w:val="16"/>
              </w:rPr>
              <w:t>All critical journeys against staging-like environment.</w:t>
            </w:r>
          </w:p>
        </w:tc>
      </w:tr>
      <w:tr>
        <w:tc>
          <w:tcPr>
            <w:tcW w:type="dxa" w:w="5112"/>
            <w:vAlign w:val="center"/>
          </w:tcPr>
          <w:p>
            <w:r>
              <w:rPr>
                <w:sz w:val="16"/>
              </w:rPr>
              <w:t>Regression</w:t>
            </w:r>
          </w:p>
        </w:tc>
        <w:tc>
          <w:tcPr>
            <w:tcW w:type="dxa" w:w="5112"/>
            <w:vAlign w:val="center"/>
          </w:tcPr>
          <w:p>
            <w:r>
              <w:rPr>
                <w:sz w:val="16"/>
              </w:rPr>
              <w:t>Every defect gains a failing regression test.</w:t>
            </w:r>
          </w:p>
        </w:tc>
      </w:tr>
      <w:tr>
        <w:tc>
          <w:tcPr>
            <w:tcW w:type="dxa" w:w="5112"/>
            <w:vAlign w:val="center"/>
          </w:tcPr>
          <w:p>
            <w:r>
              <w:rPr>
                <w:sz w:val="16"/>
              </w:rPr>
              <w:t>Performance</w:t>
            </w:r>
          </w:p>
        </w:tc>
        <w:tc>
          <w:tcPr>
            <w:tcW w:type="dxa" w:w="5112"/>
            <w:vAlign w:val="center"/>
          </w:tcPr>
          <w:p>
            <w:r>
              <w:rPr>
                <w:sz w:val="16"/>
              </w:rPr>
              <w:t>Budgets for dashboards/simulations; bounded resource use.</w:t>
            </w:r>
          </w:p>
        </w:tc>
      </w:tr>
      <w:tr>
        <w:tc>
          <w:tcPr>
            <w:tcW w:type="dxa" w:w="5112"/>
            <w:vAlign w:val="center"/>
          </w:tcPr>
          <w:p>
            <w:r>
              <w:rPr>
                <w:sz w:val="16"/>
              </w:rPr>
              <w:t>Accessibility</w:t>
            </w:r>
          </w:p>
        </w:tc>
        <w:tc>
          <w:tcPr>
            <w:tcW w:type="dxa" w:w="5112"/>
            <w:vAlign w:val="center"/>
          </w:tcPr>
          <w:p>
            <w:r>
              <w:rPr>
                <w:sz w:val="16"/>
              </w:rPr>
              <w:t>Automated checks plus critical keyboard/accessibility review.</w:t>
            </w:r>
          </w:p>
        </w:tc>
      </w:tr>
      <w:tr>
        <w:tc>
          <w:tcPr>
            <w:tcW w:type="dxa" w:w="5112"/>
            <w:vAlign w:val="center"/>
          </w:tcPr>
          <w:p>
            <w:r>
              <w:rPr>
                <w:sz w:val="16"/>
              </w:rPr>
              <w:t>Backup/restore</w:t>
            </w:r>
          </w:p>
        </w:tc>
        <w:tc>
          <w:tcPr>
            <w:tcW w:type="dxa" w:w="5112"/>
            <w:vAlign w:val="center"/>
          </w:tcPr>
          <w:p>
            <w:r>
              <w:rPr>
                <w:sz w:val="16"/>
              </w:rPr>
              <w:t>Restore isolated backup and validate integrity.</w:t>
            </w:r>
          </w:p>
        </w:tc>
      </w:tr>
    </w:tbl>
    <w:p/>
    <w:p>
      <w:r>
        <w:t>Coverage percentage is not the quality target. Critical calculations, access controls and production gates require direct tests regardless of aggregate coverage.</w:t>
      </w:r>
    </w:p>
    <w:p>
      <w:pPr>
        <w:pStyle w:val="Heading1"/>
      </w:pPr>
      <w:r>
        <w:t>11. Mandatory E2E journeys</w:t>
      </w:r>
    </w:p>
    <w:p>
      <w:pPr>
        <w:pStyle w:val="ListBullet"/>
      </w:pPr>
      <w:r>
        <w:t>Create/login → create financial profile → save/reload securely.</w:t>
      </w:r>
    </w:p>
    <w:p>
      <w:pPr>
        <w:pStyle w:val="ListBullet"/>
      </w:pPr>
      <w:r>
        <w:t>Create evidence → observation → verify → assumption → approve → trace result to source.</w:t>
      </w:r>
    </w:p>
    <w:p>
      <w:pPr>
        <w:pStyle w:val="ListBullet"/>
      </w:pPr>
      <w:r>
        <w:t>Attempt production calculation with pending/stale assumption → blocked with actionable reason.</w:t>
      </w:r>
    </w:p>
    <w:p>
      <w:pPr>
        <w:pStyle w:val="ListBullet"/>
      </w:pPr>
      <w:r>
        <w:t>Build portfolio → calculate → change assumption version → reproduce/version result.</w:t>
      </w:r>
    </w:p>
    <w:p>
      <w:pPr>
        <w:pStyle w:val="ListBullet"/>
      </w:pPr>
      <w:r>
        <w:t>Run stress/backtest → export report with data/model versions and limitations.</w:t>
      </w:r>
    </w:p>
    <w:p>
      <w:pPr>
        <w:pStyle w:val="ListBullet"/>
      </w:pPr>
      <w:r>
        <w:t>Run seeded Monte Carlo twice → reproducible summary within defined tolerance.</w:t>
      </w:r>
    </w:p>
    <w:p>
      <w:pPr>
        <w:pStyle w:val="ListBullet"/>
      </w:pPr>
      <w:r>
        <w:t>Unauthorized role attempts approval/admin action → denied and audited.</w:t>
      </w:r>
    </w:p>
    <w:p>
      <w:pPr>
        <w:pStyle w:val="ListBullet"/>
      </w:pPr>
      <w:r>
        <w:t>Staging deploy → smoke → critical E2E → production approval gate.</w:t>
      </w:r>
    </w:p>
    <w:p>
      <w:pPr>
        <w:pStyle w:val="ListBullet"/>
      </w:pPr>
      <w:r>
        <w:t>Backup → isolated restore → verify key records and audit history.</w:t>
      </w:r>
    </w:p>
    <w:p>
      <w:pPr>
        <w:pStyle w:val="Heading1"/>
      </w:pPr>
      <w:r>
        <w:t>12. Phase-by-phase implementation plan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6"/>
              </w:rPr>
              <w:t>#</w:t>
            </w:r>
          </w:p>
        </w:tc>
        <w:tc>
          <w:tcPr>
            <w:tcW w:type="dxa" w:w="2045"/>
            <w:shd w:fill="D9EAF7"/>
          </w:tcPr>
          <w:p>
            <w:r>
              <w:rPr>
                <w:b/>
                <w:sz w:val="16"/>
              </w:rPr>
              <w:t>Phase</w:t>
            </w:r>
          </w:p>
        </w:tc>
        <w:tc>
          <w:tcPr>
            <w:tcW w:type="dxa" w:w="2045"/>
            <w:shd w:fill="D9EAF7"/>
          </w:tcPr>
          <w:p>
            <w:r>
              <w:rPr>
                <w:b/>
                <w:sz w:val="16"/>
              </w:rPr>
              <w:t>Reason</w:t>
            </w:r>
          </w:p>
        </w:tc>
        <w:tc>
          <w:tcPr>
            <w:tcW w:type="dxa" w:w="2045"/>
            <w:shd w:fill="D9EAF7"/>
          </w:tcPr>
          <w:p>
            <w:r>
              <w:rPr>
                <w:b/>
                <w:sz w:val="16"/>
              </w:rPr>
              <w:t>Scope</w:t>
            </w:r>
          </w:p>
        </w:tc>
        <w:tc>
          <w:tcPr>
            <w:tcW w:type="dxa" w:w="2045"/>
            <w:shd w:fill="D9EAF7"/>
          </w:tcPr>
          <w:p>
            <w:r>
              <w:rPr>
                <w:b/>
                <w:sz w:val="16"/>
              </w:rPr>
              <w:t>Exit criteria</w:t>
            </w:r>
          </w:p>
        </w:tc>
      </w:tr>
      <w:tr>
        <w:tc>
          <w:tcPr>
            <w:tcW w:type="dxa" w:w="2045"/>
            <w:vAlign w:val="center"/>
          </w:tcPr>
          <w:p>
            <w:r>
              <w:rPr>
                <w:sz w:val="16"/>
              </w:rPr>
              <w:t>0</w:t>
            </w:r>
          </w:p>
        </w:tc>
        <w:tc>
          <w:tcPr>
            <w:tcW w:type="dxa" w:w="2045"/>
            <w:vAlign w:val="center"/>
          </w:tcPr>
          <w:p>
            <w:r>
              <w:rPr>
                <w:sz w:val="16"/>
              </w:rPr>
              <w:t>Foundation &amp; guardrails</w:t>
            </w:r>
          </w:p>
        </w:tc>
        <w:tc>
          <w:tcPr>
            <w:tcW w:type="dxa" w:w="2045"/>
            <w:vAlign w:val="center"/>
          </w:tcPr>
          <w:p>
            <w:r>
              <w:rPr>
                <w:sz w:val="16"/>
              </w:rPr>
              <w:t>Establish safe engineering before features.</w:t>
            </w:r>
          </w:p>
        </w:tc>
        <w:tc>
          <w:tcPr>
            <w:tcW w:type="dxa" w:w="2045"/>
            <w:vAlign w:val="center"/>
          </w:tcPr>
          <w:p>
            <w:r>
              <w:rPr>
                <w:sz w:val="16"/>
              </w:rPr>
              <w:t>Repo/rulesets, CI, environments, base app, DB, auth skeleton, security/docs/test harness.</w:t>
            </w:r>
          </w:p>
        </w:tc>
        <w:tc>
          <w:tcPr>
            <w:tcW w:type="dxa" w:w="2045"/>
            <w:vAlign w:val="center"/>
          </w:tcPr>
          <w:p>
            <w:r>
              <w:rPr>
                <w:sz w:val="16"/>
              </w:rPr>
              <w:t>Baseline checks green; main protected; staging deploy works; no secrets.</w:t>
            </w:r>
          </w:p>
        </w:tc>
      </w:tr>
      <w:tr>
        <w:tc>
          <w:tcPr>
            <w:tcW w:type="dxa" w:w="2045"/>
            <w:vAlign w:val="center"/>
          </w:tcPr>
          <w:p>
            <w:r>
              <w:rPr>
                <w:sz w:val="16"/>
              </w:rPr>
              <w:t>1</w:t>
            </w:r>
          </w:p>
        </w:tc>
        <w:tc>
          <w:tcPr>
            <w:tcW w:type="dxa" w:w="2045"/>
            <w:vAlign w:val="center"/>
          </w:tcPr>
          <w:p>
            <w:r>
              <w:rPr>
                <w:sz w:val="16"/>
              </w:rPr>
              <w:t>Evidence &amp; provenance</w:t>
            </w:r>
          </w:p>
        </w:tc>
        <w:tc>
          <w:tcPr>
            <w:tcW w:type="dxa" w:w="2045"/>
            <w:vAlign w:val="center"/>
          </w:tcPr>
          <w:p>
            <w:r>
              <w:rPr>
                <w:sz w:val="16"/>
              </w:rPr>
              <w:t>All downstream values need traceable evidence.</w:t>
            </w:r>
          </w:p>
        </w:tc>
        <w:tc>
          <w:tcPr>
            <w:tcW w:type="dxa" w:w="2045"/>
            <w:vAlign w:val="center"/>
          </w:tcPr>
          <w:p>
            <w:r>
              <w:rPr>
                <w:sz w:val="16"/>
              </w:rPr>
              <w:t>Evidence CRUD, provenance, statuses, links/attachments, audit, freshness.</w:t>
            </w:r>
          </w:p>
        </w:tc>
        <w:tc>
          <w:tcPr>
            <w:tcW w:type="dxa" w:w="2045"/>
            <w:vAlign w:val="center"/>
          </w:tcPr>
          <w:p>
            <w:r>
              <w:rPr>
                <w:sz w:val="16"/>
              </w:rPr>
              <w:t>Versioned traceability; pending data cannot appear approved.</w:t>
            </w:r>
          </w:p>
        </w:tc>
      </w:tr>
      <w:tr>
        <w:tc>
          <w:tcPr>
            <w:tcW w:type="dxa" w:w="2045"/>
            <w:vAlign w:val="center"/>
          </w:tcPr>
          <w:p>
            <w:r>
              <w:rPr>
                <w:sz w:val="16"/>
              </w:rPr>
              <w:t>2</w:t>
            </w:r>
          </w:p>
        </w:tc>
        <w:tc>
          <w:tcPr>
            <w:tcW w:type="dxa" w:w="2045"/>
            <w:vAlign w:val="center"/>
          </w:tcPr>
          <w:p>
            <w:r>
              <w:rPr>
                <w:sz w:val="16"/>
              </w:rPr>
              <w:t>Personal finance</w:t>
            </w:r>
          </w:p>
        </w:tc>
        <w:tc>
          <w:tcPr>
            <w:tcW w:type="dxa" w:w="2045"/>
            <w:vAlign w:val="center"/>
          </w:tcPr>
          <w:p>
            <w:r>
              <w:rPr>
                <w:sz w:val="16"/>
              </w:rPr>
              <w:t>Analysis requires goals, cash flows and constraints.</w:t>
            </w:r>
          </w:p>
        </w:tc>
        <w:tc>
          <w:tcPr>
            <w:tcW w:type="dxa" w:w="2045"/>
            <w:vAlign w:val="center"/>
          </w:tcPr>
          <w:p>
            <w:r>
              <w:rPr>
                <w:sz w:val="16"/>
              </w:rPr>
              <w:t>Profile, goals, balance sheet, cash flow, reserve, inflation weights.</w:t>
            </w:r>
          </w:p>
        </w:tc>
        <w:tc>
          <w:tcPr>
            <w:tcW w:type="dxa" w:w="2045"/>
            <w:vAlign w:val="center"/>
          </w:tcPr>
          <w:p>
            <w:r>
              <w:rPr>
                <w:sz w:val="16"/>
              </w:rPr>
              <w:t>Validation, access controls and E2E pass.</w:t>
            </w:r>
          </w:p>
        </w:tc>
      </w:tr>
      <w:tr>
        <w:tc>
          <w:tcPr>
            <w:tcW w:type="dxa" w:w="2045"/>
            <w:vAlign w:val="center"/>
          </w:tcPr>
          <w:p>
            <w:r>
              <w:rPr>
                <w:sz w:val="16"/>
              </w:rPr>
              <w:t>3</w:t>
            </w:r>
          </w:p>
        </w:tc>
        <w:tc>
          <w:tcPr>
            <w:tcW w:type="dxa" w:w="2045"/>
            <w:vAlign w:val="center"/>
          </w:tcPr>
          <w:p>
            <w:r>
              <w:rPr>
                <w:sz w:val="16"/>
              </w:rPr>
              <w:t>Assumption engine</w:t>
            </w:r>
          </w:p>
        </w:tc>
        <w:tc>
          <w:tcPr>
            <w:tcW w:type="dxa" w:w="2045"/>
            <w:vAlign w:val="center"/>
          </w:tcPr>
          <w:p>
            <w:r>
              <w:rPr>
                <w:sz w:val="16"/>
              </w:rPr>
              <w:t>Heterogeneous research must be normalized/approved.</w:t>
            </w:r>
          </w:p>
        </w:tc>
        <w:tc>
          <w:tcPr>
            <w:tcW w:type="dxa" w:w="2045"/>
            <w:vAlign w:val="center"/>
          </w:tcPr>
          <w:p>
            <w:r>
              <w:rPr>
                <w:sz w:val="16"/>
              </w:rPr>
              <w:t>Scenario sets, normalization, approvals, versions, research flags.</w:t>
            </w:r>
          </w:p>
        </w:tc>
        <w:tc>
          <w:tcPr>
            <w:tcW w:type="dxa" w:w="2045"/>
            <w:vAlign w:val="center"/>
          </w:tcPr>
          <w:p>
            <w:r>
              <w:rPr>
                <w:sz w:val="16"/>
              </w:rPr>
              <w:t>Only approved inputs enter production.</w:t>
            </w:r>
          </w:p>
        </w:tc>
      </w:tr>
      <w:tr>
        <w:tc>
          <w:tcPr>
            <w:tcW w:type="dxa" w:w="2045"/>
            <w:vAlign w:val="center"/>
          </w:tcPr>
          <w:p>
            <w:r>
              <w:rPr>
                <w:sz w:val="16"/>
              </w:rPr>
              <w:t>4</w:t>
            </w:r>
          </w:p>
        </w:tc>
        <w:tc>
          <w:tcPr>
            <w:tcW w:type="dxa" w:w="2045"/>
            <w:vAlign w:val="center"/>
          </w:tcPr>
          <w:p>
            <w:r>
              <w:rPr>
                <w:sz w:val="16"/>
              </w:rPr>
              <w:t>Portfolio engine</w:t>
            </w:r>
          </w:p>
        </w:tc>
        <w:tc>
          <w:tcPr>
            <w:tcW w:type="dxa" w:w="2045"/>
            <w:vAlign w:val="center"/>
          </w:tcPr>
          <w:p>
            <w:r>
              <w:rPr>
                <w:sz w:val="16"/>
              </w:rPr>
              <w:t>Implement analytical core after governance.</w:t>
            </w:r>
          </w:p>
        </w:tc>
        <w:tc>
          <w:tcPr>
            <w:tcW w:type="dxa" w:w="2045"/>
            <w:vAlign w:val="center"/>
          </w:tcPr>
          <w:p>
            <w:r>
              <w:rPr>
                <w:sz w:val="16"/>
              </w:rPr>
              <w:t>Weights, return, covariance, fees, inflation, FX, cash flow, rebalancing.</w:t>
            </w:r>
          </w:p>
        </w:tc>
        <w:tc>
          <w:tcPr>
            <w:tcW w:type="dxa" w:w="2045"/>
            <w:vAlign w:val="center"/>
          </w:tcPr>
          <w:p>
            <w:r>
              <w:rPr>
                <w:sz w:val="16"/>
              </w:rPr>
              <w:t>Golden tests pass; invalid inputs fail safely.</w:t>
            </w:r>
          </w:p>
        </w:tc>
      </w:tr>
      <w:tr>
        <w:tc>
          <w:tcPr>
            <w:tcW w:type="dxa" w:w="2045"/>
            <w:vAlign w:val="center"/>
          </w:tcPr>
          <w:p>
            <w:r>
              <w:rPr>
                <w:sz w:val="16"/>
              </w:rPr>
              <w:t>5</w:t>
            </w:r>
          </w:p>
        </w:tc>
        <w:tc>
          <w:tcPr>
            <w:tcW w:type="dxa" w:w="2045"/>
            <w:vAlign w:val="center"/>
          </w:tcPr>
          <w:p>
            <w:r>
              <w:rPr>
                <w:sz w:val="16"/>
              </w:rPr>
              <w:t>Risk/history</w:t>
            </w:r>
          </w:p>
        </w:tc>
        <w:tc>
          <w:tcPr>
            <w:tcW w:type="dxa" w:w="2045"/>
            <w:vAlign w:val="center"/>
          </w:tcPr>
          <w:p>
            <w:r>
              <w:rPr>
                <w:sz w:val="16"/>
              </w:rPr>
              <w:t>Quantify downside and historical behavior.</w:t>
            </w:r>
          </w:p>
        </w:tc>
        <w:tc>
          <w:tcPr>
            <w:tcW w:type="dxa" w:w="2045"/>
            <w:vAlign w:val="center"/>
          </w:tcPr>
          <w:p>
            <w:r>
              <w:rPr>
                <w:sz w:val="16"/>
              </w:rPr>
              <w:t>Backtest, rolling metrics, drawdown, stress, sensitivity, concentration/liquidity.</w:t>
            </w:r>
          </w:p>
        </w:tc>
        <w:tc>
          <w:tcPr>
            <w:tcW w:type="dxa" w:w="2045"/>
            <w:vAlign w:val="center"/>
          </w:tcPr>
          <w:p>
            <w:r>
              <w:rPr>
                <w:sz w:val="16"/>
              </w:rPr>
              <w:t>Reproducible fixtures; methodology documented.</w:t>
            </w:r>
          </w:p>
        </w:tc>
      </w:tr>
      <w:tr>
        <w:tc>
          <w:tcPr>
            <w:tcW w:type="dxa" w:w="2045"/>
            <w:vAlign w:val="center"/>
          </w:tcPr>
          <w:p>
            <w:r>
              <w:rPr>
                <w:sz w:val="16"/>
              </w:rPr>
              <w:t>6</w:t>
            </w:r>
          </w:p>
        </w:tc>
        <w:tc>
          <w:tcPr>
            <w:tcW w:type="dxa" w:w="2045"/>
            <w:vAlign w:val="center"/>
          </w:tcPr>
          <w:p>
            <w:r>
              <w:rPr>
                <w:sz w:val="16"/>
              </w:rPr>
              <w:t>Monte Carlo/goals</w:t>
            </w:r>
          </w:p>
        </w:tc>
        <w:tc>
          <w:tcPr>
            <w:tcW w:type="dxa" w:w="2045"/>
            <w:vAlign w:val="center"/>
          </w:tcPr>
          <w:p>
            <w:r>
              <w:rPr>
                <w:sz w:val="16"/>
              </w:rPr>
              <w:t>Estimate conditional goal attainment after validation.</w:t>
            </w:r>
          </w:p>
        </w:tc>
        <w:tc>
          <w:tcPr>
            <w:tcW w:type="dxa" w:w="2045"/>
            <w:vAlign w:val="center"/>
          </w:tcPr>
          <w:p>
            <w:r>
              <w:rPr>
                <w:sz w:val="16"/>
              </w:rPr>
              <w:t>Simulation, seed, percentiles, success, convergence.</w:t>
            </w:r>
          </w:p>
        </w:tc>
        <w:tc>
          <w:tcPr>
            <w:tcW w:type="dxa" w:w="2045"/>
            <w:vAlign w:val="center"/>
          </w:tcPr>
          <w:p>
            <w:r>
              <w:rPr>
                <w:sz w:val="16"/>
              </w:rPr>
              <w:t>Reproducible; stability gate passes; limitations visible.</w:t>
            </w:r>
          </w:p>
        </w:tc>
      </w:tr>
      <w:tr>
        <w:tc>
          <w:tcPr>
            <w:tcW w:type="dxa" w:w="2045"/>
            <w:vAlign w:val="center"/>
          </w:tcPr>
          <w:p>
            <w:r>
              <w:rPr>
                <w:sz w:val="16"/>
              </w:rPr>
              <w:t>7</w:t>
            </w:r>
          </w:p>
        </w:tc>
        <w:tc>
          <w:tcPr>
            <w:tcW w:type="dxa" w:w="2045"/>
            <w:vAlign w:val="center"/>
          </w:tcPr>
          <w:p>
            <w:r>
              <w:rPr>
                <w:sz w:val="16"/>
              </w:rPr>
              <w:t>UAE product layer</w:t>
            </w:r>
          </w:p>
        </w:tc>
        <w:tc>
          <w:tcPr>
            <w:tcW w:type="dxa" w:w="2045"/>
            <w:vAlign w:val="center"/>
          </w:tcPr>
          <w:p>
            <w:r>
              <w:rPr>
                <w:sz w:val="16"/>
              </w:rPr>
              <w:t>Translate theory to implementable instruments.</w:t>
            </w:r>
          </w:p>
        </w:tc>
        <w:tc>
          <w:tcPr>
            <w:tcW w:type="dxa" w:w="2045"/>
            <w:vAlign w:val="center"/>
          </w:tcPr>
          <w:p>
            <w:r>
              <w:rPr>
                <w:sz w:val="16"/>
              </w:rPr>
              <w:t>Product registry, fees, domicile, availability, tax/regulatory/estate flags.</w:t>
            </w:r>
          </w:p>
        </w:tc>
        <w:tc>
          <w:tcPr>
            <w:tcW w:type="dxa" w:w="2045"/>
            <w:vAlign w:val="center"/>
          </w:tcPr>
          <w:p>
            <w:r>
              <w:rPr>
                <w:sz w:val="16"/>
              </w:rPr>
              <w:t>Unverified/stale products blocked/warned.</w:t>
            </w:r>
          </w:p>
        </w:tc>
      </w:tr>
      <w:tr>
        <w:tc>
          <w:tcPr>
            <w:tcW w:type="dxa" w:w="2045"/>
            <w:vAlign w:val="center"/>
          </w:tcPr>
          <w:p>
            <w:r>
              <w:rPr>
                <w:sz w:val="16"/>
              </w:rPr>
              <w:t>8</w:t>
            </w:r>
          </w:p>
        </w:tc>
        <w:tc>
          <w:tcPr>
            <w:tcW w:type="dxa" w:w="2045"/>
            <w:vAlign w:val="center"/>
          </w:tcPr>
          <w:p>
            <w:r>
              <w:rPr>
                <w:sz w:val="16"/>
              </w:rPr>
              <w:t>Reporting</w:t>
            </w:r>
          </w:p>
        </w:tc>
        <w:tc>
          <w:tcPr>
            <w:tcW w:type="dxa" w:w="2045"/>
            <w:vAlign w:val="center"/>
          </w:tcPr>
          <w:p>
            <w:r>
              <w:rPr>
                <w:sz w:val="16"/>
              </w:rPr>
              <w:t>Make results understandable to non-technical owner.</w:t>
            </w:r>
          </w:p>
        </w:tc>
        <w:tc>
          <w:tcPr>
            <w:tcW w:type="dxa" w:w="2045"/>
            <w:vAlign w:val="center"/>
          </w:tcPr>
          <w:p>
            <w:r>
              <w:rPr>
                <w:sz w:val="16"/>
              </w:rPr>
              <w:t>Dashboard, traceability, exports, glossary, explanations.</w:t>
            </w:r>
          </w:p>
        </w:tc>
        <w:tc>
          <w:tcPr>
            <w:tcW w:type="dxa" w:w="2045"/>
            <w:vAlign w:val="center"/>
          </w:tcPr>
          <w:p>
            <w:r>
              <w:rPr>
                <w:sz w:val="16"/>
              </w:rPr>
              <w:t>Key numbers have drill-down and data-as-of.</w:t>
            </w:r>
          </w:p>
        </w:tc>
      </w:tr>
      <w:tr>
        <w:tc>
          <w:tcPr>
            <w:tcW w:type="dxa" w:w="2045"/>
            <w:vAlign w:val="center"/>
          </w:tcPr>
          <w:p>
            <w:r>
              <w:rPr>
                <w:sz w:val="16"/>
              </w:rPr>
              <w:t>9</w:t>
            </w:r>
          </w:p>
        </w:tc>
        <w:tc>
          <w:tcPr>
            <w:tcW w:type="dxa" w:w="2045"/>
            <w:vAlign w:val="center"/>
          </w:tcPr>
          <w:p>
            <w:r>
              <w:rPr>
                <w:sz w:val="16"/>
              </w:rPr>
              <w:t>Hardening/release</w:t>
            </w:r>
          </w:p>
        </w:tc>
        <w:tc>
          <w:tcPr>
            <w:tcW w:type="dxa" w:w="2045"/>
            <w:vAlign w:val="center"/>
          </w:tcPr>
          <w:p>
            <w:r>
              <w:rPr>
                <w:sz w:val="16"/>
              </w:rPr>
              <w:t>Prove system is secure, operable and recoverable.</w:t>
            </w:r>
          </w:p>
        </w:tc>
        <w:tc>
          <w:tcPr>
            <w:tcW w:type="dxa" w:w="2045"/>
            <w:vAlign w:val="center"/>
          </w:tcPr>
          <w:p>
            <w:r>
              <w:rPr>
                <w:sz w:val="16"/>
              </w:rPr>
              <w:t>Threat review, DAST, performance, accessibility, restore drill, E2E/UAT.</w:t>
            </w:r>
          </w:p>
        </w:tc>
        <w:tc>
          <w:tcPr>
            <w:tcW w:type="dxa" w:w="2045"/>
            <w:vAlign w:val="center"/>
          </w:tcPr>
          <w:p>
            <w:r>
              <w:rPr>
                <w:sz w:val="16"/>
              </w:rPr>
              <w:t>No blockers; restore tested; staging green; approval recorded.</w:t>
            </w:r>
          </w:p>
        </w:tc>
      </w:tr>
    </w:tbl>
    <w:p/>
    <w:p>
      <w:pPr>
        <w:pStyle w:val="Heading1"/>
      </w:pPr>
      <w:r>
        <w:t>13. CI/CD quality gate</w:t>
      </w:r>
    </w:p>
    <w:p>
      <w:r>
        <w:t>PR pipeline: dependency/lock verification → lint/format → type check → unit/property tests → integration/migration tests → build → SAST → dependency/SCA → secret scan → selected E2E. Merge to main deploys to staging and runs smoke/full critical E2E plus release checks. Production is a separate protected deployment with explicit approval and rollback readiness.</w:t>
      </w:r>
    </w:p>
    <w:p>
      <w:pPr>
        <w:pStyle w:val="Heading1"/>
      </w:pPr>
      <w:r>
        <w:t>14. Non-functional requirements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Category</w:t>
            </w:r>
          </w:p>
        </w:tc>
        <w:tc>
          <w:tcPr>
            <w:tcW w:type="dxa" w:w="5112"/>
            <w:shd w:fill="D9EAF7"/>
          </w:tcPr>
          <w:p>
            <w:r>
              <w:rPr>
                <w:b/>
                <w:sz w:val="16"/>
              </w:rPr>
              <w:t>Requirement</w:t>
            </w:r>
          </w:p>
        </w:tc>
      </w:tr>
      <w:tr>
        <w:tc>
          <w:tcPr>
            <w:tcW w:type="dxa" w:w="5112"/>
            <w:vAlign w:val="center"/>
          </w:tcPr>
          <w:p>
            <w:r>
              <w:rPr>
                <w:sz w:val="16"/>
              </w:rPr>
              <w:t>Reliability</w:t>
            </w:r>
          </w:p>
        </w:tc>
        <w:tc>
          <w:tcPr>
            <w:tcW w:type="dxa" w:w="5112"/>
            <w:vAlign w:val="center"/>
          </w:tcPr>
          <w:p>
            <w:r>
              <w:rPr>
                <w:sz w:val="16"/>
              </w:rPr>
              <w:t>No silent calculation failure; retry-safe refresh operations where applicable.</w:t>
            </w:r>
          </w:p>
        </w:tc>
      </w:tr>
      <w:tr>
        <w:tc>
          <w:tcPr>
            <w:tcW w:type="dxa" w:w="5112"/>
            <w:vAlign w:val="center"/>
          </w:tcPr>
          <w:p>
            <w:r>
              <w:rPr>
                <w:sz w:val="16"/>
              </w:rPr>
              <w:t>Performance</w:t>
            </w:r>
          </w:p>
        </w:tc>
        <w:tc>
          <w:tcPr>
            <w:tcW w:type="dxa" w:w="5112"/>
            <w:vAlign w:val="center"/>
          </w:tcPr>
          <w:p>
            <w:r>
              <w:rPr>
                <w:sz w:val="16"/>
              </w:rPr>
              <w:t>Responsive interactive views; long simulations show status and use bounded resources.</w:t>
            </w:r>
          </w:p>
        </w:tc>
      </w:tr>
      <w:tr>
        <w:tc>
          <w:tcPr>
            <w:tcW w:type="dxa" w:w="5112"/>
            <w:vAlign w:val="center"/>
          </w:tcPr>
          <w:p>
            <w:r>
              <w:rPr>
                <w:sz w:val="16"/>
              </w:rPr>
              <w:t>Maintainability</w:t>
            </w:r>
          </w:p>
        </w:tc>
        <w:tc>
          <w:tcPr>
            <w:tcW w:type="dxa" w:w="5112"/>
            <w:vAlign w:val="center"/>
          </w:tcPr>
          <w:p>
            <w:r>
              <w:rPr>
                <w:sz w:val="16"/>
              </w:rPr>
              <w:t>Typed interfaces, modular boundaries, ADRs; no duplicated financial formulas.</w:t>
            </w:r>
          </w:p>
        </w:tc>
      </w:tr>
      <w:tr>
        <w:tc>
          <w:tcPr>
            <w:tcW w:type="dxa" w:w="5112"/>
            <w:vAlign w:val="center"/>
          </w:tcPr>
          <w:p>
            <w:r>
              <w:rPr>
                <w:sz w:val="16"/>
              </w:rPr>
              <w:t>Accessibility</w:t>
            </w:r>
          </w:p>
        </w:tc>
        <w:tc>
          <w:tcPr>
            <w:tcW w:type="dxa" w:w="5112"/>
            <w:vAlign w:val="center"/>
          </w:tcPr>
          <w:p>
            <w:r>
              <w:rPr>
                <w:sz w:val="16"/>
              </w:rPr>
              <w:t>WCAG-aligned forms/tables/keyboard navigation and readable visualizations.</w:t>
            </w:r>
          </w:p>
        </w:tc>
      </w:tr>
      <w:tr>
        <w:tc>
          <w:tcPr>
            <w:tcW w:type="dxa" w:w="5112"/>
            <w:vAlign w:val="center"/>
          </w:tcPr>
          <w:p>
            <w:r>
              <w:rPr>
                <w:sz w:val="16"/>
              </w:rPr>
              <w:t>Observability</w:t>
            </w:r>
          </w:p>
        </w:tc>
        <w:tc>
          <w:tcPr>
            <w:tcW w:type="dxa" w:w="5112"/>
            <w:vAlign w:val="center"/>
          </w:tcPr>
          <w:p>
            <w:r>
              <w:rPr>
                <w:sz w:val="16"/>
              </w:rPr>
              <w:t>Structured logs, error tracking, health checks and key failure metrics.</w:t>
            </w:r>
          </w:p>
        </w:tc>
      </w:tr>
      <w:tr>
        <w:tc>
          <w:tcPr>
            <w:tcW w:type="dxa" w:w="5112"/>
            <w:vAlign w:val="center"/>
          </w:tcPr>
          <w:p>
            <w:r>
              <w:rPr>
                <w:sz w:val="16"/>
              </w:rPr>
              <w:t>Portability</w:t>
            </w:r>
          </w:p>
        </w:tc>
        <w:tc>
          <w:tcPr>
            <w:tcW w:type="dxa" w:w="5112"/>
            <w:vAlign w:val="center"/>
          </w:tcPr>
          <w:p>
            <w:r>
              <w:rPr>
                <w:sz w:val="16"/>
              </w:rPr>
              <w:t>Externalized config, reproducible infrastructure, data export.</w:t>
            </w:r>
          </w:p>
        </w:tc>
      </w:tr>
      <w:tr>
        <w:tc>
          <w:tcPr>
            <w:tcW w:type="dxa" w:w="5112"/>
            <w:vAlign w:val="center"/>
          </w:tcPr>
          <w:p>
            <w:r>
              <w:rPr>
                <w:sz w:val="16"/>
              </w:rPr>
              <w:t>Auditability</w:t>
            </w:r>
          </w:p>
        </w:tc>
        <w:tc>
          <w:tcPr>
            <w:tcW w:type="dxa" w:w="5112"/>
            <w:vAlign w:val="center"/>
          </w:tcPr>
          <w:p>
            <w:r>
              <w:rPr>
                <w:sz w:val="16"/>
              </w:rPr>
              <w:t>Version material assumptions/model outputs and retain validation evidence.</w:t>
            </w:r>
          </w:p>
        </w:tc>
      </w:tr>
    </w:tbl>
    <w:p/>
    <w:p>
      <w:pPr>
        <w:pStyle w:val="Heading1"/>
      </w:pPr>
      <w:r>
        <w:t>15. Coding standards for the agent</w:t>
      </w:r>
    </w:p>
    <w:p>
      <w:pPr>
        <w:pStyle w:val="ListBullet"/>
      </w:pPr>
      <w:r>
        <w:t>Keep financial formulas in a tested domain/service layer, not only UI code.</w:t>
      </w:r>
    </w:p>
    <w:p>
      <w:pPr>
        <w:pStyle w:val="ListBullet"/>
      </w:pPr>
      <w:r>
        <w:t>Use decimal/fixed precision for money where appropriate; document statistical floating-point use.</w:t>
      </w:r>
    </w:p>
    <w:p>
      <w:pPr>
        <w:pStyle w:val="ListBullet"/>
      </w:pPr>
      <w:r>
        <w:t>Use UTC system timestamps and explicit source/business time zones.</w:t>
      </w:r>
    </w:p>
    <w:p>
      <w:pPr>
        <w:pStyle w:val="ListBullet"/>
      </w:pPr>
      <w:r>
        <w:t>Never default missing financial values to zero.</w:t>
      </w:r>
    </w:p>
    <w:p>
      <w:pPr>
        <w:pStyle w:val="ListBullet"/>
      </w:pPr>
      <w:r>
        <w:t>Validate API/domain boundaries and return actionable errors.</w:t>
      </w:r>
    </w:p>
    <w:p>
      <w:pPr>
        <w:pStyle w:val="ListBullet"/>
      </w:pPr>
      <w:r>
        <w:t>Prefer small functions and domain-specific names; avoid premature abstraction.</w:t>
      </w:r>
    </w:p>
    <w:p>
      <w:pPr>
        <w:pStyle w:val="ListBullet"/>
      </w:pPr>
      <w:r>
        <w:t>Every schema/model change includes migration, tests and documentation.</w:t>
      </w:r>
    </w:p>
    <w:p>
      <w:pPr>
        <w:pStyle w:val="ListBullet"/>
      </w:pPr>
      <w:r>
        <w:t>Every feature includes unit/integration and relevant E2E coverage.</w:t>
      </w:r>
    </w:p>
    <w:p>
      <w:pPr>
        <w:pStyle w:val="ListBullet"/>
      </w:pPr>
      <w:r>
        <w:t>Never weaken security checks merely to make CI pass.</w:t>
      </w:r>
    </w:p>
    <w:p>
      <w:pPr>
        <w:pStyle w:val="ListBullet"/>
      </w:pPr>
      <w:r>
        <w:t>Never invent investment data; fixtures are synthetic or sourced/approved.</w:t>
      </w:r>
    </w:p>
    <w:p>
      <w:pPr>
        <w:pStyle w:val="Heading1"/>
      </w:pPr>
      <w:r>
        <w:t>16. Documentation deliverables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Document</w:t>
            </w:r>
          </w:p>
        </w:tc>
        <w:tc>
          <w:tcPr>
            <w:tcW w:type="dxa" w:w="5112"/>
            <w:shd w:fill="D9EAF7"/>
          </w:tcPr>
          <w:p>
            <w:r>
              <w:rPr>
                <w:b/>
                <w:sz w:val="16"/>
              </w:rPr>
              <w:t>Update trigger</w:t>
            </w:r>
          </w:p>
        </w:tc>
      </w:tr>
      <w:tr>
        <w:tc>
          <w:tcPr>
            <w:tcW w:type="dxa" w:w="5112"/>
            <w:vAlign w:val="center"/>
          </w:tcPr>
          <w:p>
            <w:r>
              <w:rPr>
                <w:sz w:val="16"/>
              </w:rPr>
              <w:t>README.md</w:t>
            </w:r>
          </w:p>
        </w:tc>
        <w:tc>
          <w:tcPr>
            <w:tcW w:type="dxa" w:w="5112"/>
            <w:vAlign w:val="center"/>
          </w:tcPr>
          <w:p>
            <w:r>
              <w:rPr>
                <w:sz w:val="16"/>
              </w:rPr>
              <w:t>Meaningful product/setup change</w:t>
            </w:r>
          </w:p>
        </w:tc>
      </w:tr>
      <w:tr>
        <w:tc>
          <w:tcPr>
            <w:tcW w:type="dxa" w:w="5112"/>
            <w:vAlign w:val="center"/>
          </w:tcPr>
          <w:p>
            <w:r>
              <w:rPr>
                <w:sz w:val="16"/>
              </w:rPr>
              <w:t>SETUP.md</w:t>
            </w:r>
          </w:p>
        </w:tc>
        <w:tc>
          <w:tcPr>
            <w:tcW w:type="dxa" w:w="5112"/>
            <w:vAlign w:val="center"/>
          </w:tcPr>
          <w:p>
            <w:r>
              <w:rPr>
                <w:sz w:val="16"/>
              </w:rPr>
              <w:t>Tooling/dependency change</w:t>
            </w:r>
          </w:p>
        </w:tc>
      </w:tr>
      <w:tr>
        <w:tc>
          <w:tcPr>
            <w:tcW w:type="dxa" w:w="5112"/>
            <w:vAlign w:val="center"/>
          </w:tcPr>
          <w:p>
            <w:r>
              <w:rPr>
                <w:sz w:val="16"/>
              </w:rPr>
              <w:t>ARCHITECTURE.md + ADRs</w:t>
            </w:r>
          </w:p>
        </w:tc>
        <w:tc>
          <w:tcPr>
            <w:tcW w:type="dxa" w:w="5112"/>
            <w:vAlign w:val="center"/>
          </w:tcPr>
          <w:p>
            <w:r>
              <w:rPr>
                <w:sz w:val="16"/>
              </w:rPr>
              <w:t>Architecture decision</w:t>
            </w:r>
          </w:p>
        </w:tc>
      </w:tr>
      <w:tr>
        <w:tc>
          <w:tcPr>
            <w:tcW w:type="dxa" w:w="5112"/>
            <w:vAlign w:val="center"/>
          </w:tcPr>
          <w:p>
            <w:r>
              <w:rPr>
                <w:sz w:val="16"/>
              </w:rPr>
              <w:t>SECURITY.md + THREAT_MODEL.md</w:t>
            </w:r>
          </w:p>
        </w:tc>
        <w:tc>
          <w:tcPr>
            <w:tcW w:type="dxa" w:w="5112"/>
            <w:vAlign w:val="center"/>
          </w:tcPr>
          <w:p>
            <w:r>
              <w:rPr>
                <w:sz w:val="16"/>
              </w:rPr>
              <w:t>Security/control change</w:t>
            </w:r>
          </w:p>
        </w:tc>
      </w:tr>
      <w:tr>
        <w:tc>
          <w:tcPr>
            <w:tcW w:type="dxa" w:w="5112"/>
            <w:vAlign w:val="center"/>
          </w:tcPr>
          <w:p>
            <w:r>
              <w:rPr>
                <w:sz w:val="16"/>
              </w:rPr>
              <w:t>DATA_DICTIONARY.md</w:t>
            </w:r>
          </w:p>
        </w:tc>
        <w:tc>
          <w:tcPr>
            <w:tcW w:type="dxa" w:w="5112"/>
            <w:vAlign w:val="center"/>
          </w:tcPr>
          <w:p>
            <w:r>
              <w:rPr>
                <w:sz w:val="16"/>
              </w:rPr>
              <w:t>Schema/financial field change</w:t>
            </w:r>
          </w:p>
        </w:tc>
      </w:tr>
      <w:tr>
        <w:tc>
          <w:tcPr>
            <w:tcW w:type="dxa" w:w="5112"/>
            <w:vAlign w:val="center"/>
          </w:tcPr>
          <w:p>
            <w:r>
              <w:rPr>
                <w:sz w:val="16"/>
              </w:rPr>
              <w:t>MODEL_METHODOLOGY.md</w:t>
            </w:r>
          </w:p>
        </w:tc>
        <w:tc>
          <w:tcPr>
            <w:tcW w:type="dxa" w:w="5112"/>
            <w:vAlign w:val="center"/>
          </w:tcPr>
          <w:p>
            <w:r>
              <w:rPr>
                <w:sz w:val="16"/>
              </w:rPr>
              <w:t>Formula/assumption/backtest/simulation change</w:t>
            </w:r>
          </w:p>
        </w:tc>
      </w:tr>
      <w:tr>
        <w:tc>
          <w:tcPr>
            <w:tcW w:type="dxa" w:w="5112"/>
            <w:vAlign w:val="center"/>
          </w:tcPr>
          <w:p>
            <w:r>
              <w:rPr>
                <w:sz w:val="16"/>
              </w:rPr>
              <w:t>EVIDENCE_POLICY.md</w:t>
            </w:r>
          </w:p>
        </w:tc>
        <w:tc>
          <w:tcPr>
            <w:tcW w:type="dxa" w:w="5112"/>
            <w:vAlign w:val="center"/>
          </w:tcPr>
          <w:p>
            <w:r>
              <w:rPr>
                <w:sz w:val="16"/>
              </w:rPr>
              <w:t>Source/verification/freshness rule change</w:t>
            </w:r>
          </w:p>
        </w:tc>
      </w:tr>
      <w:tr>
        <w:tc>
          <w:tcPr>
            <w:tcW w:type="dxa" w:w="5112"/>
            <w:vAlign w:val="center"/>
          </w:tcPr>
          <w:p>
            <w:r>
              <w:rPr>
                <w:sz w:val="16"/>
              </w:rPr>
              <w:t>TESTING.md</w:t>
            </w:r>
          </w:p>
        </w:tc>
        <w:tc>
          <w:tcPr>
            <w:tcW w:type="dxa" w:w="5112"/>
            <w:vAlign w:val="center"/>
          </w:tcPr>
          <w:p>
            <w:r>
              <w:rPr>
                <w:sz w:val="16"/>
              </w:rPr>
              <w:t>Test/gate change</w:t>
            </w:r>
          </w:p>
        </w:tc>
      </w:tr>
      <w:tr>
        <w:tc>
          <w:tcPr>
            <w:tcW w:type="dxa" w:w="5112"/>
            <w:vAlign w:val="center"/>
          </w:tcPr>
          <w:p>
            <w:r>
              <w:rPr>
                <w:sz w:val="16"/>
              </w:rPr>
              <w:t>DEPLOYMENT.md</w:t>
            </w:r>
          </w:p>
        </w:tc>
        <w:tc>
          <w:tcPr>
            <w:tcW w:type="dxa" w:w="5112"/>
            <w:vAlign w:val="center"/>
          </w:tcPr>
          <w:p>
            <w:r>
              <w:rPr>
                <w:sz w:val="16"/>
              </w:rPr>
              <w:t>CI/CD/environment change</w:t>
            </w:r>
          </w:p>
        </w:tc>
      </w:tr>
      <w:tr>
        <w:tc>
          <w:tcPr>
            <w:tcW w:type="dxa" w:w="5112"/>
            <w:vAlign w:val="center"/>
          </w:tcPr>
          <w:p>
            <w:r>
              <w:rPr>
                <w:sz w:val="16"/>
              </w:rPr>
              <w:t>RUNBOOK.md</w:t>
            </w:r>
          </w:p>
        </w:tc>
        <w:tc>
          <w:tcPr>
            <w:tcW w:type="dxa" w:w="5112"/>
            <w:vAlign w:val="center"/>
          </w:tcPr>
          <w:p>
            <w:r>
              <w:rPr>
                <w:sz w:val="16"/>
              </w:rPr>
              <w:t>Operational/incident/backup change</w:t>
            </w:r>
          </w:p>
        </w:tc>
      </w:tr>
      <w:tr>
        <w:tc>
          <w:tcPr>
            <w:tcW w:type="dxa" w:w="5112"/>
            <w:vAlign w:val="center"/>
          </w:tcPr>
          <w:p>
            <w:r>
              <w:rPr>
                <w:sz w:val="16"/>
              </w:rPr>
              <w:t>CHANGELOG.md</w:t>
            </w:r>
          </w:p>
        </w:tc>
        <w:tc>
          <w:tcPr>
            <w:tcW w:type="dxa" w:w="5112"/>
            <w:vAlign w:val="center"/>
          </w:tcPr>
          <w:p>
            <w:r>
              <w:rPr>
                <w:sz w:val="16"/>
              </w:rPr>
              <w:t>Every release</w:t>
            </w:r>
          </w:p>
        </w:tc>
      </w:tr>
      <w:tr>
        <w:tc>
          <w:tcPr>
            <w:tcW w:type="dxa" w:w="5112"/>
            <w:vAlign w:val="center"/>
          </w:tcPr>
          <w:p>
            <w:r>
              <w:rPr>
                <w:sz w:val="16"/>
              </w:rPr>
              <w:t>USER_GUIDE.md</w:t>
            </w:r>
          </w:p>
        </w:tc>
        <w:tc>
          <w:tcPr>
            <w:tcW w:type="dxa" w:w="5112"/>
            <w:vAlign w:val="center"/>
          </w:tcPr>
          <w:p>
            <w:r>
              <w:rPr>
                <w:sz w:val="16"/>
              </w:rPr>
              <w:t>User-facing workflow change</w:t>
            </w:r>
          </w:p>
        </w:tc>
      </w:tr>
    </w:tbl>
    <w:p/>
    <w:p>
      <w:pPr>
        <w:pStyle w:val="Heading1"/>
      </w:pPr>
      <w:r>
        <w:t>17. Release checklist</w:t>
      </w:r>
    </w:p>
    <w:p>
      <w:pPr>
        <w:pStyle w:val="ListBullet"/>
      </w:pPr>
      <w:r>
        <w:t>Phase acceptance criteria linked to tests.</w:t>
      </w:r>
    </w:p>
    <w:p>
      <w:pPr>
        <w:pStyle w:val="ListBullet"/>
      </w:pPr>
      <w:r>
        <w:t>Protected PR merge; bypass only under documented emergency process.</w:t>
      </w:r>
    </w:p>
    <w:p>
      <w:pPr>
        <w:pStyle w:val="ListBullet"/>
      </w:pPr>
      <w:r>
        <w:t>Unit/integration/security/required E2E green.</w:t>
      </w:r>
    </w:p>
    <w:p>
      <w:pPr>
        <w:pStyle w:val="ListBullet"/>
      </w:pPr>
      <w:r>
        <w:t>No unresolved release-blocking security finding.</w:t>
      </w:r>
    </w:p>
    <w:p>
      <w:pPr>
        <w:pStyle w:val="ListBullet"/>
      </w:pPr>
      <w:r>
        <w:t>Staging deployed and verified.</w:t>
      </w:r>
    </w:p>
    <w:p>
      <w:pPr>
        <w:pStyle w:val="ListBullet"/>
      </w:pPr>
      <w:r>
        <w:t>Migration and rollback/backup plan reviewed.</w:t>
      </w:r>
    </w:p>
    <w:p>
      <w:pPr>
        <w:pStyle w:val="ListBullet"/>
      </w:pPr>
      <w:r>
        <w:t>Documentation/changelog updated.</w:t>
      </w:r>
    </w:p>
    <w:p>
      <w:pPr>
        <w:pStyle w:val="ListBullet"/>
      </w:pPr>
      <w:r>
        <w:t>Model/data versions and data_as_of visible.</w:t>
      </w:r>
    </w:p>
    <w:p>
      <w:pPr>
        <w:pStyle w:val="ListBullet"/>
      </w:pPr>
      <w:r>
        <w:t>Research gates satisfied before illustrative features become production.</w:t>
      </w:r>
    </w:p>
    <w:p>
      <w:pPr>
        <w:pStyle w:val="ListBullet"/>
      </w:pPr>
      <w:r>
        <w:t>Production approval recorded; post-deploy smoke passes.</w:t>
      </w:r>
    </w:p>
    <w:p>
      <w:pPr>
        <w:pStyle w:val="Heading1"/>
      </w:pPr>
      <w:r>
        <w:t>18. Explicit non-goals and safety constraints</w:t>
      </w:r>
    </w:p>
    <w:p>
      <w:pPr>
        <w:pStyle w:val="ListBullet"/>
      </w:pPr>
      <w:r>
        <w:t>No trade execution or money movement in initial product.</w:t>
      </w:r>
    </w:p>
    <w:p>
      <w:pPr>
        <w:pStyle w:val="ListBullet"/>
      </w:pPr>
      <w:r>
        <w:t>No guaranteed returns or generic probability-of-success claims.</w:t>
      </w:r>
    </w:p>
    <w:p>
      <w:pPr>
        <w:pStyle w:val="ListBullet"/>
      </w:pPr>
      <w:r>
        <w:t>No guessed assumptions to fill missing research.</w:t>
      </w:r>
    </w:p>
    <w:p>
      <w:pPr>
        <w:pStyle w:val="ListBullet"/>
      </w:pPr>
      <w:r>
        <w:t>No unresolved legal/tax/regulatory uncertainty presented as settled fact.</w:t>
      </w:r>
    </w:p>
    <w:p>
      <w:pPr>
        <w:pStyle w:val="ListBullet"/>
      </w:pPr>
      <w:r>
        <w:t>No AI narrative may overwrite verified structured evidence.</w:t>
      </w:r>
    </w:p>
    <w:p>
      <w:pPr>
        <w:pStyle w:val="ListBullet"/>
      </w:pPr>
      <w:r>
        <w:t>No coding agent or application may bypass branch, test or production-approval controls for convenience.</w:t>
      </w:r>
    </w:p>
    <w:p>
      <w:pPr>
        <w:pStyle w:val="Heading1"/>
      </w:pPr>
      <w:r>
        <w:t>19. Definition of done</w:t>
      </w:r>
    </w:p>
    <w:p>
      <w:r>
        <w:t>A feature is done only when code, automated tests, security checks, migrations (if any), documentation, audit behavior and staging verification are complete. A phase is done only when its exit criteria pass. The overall product is not investment-production-ready until both software-release criteria and the separate research/evidence gates are satisfied.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