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 xml:space="preserve">Mixed formatting: </w:t>
      </w:r>
      <w:r>
        <w:rPr>
          <w:rFonts w:ascii="Calibri" w:hAnsi="Calibri" w:cs="Calibri" w:eastAsia="Calibri"/>
          <w:b/>
          <w:i w:val="0"/>
          <w:sz w:val="22"/>
        </w:rPr>
        <w:t>bold words</w:t>
      </w:r>
      <w:r>
        <w:rPr>
          <w:rFonts w:ascii="Calibri" w:hAnsi="Calibri" w:cs="Calibri" w:eastAsia="Calibri"/>
          <w:b w:val="0"/>
          <w:i w:val="0"/>
          <w:sz w:val="22"/>
        </w:rPr>
        <w:t xml:space="preserve"> sit next to </w:t>
      </w:r>
      <w:r>
        <w:rPr>
          <w:rFonts w:ascii="Cambria" w:hAnsi="Cambria" w:cs="Cambria" w:eastAsia="Cambria"/>
          <w:b w:val="0"/>
          <w:i/>
          <w:sz w:val="28"/>
        </w:rPr>
        <w:t>italic Cambria at fourteen points</w:t>
      </w:r>
      <w:r>
        <w:rPr>
          <w:rFonts w:ascii="Calibri" w:hAnsi="Calibri" w:cs="Calibri" w:eastAsia="Calibri"/>
          <w:b w:val="0"/>
          <w:i w:val="0"/>
          <w:sz w:val="22"/>
        </w:rPr>
        <w:t xml:space="preserve"> and a run of </w:t>
      </w:r>
      <w:r>
        <w:rPr>
          <w:rFonts w:ascii="Courier New" w:hAnsi="Courier New" w:cs="Courier New" w:eastAsia="Courier New"/>
          <w:b w:val="0"/>
          <w:i w:val="0"/>
          <w:sz w:val="22"/>
        </w:rPr>
        <w:t>Courier New code</w:t>
      </w:r>
      <w:r>
        <w:rPr>
          <w:rFonts w:ascii="Calibri" w:hAnsi="Calibri" w:cs="Calibri" w:eastAsia="Calibri"/>
          <w:b w:val="0"/>
          <w:i w:val="0"/>
          <w:sz w:val="22"/>
        </w:rPr>
        <w:t>. Fidelity is measured, not claimed: every fixture in the corpus is opened, laid out and compared with a reference rendering, and a regression in the number of lines of any paragraph fails the build before it reaches anyone who depends on their documents looking the way they wrote them.</w:t>
      </w:r>
    </w:p>
    <w:sectPr w:rsidR="00FC693F" w:rsidRPr="0006063C" w:rsidSect="00034616">
      <w:pgSz w:w="12240" w:h="15840"/>
      <w:pgMar w:top="1440" w:right="2720" w:bottom="1440" w:left="2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