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24"/>
          <w:szCs w:val="24"/>
        </w:rPr>
      </w:pPr>
      <w:r w:rsidDel="00000000" w:rsidR="00000000" w:rsidRPr="00000000">
        <w:rPr>
          <w:b w:val="1"/>
          <w:color w:val="222222"/>
          <w:sz w:val="24"/>
          <w:szCs w:val="24"/>
          <w:rtl w:val="0"/>
        </w:rPr>
        <w:t xml:space="preserve">За VMware</w:t>
      </w:r>
    </w:p>
    <w:p w:rsidR="00000000" w:rsidDel="00000000" w:rsidP="00000000" w:rsidRDefault="00000000" w:rsidRPr="00000000" w14:paraId="00000002">
      <w:pPr>
        <w:shd w:fill="ffffff" w:val="clear"/>
        <w:rPr>
          <w:color w:val="222222"/>
          <w:sz w:val="24"/>
          <w:szCs w:val="24"/>
        </w:rPr>
      </w:pPr>
      <w:r w:rsidDel="00000000" w:rsidR="00000000" w:rsidRPr="00000000">
        <w:rPr>
          <w:color w:val="222222"/>
          <w:sz w:val="24"/>
          <w:szCs w:val="24"/>
          <w:rtl w:val="0"/>
        </w:rPr>
        <w:t xml:space="preserve">VMware, глобален лидер в сферата на облачните инфраструктури и решения за бизнес мобилност, ускорява дигиталната трансформация на своите клиенти, като им помага да реализират повече възможности за своя бизнес чрез нови технологии. Решенията на VMware позволяват модернизиране на центрове за данни, интегриране на публични облаци, променяне на начина, по който работим чрез дигитализиране на работната среда при гарантирано високи нива на сигурност. Базирана в Пало Алто, Калифорния, VMware генерира приходи от 7,92 милиарда долара през 2018 г., и има 500 000 клиенти и 75 000 партньори в цял свят. От 2016 година VMware е част от семейството на Dell Technologies.</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