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c9a84c"/>
          <w:sz w:val="18"/>
          <w:szCs w:val="18"/>
        </w:rPr>
        <w:t xml:space="preserve">POLICY DATA NOTE</w:t>
      </w:r>
    </w:p>
    <w:p>
      <w:pPr>
        <w:spacing w:after="60"/>
        <w:jc w:val="center"/>
      </w:pPr>
      <w:r>
        <w:rPr>
          <w:rFonts w:ascii="Arial" w:cs="Arial" w:eastAsia="Arial" w:hAnsi="Arial"/>
          <w:b/>
          <w:bCs/>
          <w:color w:val="0e2a1a"/>
          <w:sz w:val="40"/>
          <w:szCs w:val="40"/>
        </w:rPr>
        <w:t xml:space="preserve">Pakistan GDP — Q3 FY 2025-26</w:t>
      </w:r>
    </w:p>
    <w:p>
      <w:pPr>
        <w:spacing w:after="40"/>
        <w:jc w:val="center"/>
      </w:pPr>
      <w:r>
        <w:rPr>
          <w:rFonts w:ascii="Arial" w:cs="Arial" w:eastAsia="Arial" w:hAnsi="Arial"/>
          <w:i/>
          <w:iCs/>
          <w:color w:val="4a6355"/>
          <w:sz w:val="20"/>
          <w:szCs w:val="20"/>
        </w:rPr>
        <w:t xml:space="preserve">Sector &amp; Sub-sector Growth Data from the 117th National Accounts Committee Meeting</w:t>
      </w:r>
    </w:p>
    <w:p>
      <w:pPr>
        <w:spacing w:after="200"/>
        <w:jc w:val="center"/>
      </w:pPr>
      <w:r>
        <w:rPr>
          <w:rFonts w:ascii="Arial" w:cs="Arial" w:eastAsia="Arial" w:hAnsi="Arial"/>
          <w:color w:val="4a6355"/>
          <w:sz w:val="18"/>
          <w:szCs w:val="18"/>
        </w:rPr>
        <w:t xml:space="preserve">May 14, 2026  ·  Ministry of Planning &amp; Development,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a84c" w:sz="1"/>
              <w:left w:val="single" w:color="c9a84c" w:sz="1"/>
              <w:bottom w:val="single" w:color="c9a84c" w:sz="1"/>
              <w:right w:val="single" w:color="c9a84c" w:sz="1"/>
            </w:tcBorders>
            <w:shd w:fill="0e2a1a" w:val="clear"/>
            <w:tcMar>
              <w:top w:type="dxa" w:w="120"/>
              <w:left w:type="dxa" w:w="140"/>
              <w:bottom w:type="dxa" w:w="120"/>
              <w:right w:type="dxa" w:w="140"/>
            </w:tcMar>
            <w:vAlign w:val="center"/>
          </w:tcPr>
          <w:p>
            <w:pPr>
              <w:spacing w:after="40"/>
              <w:jc w:val="center"/>
            </w:pPr>
            <w:r>
              <w:rPr>
                <w:rFonts w:ascii="Arial" w:cs="Arial" w:eastAsia="Arial" w:hAnsi="Arial"/>
                <w:b/>
                <w:bCs/>
                <w:color w:val="c9a84c"/>
                <w:sz w:val="36"/>
                <w:szCs w:val="36"/>
              </w:rPr>
              <w:t xml:space="preserve">4.0%</w:t>
            </w:r>
          </w:p>
          <w:p>
            <w:pPr>
              <w:spacing w:after="30"/>
              <w:jc w:val="center"/>
            </w:pPr>
            <w:r>
              <w:rPr>
                <w:rFonts w:ascii="Arial" w:cs="Arial" w:eastAsia="Arial" w:hAnsi="Arial"/>
                <w:b/>
                <w:bCs/>
                <w:color w:val="FFFFFF"/>
                <w:sz w:val="16"/>
                <w:szCs w:val="16"/>
              </w:rPr>
              <w:t xml:space="preserve">Q3 GDP growth</w:t>
            </w:r>
          </w:p>
          <w:p>
            <w:pPr>
              <w:spacing w:after="0"/>
              <w:jc w:val="center"/>
            </w:pPr>
            <w:r>
              <w:rPr>
                <w:rFonts w:ascii="Arial" w:cs="Arial" w:eastAsia="Arial" w:hAnsi="Arial"/>
                <w:i/>
                <w:iCs/>
                <w:color w:val="aaaaaa"/>
                <w:sz w:val="14"/>
                <w:szCs w:val="14"/>
              </w:rPr>
              <w:t xml:space="preserve">Provisional</w:t>
            </w:r>
          </w:p>
        </w:tc>
        <w:tc>
          <w:tcPr>
            <w:tcW w:type="dxa" w:w="2340"/>
            <w:tcBorders>
              <w:top w:val="single" w:color="c9a84c" w:sz="1"/>
              <w:left w:val="single" w:color="c9a84c" w:sz="1"/>
              <w:bottom w:val="single" w:color="c9a84c" w:sz="1"/>
              <w:right w:val="single" w:color="c9a84c" w:sz="1"/>
            </w:tcBorders>
            <w:shd w:fill="0e2a1a" w:val="clear"/>
            <w:tcMar>
              <w:top w:type="dxa" w:w="120"/>
              <w:left w:type="dxa" w:w="140"/>
              <w:bottom w:type="dxa" w:w="120"/>
              <w:right w:type="dxa" w:w="140"/>
            </w:tcMar>
            <w:vAlign w:val="center"/>
          </w:tcPr>
          <w:p>
            <w:pPr>
              <w:spacing w:after="40"/>
              <w:jc w:val="center"/>
            </w:pPr>
            <w:r>
              <w:rPr>
                <w:rFonts w:ascii="Arial" w:cs="Arial" w:eastAsia="Arial" w:hAnsi="Arial"/>
                <w:b/>
                <w:bCs/>
                <w:color w:val="c9a84c"/>
                <w:sz w:val="36"/>
                <w:szCs w:val="36"/>
              </w:rPr>
              <w:t xml:space="preserve">4.0%</w:t>
            </w:r>
          </w:p>
          <w:p>
            <w:pPr>
              <w:spacing w:after="30"/>
              <w:jc w:val="center"/>
            </w:pPr>
            <w:r>
              <w:rPr>
                <w:rFonts w:ascii="Arial" w:cs="Arial" w:eastAsia="Arial" w:hAnsi="Arial"/>
                <w:b/>
                <w:bCs/>
                <w:color w:val="FFFFFF"/>
                <w:sz w:val="16"/>
                <w:szCs w:val="16"/>
              </w:rPr>
              <w:t xml:space="preserve">9-month average</w:t>
            </w:r>
          </w:p>
          <w:p>
            <w:pPr>
              <w:spacing w:after="0"/>
              <w:jc w:val="center"/>
            </w:pPr>
            <w:r>
              <w:rPr>
                <w:rFonts w:ascii="Arial" w:cs="Arial" w:eastAsia="Arial" w:hAnsi="Arial"/>
                <w:i/>
                <w:iCs/>
                <w:color w:val="aaaaaa"/>
                <w:sz w:val="14"/>
                <w:szCs w:val="14"/>
              </w:rPr>
              <w:t xml:space="preserve">Q1–Q3 FY26</w:t>
            </w:r>
          </w:p>
        </w:tc>
        <w:tc>
          <w:tcPr>
            <w:tcW w:type="dxa" w:w="2340"/>
            <w:tcBorders>
              <w:top w:val="single" w:color="c9a84c" w:sz="1"/>
              <w:left w:val="single" w:color="c9a84c" w:sz="1"/>
              <w:bottom w:val="single" w:color="c9a84c" w:sz="1"/>
              <w:right w:val="single" w:color="c9a84c" w:sz="1"/>
            </w:tcBorders>
            <w:shd w:fill="0e2a1a" w:val="clear"/>
            <w:tcMar>
              <w:top w:type="dxa" w:w="120"/>
              <w:left w:type="dxa" w:w="140"/>
              <w:bottom w:type="dxa" w:w="120"/>
              <w:right w:type="dxa" w:w="140"/>
            </w:tcMar>
            <w:vAlign w:val="center"/>
          </w:tcPr>
          <w:p>
            <w:pPr>
              <w:spacing w:after="40"/>
              <w:jc w:val="center"/>
            </w:pPr>
            <w:r>
              <w:rPr>
                <w:rFonts w:ascii="Arial" w:cs="Arial" w:eastAsia="Arial" w:hAnsi="Arial"/>
                <w:b/>
                <w:bCs/>
                <w:color w:val="c9a84c"/>
                <w:sz w:val="36"/>
                <w:szCs w:val="36"/>
              </w:rPr>
              <w:t xml:space="preserve">$452B</w:t>
            </w:r>
          </w:p>
          <w:p>
            <w:pPr>
              <w:spacing w:after="30"/>
              <w:jc w:val="center"/>
            </w:pPr>
            <w:r>
              <w:rPr>
                <w:rFonts w:ascii="Arial" w:cs="Arial" w:eastAsia="Arial" w:hAnsi="Arial"/>
                <w:b/>
                <w:bCs/>
                <w:color w:val="FFFFFF"/>
                <w:sz w:val="16"/>
                <w:szCs w:val="16"/>
              </w:rPr>
              <w:t xml:space="preserve">Economy size</w:t>
            </w:r>
          </w:p>
          <w:p>
            <w:pPr>
              <w:spacing w:after="0"/>
              <w:jc w:val="center"/>
            </w:pPr>
            <w:r>
              <w:rPr>
                <w:rFonts w:ascii="Arial" w:cs="Arial" w:eastAsia="Arial" w:hAnsi="Arial"/>
                <w:i/>
                <w:iCs/>
                <w:color w:val="aaaaaa"/>
                <w:sz w:val="14"/>
                <w:szCs w:val="14"/>
              </w:rPr>
              <w:t xml:space="preserve">vs $408B prior year</w:t>
            </w:r>
          </w:p>
        </w:tc>
        <w:tc>
          <w:tcPr>
            <w:tcW w:type="dxa" w:w="2340"/>
            <w:tcBorders>
              <w:top w:val="single" w:color="c9a84c" w:sz="1"/>
              <w:left w:val="single" w:color="c9a84c" w:sz="1"/>
              <w:bottom w:val="single" w:color="c9a84c" w:sz="1"/>
              <w:right w:val="single" w:color="c9a84c" w:sz="1"/>
            </w:tcBorders>
            <w:shd w:fill="0e2a1a" w:val="clear"/>
            <w:tcMar>
              <w:top w:type="dxa" w:w="120"/>
              <w:left w:type="dxa" w:w="140"/>
              <w:bottom w:type="dxa" w:w="120"/>
              <w:right w:type="dxa" w:w="140"/>
            </w:tcMar>
            <w:vAlign w:val="center"/>
          </w:tcPr>
          <w:p>
            <w:pPr>
              <w:spacing w:after="40"/>
              <w:jc w:val="center"/>
            </w:pPr>
            <w:r>
              <w:rPr>
                <w:rFonts w:ascii="Arial" w:cs="Arial" w:eastAsia="Arial" w:hAnsi="Arial"/>
                <w:b/>
                <w:bCs/>
                <w:color w:val="c9a84c"/>
                <w:sz w:val="36"/>
                <w:szCs w:val="36"/>
              </w:rPr>
              <w:t xml:space="preserve">$1,901</w:t>
            </w:r>
          </w:p>
          <w:p>
            <w:pPr>
              <w:spacing w:after="30"/>
              <w:jc w:val="center"/>
            </w:pPr>
            <w:r>
              <w:rPr>
                <w:rFonts w:ascii="Arial" w:cs="Arial" w:eastAsia="Arial" w:hAnsi="Arial"/>
                <w:b/>
                <w:bCs/>
                <w:color w:val="FFFFFF"/>
                <w:sz w:val="16"/>
                <w:szCs w:val="16"/>
              </w:rPr>
              <w:t xml:space="preserve">Per capita income</w:t>
            </w:r>
          </w:p>
          <w:p>
            <w:pPr>
              <w:spacing w:after="0"/>
              <w:jc w:val="center"/>
            </w:pPr>
            <w:r>
              <w:rPr>
                <w:rFonts w:ascii="Arial" w:cs="Arial" w:eastAsia="Arial" w:hAnsi="Arial"/>
                <w:i/>
                <w:iCs/>
                <w:color w:val="aaaaaa"/>
                <w:sz w:val="14"/>
                <w:szCs w:val="14"/>
              </w:rPr>
              <w:t xml:space="preserve">2023 Census base</w:t>
            </w:r>
          </w:p>
        </w:tc>
      </w:tr>
    </w:tbl>
    <w:p>
      <w:pPr>
        <w:spacing w:after="240"/>
      </w:pPr>
    </w:p>
    <w:p>
      <w:pPr>
        <w:pStyle w:val="Heading1"/>
        <w:pBdr>
          <w:bottom w:val="single" w:color="c9a84c" w:sz="6" w:space="1"/>
        </w:pBdr>
        <w:spacing w:after="120" w:before="280"/>
      </w:pPr>
      <w:r>
        <w:rPr>
          <w:rFonts w:ascii="Arial" w:cs="Arial" w:eastAsia="Arial" w:hAnsi="Arial"/>
          <w:b/>
          <w:bCs/>
          <w:color w:val="1a6b3c"/>
          <w:sz w:val="28"/>
          <w:szCs w:val="28"/>
        </w:rPr>
        <w:t xml:space="preserve">Section 1 — Q3 FY 2025-26 Provisional Estimates</w:t>
      </w:r>
    </w:p>
    <w:p>
      <w:pPr>
        <w:pStyle w:val="Heading2"/>
        <w:spacing w:after="80" w:before="200"/>
      </w:pPr>
      <w:r>
        <w:rPr>
          <w:rFonts w:ascii="Arial" w:cs="Arial" w:eastAsia="Arial" w:hAnsi="Arial"/>
          <w:b/>
          <w:bCs/>
          <w:color w:val="0e2a1a"/>
          <w:sz w:val="24"/>
          <w:szCs w:val="24"/>
        </w:rPr>
        <w:t xml:space="preserve">1.1  Sector-level headline growth</w:t>
      </w:r>
    </w:p>
    <w:p>
      <w:pPr>
        <w:spacing w:after="120" w:line="276"/>
      </w:pPr>
      <w:r>
        <w:rPr>
          <w:rFonts w:ascii="Arial" w:cs="Arial" w:eastAsia="Arial" w:hAnsi="Arial"/>
          <w:sz w:val="20"/>
          <w:szCs w:val="20"/>
        </w:rPr>
        <w:t xml:space="preserve">Overall GDP grew at 3.99 percent in Q3 FY 2025-26, rounded to 4.0 percent in NAC communications. All three major sectors contributed positively.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Sector</w:t>
            </w:r>
          </w:p>
        </w:tc>
        <w:tc>
          <w:tcPr>
            <w:tcW w:type="dxa" w:w="234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Q3 Growth</w:t>
            </w:r>
          </w:p>
        </w:tc>
        <w:tc>
          <w:tcPr>
            <w:tcW w:type="dxa" w:w="234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Status</w:t>
            </w:r>
          </w:p>
        </w:tc>
      </w:tr>
      <w:tr>
        <w:tc>
          <w:tcPr>
            <w:tcW w:type="dxa" w:w="468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left"/>
            </w:pPr>
            <w:r>
              <w:rPr>
                <w:rFonts w:ascii="Arial" w:cs="Arial" w:eastAsia="Arial" w:hAnsi="Arial"/>
                <w:b/>
                <w:bCs/>
                <w:color w:val="0e2a1a"/>
                <w:sz w:val="17"/>
                <w:szCs w:val="17"/>
              </w:rPr>
              <w:t xml:space="preserve">Agriculture</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3.01%</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All sub-sectors positive</w:t>
            </w:r>
          </w:p>
        </w:tc>
      </w:tr>
      <w:tr>
        <w:tc>
          <w:tcPr>
            <w:tcW w:type="dxa" w:w="468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left"/>
            </w:pPr>
            <w:r>
              <w:rPr>
                <w:rFonts w:ascii="Arial" w:cs="Arial" w:eastAsia="Arial" w:hAnsi="Arial"/>
                <w:b/>
                <w:bCs/>
                <w:color w:val="0e2a1a"/>
                <w:sz w:val="17"/>
                <w:szCs w:val="17"/>
              </w:rPr>
              <w:t xml:space="preserve">Industry</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4.65%</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LSM-driven; two sub-sectors negative</w:t>
            </w:r>
          </w:p>
        </w:tc>
      </w:tr>
      <w:tr>
        <w:tc>
          <w:tcPr>
            <w:tcW w:type="dxa" w:w="468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left"/>
            </w:pPr>
            <w:r>
              <w:rPr>
                <w:rFonts w:ascii="Arial" w:cs="Arial" w:eastAsia="Arial" w:hAnsi="Arial"/>
                <w:b/>
                <w:bCs/>
                <w:color w:val="0e2a1a"/>
                <w:sz w:val="17"/>
                <w:szCs w:val="17"/>
              </w:rPr>
              <w:t xml:space="preserve">Services</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4.18%</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All sub-sectors positive</w:t>
            </w:r>
          </w:p>
        </w:tc>
      </w:tr>
      <w:tr>
        <w:tc>
          <w:tcPr>
            <w:tcW w:type="dxa" w:w="468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left"/>
            </w:pPr>
            <w:r>
              <w:rPr>
                <w:rFonts w:ascii="Arial" w:cs="Arial" w:eastAsia="Arial" w:hAnsi="Arial"/>
                <w:b/>
                <w:bCs/>
                <w:color w:val="0e2a1a"/>
                <w:sz w:val="17"/>
                <w:szCs w:val="17"/>
              </w:rPr>
              <w:t xml:space="preserve">Overall GDP</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3.99%</w:t>
            </w:r>
          </w:p>
        </w:tc>
        <w:tc>
          <w:tcPr>
            <w:tcW w:type="dxa" w:w="234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Within SBP 3.75–4.75% range</w:t>
            </w:r>
          </w:p>
        </w:tc>
      </w:tr>
    </w:tbl>
    <w:p>
      <w:pPr>
        <w:spacing w:after="200"/>
      </w:pPr>
    </w:p>
    <w:p>
      <w:pPr>
        <w:pStyle w:val="Heading2"/>
        <w:spacing w:after="80" w:before="200"/>
      </w:pPr>
      <w:r>
        <w:rPr>
          <w:rFonts w:ascii="Arial" w:cs="Arial" w:eastAsia="Arial" w:hAnsi="Arial"/>
          <w:b/>
          <w:bCs/>
          <w:color w:val="0e2a1a"/>
          <w:sz w:val="24"/>
          <w:szCs w:val="24"/>
        </w:rPr>
        <w:t xml:space="preserve">1.2  Agriculture sub-sectors — Q3 FY 2025-26</w:t>
      </w:r>
    </w:p>
    <w:p>
      <w:pPr>
        <w:spacing w:after="120" w:line="276"/>
      </w:pPr>
      <w:r>
        <w:rPr>
          <w:rFonts w:ascii="Arial" w:cs="Arial" w:eastAsia="Arial" w:hAnsi="Arial"/>
          <w:sz w:val="20"/>
          <w:szCs w:val="20"/>
        </w:rPr>
        <w:t xml:space="preserve">All five agricultural sub-sectors posted positive growth, a notable improvement on prior quarters. Livestock remains the largest contributor at roughly 61 percent of agricultural GDP.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Sub-sector</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Q3 Growth</w:t>
            </w:r>
          </w:p>
        </w:tc>
        <w:tc>
          <w:tcPr>
            <w:tcW w:type="dxa" w:w="39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r>
      <w:tr>
        <w:tc>
          <w:tcPr>
            <w:tcW w:type="dxa" w:w="360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Livestock</w:t>
            </w:r>
          </w:p>
        </w:tc>
        <w:tc>
          <w:tcPr>
            <w:tcW w:type="dxa" w:w="180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+3.70%</w:t>
            </w:r>
          </w:p>
        </w:tc>
        <w:tc>
          <w:tcPr>
            <w:tcW w:type="dxa" w:w="39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Largest agri sub-sector (~61% of agri GDP)</w:t>
            </w:r>
          </w:p>
        </w:tc>
      </w:tr>
      <w:tr>
        <w:tc>
          <w:tcPr>
            <w:tcW w:type="dxa" w:w="360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Other crops</w:t>
            </w:r>
          </w:p>
        </w:tc>
        <w:tc>
          <w:tcPr>
            <w:tcW w:type="dxa" w:w="180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+2.27%</w:t>
            </w:r>
          </w:p>
        </w:tc>
        <w:tc>
          <w:tcPr>
            <w:tcW w:type="dxa" w:w="396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Q1 revised sharply upward from −6.90% to 1.93%</w:t>
            </w:r>
          </w:p>
        </w:tc>
      </w:tr>
      <w:tr>
        <w:tc>
          <w:tcPr>
            <w:tcW w:type="dxa" w:w="360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Forestry</w:t>
            </w:r>
          </w:p>
        </w:tc>
        <w:tc>
          <w:tcPr>
            <w:tcW w:type="dxa" w:w="180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+1.62%</w:t>
            </w:r>
          </w:p>
        </w:tc>
        <w:tc>
          <w:tcPr>
            <w:tcW w:type="dxa" w:w="39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
            </w:r>
          </w:p>
        </w:tc>
      </w:tr>
      <w:tr>
        <w:tc>
          <w:tcPr>
            <w:tcW w:type="dxa" w:w="360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Fishing</w:t>
            </w:r>
          </w:p>
        </w:tc>
        <w:tc>
          <w:tcPr>
            <w:tcW w:type="dxa" w:w="180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+1.37%</w:t>
            </w:r>
          </w:p>
        </w:tc>
        <w:tc>
          <w:tcPr>
            <w:tcW w:type="dxa" w:w="396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Both Q1 &amp; Q2 revised upward</w:t>
            </w:r>
          </w:p>
        </w:tc>
      </w:tr>
      <w:tr>
        <w:tc>
          <w:tcPr>
            <w:tcW w:type="dxa" w:w="360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Important crops</w:t>
            </w:r>
          </w:p>
        </w:tc>
        <w:tc>
          <w:tcPr>
            <w:tcW w:type="dxa" w:w="180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+1.10%</w:t>
            </w:r>
          </w:p>
        </w:tc>
        <w:tc>
          <w:tcPr>
            <w:tcW w:type="dxa" w:w="39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Wheat 29MT; rice ~9MT above estimates</w:t>
            </w:r>
          </w:p>
        </w:tc>
      </w:tr>
    </w:tbl>
    <w:p>
      <w:pPr>
        <w:spacing w:after="200"/>
      </w:pPr>
    </w:p>
    <w:p>
      <w:pPr>
        <w:pStyle w:val="Heading2"/>
        <w:spacing w:after="80" w:before="200"/>
      </w:pPr>
      <w:r>
        <w:rPr>
          <w:rFonts w:ascii="Arial" w:cs="Arial" w:eastAsia="Arial" w:hAnsi="Arial"/>
          <w:b/>
          <w:bCs/>
          <w:color w:val="0e2a1a"/>
          <w:sz w:val="24"/>
          <w:szCs w:val="24"/>
        </w:rPr>
        <w:t xml:space="preserve">1.3  Industry sub-sectors — Q3 FY 2025-26</w:t>
      </w:r>
    </w:p>
    <w:p>
      <w:pPr>
        <w:spacing w:after="120" w:line="276"/>
      </w:pPr>
      <w:r>
        <w:rPr>
          <w:rFonts w:ascii="Arial" w:cs="Arial" w:eastAsia="Arial" w:hAnsi="Arial"/>
          <w:sz w:val="20"/>
          <w:szCs w:val="20"/>
        </w:rPr>
        <w:t xml:space="preserve">Industry grew 4.65 percent overall, driven almost entirely by large-scale manufacturing at 9.53 percent. Two sub-sectors contracted, one sharply.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3240"/>
      </w:tblGrid>
      <w:tr>
        <w:trPr>
          <w:tblHeader/>
        </w:trPr>
        <w:tc>
          <w:tcPr>
            <w:tcW w:type="dxa" w:w="43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Sub-sector</w:t>
            </w:r>
          </w:p>
        </w:tc>
        <w:tc>
          <w:tcPr>
            <w:tcW w:type="dxa" w:w="18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Q3 Growth</w:t>
            </w:r>
          </w:p>
        </w:tc>
        <w:tc>
          <w:tcPr>
            <w:tcW w:type="dxa" w:w="324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r>
      <w:tr>
        <w:tc>
          <w:tcPr>
            <w:tcW w:type="dxa" w:w="432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Large-scale manufacturing (LSM)</w:t>
            </w:r>
          </w:p>
        </w:tc>
        <w:tc>
          <w:tcPr>
            <w:tcW w:type="dxa" w:w="180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+9.53%</w:t>
            </w:r>
          </w:p>
        </w:tc>
        <w:tc>
          <w:tcPr>
            <w:tcW w:type="dxa" w:w="324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Main driver: apparel, automobiles, cement</w:t>
            </w:r>
          </w:p>
        </w:tc>
      </w:tr>
      <w:tr>
        <w:tc>
          <w:tcPr>
            <w:tcW w:type="dxa" w:w="432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Construction</w:t>
            </w:r>
          </w:p>
        </w:tc>
        <w:tc>
          <w:tcPr>
            <w:tcW w:type="dxa" w:w="180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+0.48%</w:t>
            </w:r>
          </w:p>
        </w:tc>
        <w:tc>
          <w:tcPr>
            <w:tcW w:type="dxa" w:w="324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High base: +14.27% in Q3 last year</w:t>
            </w:r>
          </w:p>
        </w:tc>
      </w:tr>
      <w:tr>
        <w:tc>
          <w:tcPr>
            <w:tcW w:type="dxa" w:w="432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Mining &amp; quarrying</w:t>
            </w:r>
          </w:p>
        </w:tc>
        <w:tc>
          <w:tcPr>
            <w:tcW w:type="dxa" w:w="180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-2.55%</w:t>
            </w:r>
          </w:p>
        </w:tc>
        <w:tc>
          <w:tcPr>
            <w:tcW w:type="dxa" w:w="324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Continued contraction</w:t>
            </w:r>
          </w:p>
        </w:tc>
      </w:tr>
      <w:tr>
        <w:tc>
          <w:tcPr>
            <w:tcW w:type="dxa" w:w="432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Electricity, gas &amp; water supply</w:t>
            </w:r>
          </w:p>
        </w:tc>
        <w:tc>
          <w:tcPr>
            <w:tcW w:type="dxa" w:w="180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-13.53%</w:t>
            </w:r>
          </w:p>
        </w:tc>
        <w:tc>
          <w:tcPr>
            <w:tcW w:type="dxa" w:w="324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Base-year effect: prior year +129% (circular debt)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a00" w:sz="1"/>
              <w:left w:val="single" w:color="b86a00" w:sz="12"/>
              <w:bottom w:val="single" w:color="b86a00" w:sz="1"/>
              <w:right w:val="none" w:color="FFFFFF" w:sz="0"/>
            </w:tcBorders>
            <w:shd w:fill="fffbeb" w:val="clear"/>
            <w:tcMar>
              <w:top w:type="dxa" w:w="100"/>
              <w:left w:type="dxa" w:w="160"/>
              <w:bottom w:type="dxa" w:w="100"/>
              <w:right w:type="dxa" w:w="160"/>
            </w:tcMar>
          </w:tcPr>
          <w:p>
            <w:pPr>
              <w:spacing w:after="40"/>
            </w:pPr>
            <w:r>
              <w:rPr>
                <w:rFonts w:ascii="Arial" w:cs="Arial" w:eastAsia="Arial" w:hAnsi="Arial"/>
                <w:b/>
                <w:bCs/>
                <w:color w:val="b86a00"/>
                <w:sz w:val="18"/>
                <w:szCs w:val="18"/>
              </w:rPr>
              <w:t xml:space="preserve">Analytical note — electricity contraction</w:t>
            </w:r>
          </w:p>
          <w:p>
            <w:pPr>
              <w:spacing w:after="0"/>
            </w:pPr>
            <w:r>
              <w:rPr>
                <w:rFonts w:ascii="Arial" w:cs="Arial" w:eastAsia="Arial" w:hAnsi="Arial"/>
                <w:color w:val="2c2c2c"/>
                <w:sz w:val="18"/>
                <w:szCs w:val="18"/>
              </w:rPr>
              <w:t xml:space="preserve">The -13.53% contraction in electricity, gas and water supply in Q3 FY26 is largely a statistical base-year artefact. In Q3 FY25, this sub-sector recorded +129% growth because PKR 2,842 billion in circular debt payments were recognised in that period. The current-year figure reflects the reversal of that one-off effect rather than a genuine supply collapse.</w:t>
            </w:r>
          </w:p>
        </w:tc>
      </w:tr>
    </w:tbl>
    <w:p>
      <w:pPr>
        <w:spacing w:after="200"/>
      </w:pPr>
    </w:p>
    <w:p>
      <w:pPr>
        <w:pStyle w:val="Heading2"/>
        <w:spacing w:after="80" w:before="200"/>
      </w:pPr>
      <w:r>
        <w:rPr>
          <w:rFonts w:ascii="Arial" w:cs="Arial" w:eastAsia="Arial" w:hAnsi="Arial"/>
          <w:b/>
          <w:bCs/>
          <w:color w:val="0e2a1a"/>
          <w:sz w:val="24"/>
          <w:szCs w:val="24"/>
        </w:rPr>
        <w:t xml:space="preserve">1.4  Services sub-sectors — Q3 FY 2025-26</w:t>
      </w:r>
    </w:p>
    <w:p>
      <w:pPr>
        <w:spacing w:after="120" w:line="276"/>
      </w:pPr>
      <w:r>
        <w:rPr>
          <w:rFonts w:ascii="Arial" w:cs="Arial" w:eastAsia="Arial" w:hAnsi="Arial"/>
          <w:sz w:val="20"/>
          <w:szCs w:val="20"/>
        </w:rPr>
        <w:t xml:space="preserve">Services led headline growth in Q3 with 4.18 percent. All eight sub-sectors contributed positively. Information &amp; communication and public administration were the fastest-growing components.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Sub-sector</w:t>
            </w:r>
          </w:p>
        </w:tc>
        <w:tc>
          <w:tcPr>
            <w:tcW w:type="dxa" w:w="28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Q3 Growth</w:t>
            </w:r>
          </w:p>
        </w:tc>
      </w:tr>
      <w:tr>
        <w:tc>
          <w:tcPr>
            <w:tcW w:type="dxa" w:w="64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Information &amp; communication</w:t>
            </w:r>
          </w:p>
        </w:tc>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+9.78%</w:t>
            </w:r>
          </w:p>
        </w:tc>
      </w:tr>
      <w:tr>
        <w:tc>
          <w:tcPr>
            <w:tcW w:type="dxa" w:w="64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Public admin &amp; social security</w:t>
            </w:r>
          </w:p>
        </w:tc>
        <w:tc>
          <w:tcPr>
            <w:tcW w:type="dxa" w:w="288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+8.88%</w:t>
            </w:r>
          </w:p>
        </w:tc>
      </w:tr>
      <w:tr>
        <w:tc>
          <w:tcPr>
            <w:tcW w:type="dxa" w:w="64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Education</w:t>
            </w:r>
          </w:p>
        </w:tc>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+4.14%</w:t>
            </w:r>
          </w:p>
        </w:tc>
      </w:tr>
      <w:tr>
        <w:tc>
          <w:tcPr>
            <w:tcW w:type="dxa" w:w="64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Wholesale &amp; retail trade</w:t>
            </w:r>
          </w:p>
        </w:tc>
        <w:tc>
          <w:tcPr>
            <w:tcW w:type="dxa" w:w="288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+4.13%</w:t>
            </w:r>
          </w:p>
        </w:tc>
      </w:tr>
      <w:tr>
        <w:tc>
          <w:tcPr>
            <w:tcW w:type="dxa" w:w="64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Health &amp; social work</w:t>
            </w:r>
          </w:p>
        </w:tc>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+4.07%</w:t>
            </w:r>
          </w:p>
        </w:tc>
      </w:tr>
      <w:tr>
        <w:tc>
          <w:tcPr>
            <w:tcW w:type="dxa" w:w="64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Other private services</w:t>
            </w:r>
          </w:p>
        </w:tc>
        <w:tc>
          <w:tcPr>
            <w:tcW w:type="dxa" w:w="288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+3.35%</w:t>
            </w:r>
          </w:p>
        </w:tc>
      </w:tr>
      <w:tr>
        <w:tc>
          <w:tcPr>
            <w:tcW w:type="dxa" w:w="64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Finance &amp; insurance</w:t>
            </w:r>
          </w:p>
        </w:tc>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+2.90%</w:t>
            </w:r>
          </w:p>
        </w:tc>
      </w:tr>
      <w:tr>
        <w:tc>
          <w:tcPr>
            <w:tcW w:type="dxa" w:w="64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Transportation &amp; storage</w:t>
            </w:r>
          </w:p>
        </w:tc>
        <w:tc>
          <w:tcPr>
            <w:tcW w:type="dxa" w:w="288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+2.02%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none" w:color="FFFFFF" w:sz="0"/>
            </w:tcBorders>
            <w:shd w:fill="fdf2f2" w:val="clear"/>
            <w:tcMar>
              <w:top w:type="dxa" w:w="100"/>
              <w:left w:type="dxa" w:w="160"/>
              <w:bottom w:type="dxa" w:w="100"/>
              <w:right w:type="dxa" w:w="160"/>
            </w:tcMar>
          </w:tcPr>
          <w:p>
            <w:pPr>
              <w:spacing w:after="40"/>
            </w:pPr>
            <w:r>
              <w:rPr>
                <w:rFonts w:ascii="Arial" w:cs="Arial" w:eastAsia="Arial" w:hAnsi="Arial"/>
                <w:b/>
                <w:bCs/>
                <w:color w:val="c0392b"/>
                <w:sz w:val="18"/>
                <w:szCs w:val="18"/>
              </w:rPr>
              <w:t xml:space="preserve">Methodological note — public administration growth</w:t>
            </w:r>
          </w:p>
          <w:p>
            <w:pPr>
              <w:spacing w:after="0"/>
            </w:pPr>
            <w:r>
              <w:rPr>
                <w:rFonts w:ascii="Arial" w:cs="Arial" w:eastAsia="Arial" w:hAnsi="Arial"/>
                <w:color w:val="2c2c2c"/>
                <w:sz w:val="18"/>
                <w:szCs w:val="18"/>
              </w:rPr>
              <w:t xml:space="preserve">Public administration &amp; social security grew 8.88% in real terms during a period of stated fiscal consolidation. This figure is estimated from budgeted expenditure rather than actual spending outturns. Downward revision is expected in October 2026 once final spending data are incorporated.</w:t>
            </w:r>
          </w:p>
        </w:tc>
      </w:tr>
    </w:tbl>
    <w:p>
      <w:pPr>
        <w:spacing w:after="300"/>
      </w:pPr>
    </w:p>
    <w:p>
      <w:r>
        <w:br w:type="page"/>
      </w:r>
    </w:p>
    <w:p>
      <w:pPr>
        <w:pStyle w:val="Heading1"/>
        <w:pBdr>
          <w:bottom w:val="single" w:color="c9a84c" w:sz="6" w:space="1"/>
        </w:pBdr>
        <w:spacing w:after="120" w:before="280"/>
      </w:pPr>
      <w:r>
        <w:rPr>
          <w:rFonts w:ascii="Arial" w:cs="Arial" w:eastAsia="Arial" w:hAnsi="Arial"/>
          <w:b/>
          <w:bCs/>
          <w:color w:val="1a6b3c"/>
          <w:sz w:val="28"/>
          <w:szCs w:val="28"/>
        </w:rPr>
        <w:t xml:space="preserve">Section 2 — Q1 &amp; Q2 Revisions (116th vs 117th NAC)</w:t>
      </w:r>
    </w:p>
    <w:p>
      <w:pPr>
        <w:spacing w:after="120" w:line="276"/>
      </w:pPr>
      <w:r>
        <w:rPr>
          <w:rFonts w:ascii="Arial" w:cs="Arial" w:eastAsia="Arial" w:hAnsi="Arial"/>
          <w:sz w:val="20"/>
          <w:szCs w:val="20"/>
        </w:rPr>
        <w:t xml:space="preserve">The 117th NAC meeting approved revised estimates for Q1 and Q2 FY 2025-26. The overall pattern: agriculture and services were revised upward; industry was revised downward, with construction the dominant drag in both quarters.</w:t>
      </w:r>
    </w:p>
    <w:p>
      <w:pPr>
        <w:spacing w:after="120"/>
      </w:pPr>
    </w:p>
    <w:p>
      <w:pPr>
        <w:pStyle w:val="Heading2"/>
        <w:spacing w:after="80" w:before="200"/>
      </w:pPr>
      <w:r>
        <w:rPr>
          <w:rFonts w:ascii="Arial" w:cs="Arial" w:eastAsia="Arial" w:hAnsi="Arial"/>
          <w:b/>
          <w:bCs/>
          <w:color w:val="0e2a1a"/>
          <w:sz w:val="24"/>
          <w:szCs w:val="24"/>
        </w:rPr>
        <w:t xml:space="preserve">2.1  Overall GDP — revised estimates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Quarter</w:t>
            </w:r>
          </w:p>
        </w:tc>
        <w:tc>
          <w:tcPr>
            <w:tcW w:type="dxa" w:w="21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Old estimate</w:t>
            </w:r>
          </w:p>
        </w:tc>
        <w:tc>
          <w:tcPr>
            <w:tcW w:type="dxa" w:w="21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Revised estimate</w:t>
            </w:r>
          </w:p>
        </w:tc>
        <w:tc>
          <w:tcPr>
            <w:tcW w:type="dxa" w:w="216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Change</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left"/>
            </w:pPr>
            <w:r>
              <w:rPr>
                <w:rFonts w:ascii="Arial" w:cs="Arial" w:eastAsia="Arial" w:hAnsi="Arial"/>
                <w:b/>
                <w:bCs/>
                <w:color w:val="2c2c2c"/>
                <w:sz w:val="17"/>
                <w:szCs w:val="17"/>
              </w:rPr>
              <w:t xml:space="preserve">Q1 FY 2025-26</w:t>
            </w:r>
          </w:p>
        </w:tc>
        <w:tc>
          <w:tcPr>
            <w:tcW w:type="dxa" w:w="21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3.63%</w:t>
            </w:r>
          </w:p>
        </w:tc>
        <w:tc>
          <w:tcPr>
            <w:tcW w:type="dxa" w:w="21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0f6e56"/>
                <w:sz w:val="17"/>
                <w:szCs w:val="17"/>
              </w:rPr>
              <w:t xml:space="preserve">3.92%</w:t>
            </w:r>
          </w:p>
        </w:tc>
        <w:tc>
          <w:tcPr>
            <w:tcW w:type="dxa" w:w="21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+0.29 pp</w:t>
            </w:r>
          </w:p>
        </w:tc>
      </w:tr>
      <w:tr>
        <w:tc>
          <w:tcPr>
            <w:tcW w:type="dxa" w:w="288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left"/>
            </w:pPr>
            <w:r>
              <w:rPr>
                <w:rFonts w:ascii="Arial" w:cs="Arial" w:eastAsia="Arial" w:hAnsi="Arial"/>
                <w:b/>
                <w:bCs/>
                <w:color w:val="2c2c2c"/>
                <w:sz w:val="17"/>
                <w:szCs w:val="17"/>
              </w:rPr>
              <w:t xml:space="preserve">Q2 FY 2025-26</w:t>
            </w:r>
          </w:p>
        </w:tc>
        <w:tc>
          <w:tcPr>
            <w:tcW w:type="dxa" w:w="216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3.89%</w:t>
            </w:r>
          </w:p>
        </w:tc>
        <w:tc>
          <w:tcPr>
            <w:tcW w:type="dxa" w:w="216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b/>
                <w:bCs/>
                <w:color w:val="0f6e56"/>
                <w:sz w:val="17"/>
                <w:szCs w:val="17"/>
              </w:rPr>
              <w:t xml:space="preserve">4.05%</w:t>
            </w:r>
          </w:p>
        </w:tc>
        <w:tc>
          <w:tcPr>
            <w:tcW w:type="dxa" w:w="216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+0.16 pp</w:t>
            </w:r>
          </w:p>
        </w:tc>
      </w:tr>
      <w:tr>
        <w:tc>
          <w:tcPr>
            <w:tcW w:type="dxa" w:w="288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left"/>
            </w:pPr>
            <w:r>
              <w:rPr>
                <w:rFonts w:ascii="Arial" w:cs="Arial" w:eastAsia="Arial" w:hAnsi="Arial"/>
                <w:b/>
                <w:bCs/>
                <w:color w:val="0e2a1a"/>
                <w:sz w:val="17"/>
                <w:szCs w:val="17"/>
              </w:rPr>
              <w:t xml:space="preserve">9-month average</w:t>
            </w:r>
          </w:p>
        </w:tc>
        <w:tc>
          <w:tcPr>
            <w:tcW w:type="dxa" w:w="216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c>
          <w:tcPr>
            <w:tcW w:type="dxa" w:w="216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4.0%</w:t>
            </w:r>
          </w:p>
        </w:tc>
        <w:tc>
          <w:tcPr>
            <w:tcW w:type="dxa" w:w="2160"/>
            <w:tcBorders>
              <w:top w:val="single" w:color="d0ddd6" w:sz="1"/>
              <w:left w:val="single" w:color="d0ddd6" w:sz="1"/>
              <w:bottom w:val="single" w:color="d0ddd6" w:sz="1"/>
              <w:right w:val="single" w:color="d0ddd6" w:sz="1"/>
            </w:tcBorders>
            <w:shd w:fill="eef5f0" w:val="clear"/>
            <w:tcMar>
              <w:top w:type="dxa" w:w="70"/>
              <w:left w:type="dxa" w:w="120"/>
              <w:bottom w:type="dxa" w:w="70"/>
              <w:right w:type="dxa" w:w="120"/>
            </w:tcMar>
            <w:vAlign w:val="center"/>
          </w:tcPr>
          <w:p>
            <w:pPr>
              <w:jc w:val="center"/>
            </w:pPr>
            <w:r>
              <w:rPr>
                <w:rFonts w:ascii="Arial" w:cs="Arial" w:eastAsia="Arial" w:hAnsi="Arial"/>
                <w:b/>
                <w:bCs/>
                <w:color w:val="0e2a1a"/>
                <w:sz w:val="17"/>
                <w:szCs w:val="17"/>
              </w:rPr>
              <w:t xml:space="preserve">Within SBP band</w:t>
            </w:r>
          </w:p>
        </w:tc>
      </w:tr>
    </w:tbl>
    <w:p>
      <w:pPr>
        <w:spacing w:after="200"/>
      </w:pPr>
    </w:p>
    <w:p>
      <w:pPr>
        <w:pStyle w:val="Heading2"/>
        <w:spacing w:after="80" w:before="200"/>
      </w:pPr>
      <w:r>
        <w:rPr>
          <w:rFonts w:ascii="Arial" w:cs="Arial" w:eastAsia="Arial" w:hAnsi="Arial"/>
          <w:b/>
          <w:bCs/>
          <w:color w:val="0e2a1a"/>
          <w:sz w:val="24"/>
          <w:szCs w:val="24"/>
        </w:rPr>
        <w:t xml:space="preserve">2.2  Agriculture revisions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620"/>
        <w:gridCol w:w="1620"/>
      </w:tblGrid>
      <w:tr>
        <w:trPr>
          <w:tblHeader/>
        </w:trPr>
        <w:tc>
          <w:tcPr>
            <w:tcW w:type="dxa" w:w="28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Sub-sector</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Q1 old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Q1 revised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Q2 old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Q2 revised</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left"/>
            </w:pPr>
            <w:r>
              <w:rPr>
                <w:rFonts w:ascii="Arial" w:cs="Arial" w:eastAsia="Arial" w:hAnsi="Arial"/>
                <w:b/>
                <w:bCs/>
                <w:color w:val="2c2c2c"/>
                <w:sz w:val="17"/>
                <w:szCs w:val="17"/>
              </w:rPr>
              <w:t xml:space="preserve">Agriculture (total)</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2.72%</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0f6e56"/>
                <w:sz w:val="17"/>
                <w:szCs w:val="17"/>
              </w:rPr>
              <w:t xml:space="preserve">2.95%</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1.76%</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0f6e56"/>
                <w:sz w:val="17"/>
                <w:szCs w:val="17"/>
              </w:rPr>
              <w:t xml:space="preserve">2.64%</w:t>
            </w:r>
          </w:p>
        </w:tc>
      </w:tr>
      <w:tr>
        <w:tc>
          <w:tcPr>
            <w:tcW w:type="dxa" w:w="28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Other crops</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-6.90%</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+1.93%</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-5.69%</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+2.39%</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Fishing</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0.91%</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2.45%</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0.77%</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1.47%</w:t>
            </w:r>
          </w:p>
        </w:tc>
      </w:tr>
      <w:tr>
        <w:tc>
          <w:tcPr>
            <w:tcW w:type="dxa" w:w="28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Livestock</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6.18%</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4.67%</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r>
    </w:tbl>
    <w:p>
      <w:pPr>
        <w:spacing w:after="200"/>
      </w:pPr>
    </w:p>
    <w:p>
      <w:pPr>
        <w:pStyle w:val="Heading2"/>
        <w:spacing w:after="80" w:before="200"/>
      </w:pPr>
      <w:r>
        <w:rPr>
          <w:rFonts w:ascii="Arial" w:cs="Arial" w:eastAsia="Arial" w:hAnsi="Arial"/>
          <w:b/>
          <w:bCs/>
          <w:color w:val="0e2a1a"/>
          <w:sz w:val="24"/>
          <w:szCs w:val="24"/>
        </w:rPr>
        <w:t xml:space="preserve">2.3  Industry revisions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620"/>
        <w:gridCol w:w="1620"/>
      </w:tblGrid>
      <w:tr>
        <w:trPr>
          <w:tblHeader/>
        </w:trPr>
        <w:tc>
          <w:tcPr>
            <w:tcW w:type="dxa" w:w="28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Sub-sector</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Q1 old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Q1 revised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Q2 old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Q2 revised</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left"/>
            </w:pPr>
            <w:r>
              <w:rPr>
                <w:rFonts w:ascii="Arial" w:cs="Arial" w:eastAsia="Arial" w:hAnsi="Arial"/>
                <w:b/>
                <w:bCs/>
                <w:color w:val="2c2c2c"/>
                <w:sz w:val="17"/>
                <w:szCs w:val="17"/>
              </w:rPr>
              <w:t xml:space="preserve">Industry (total)</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8.86%</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392b"/>
                <w:sz w:val="17"/>
                <w:szCs w:val="17"/>
              </w:rPr>
              <w:t xml:space="preserve">7.80%</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7.40%</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392b"/>
                <w:sz w:val="17"/>
                <w:szCs w:val="17"/>
              </w:rPr>
              <w:t xml:space="preserve">6.68%</w:t>
            </w:r>
          </w:p>
        </w:tc>
      </w:tr>
      <w:tr>
        <w:tc>
          <w:tcPr>
            <w:tcW w:type="dxa" w:w="28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Electricity &amp; water</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24.51%</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21.38%</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Construction</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19.22%</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15.93%</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10.53%</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6.42%</w:t>
            </w:r>
          </w:p>
        </w:tc>
      </w:tr>
    </w:tbl>
    <w:p>
      <w:pPr>
        <w:spacing w:after="200"/>
      </w:pPr>
    </w:p>
    <w:p>
      <w:pPr>
        <w:pStyle w:val="Heading2"/>
        <w:spacing w:after="80" w:before="200"/>
      </w:pPr>
      <w:r>
        <w:rPr>
          <w:rFonts w:ascii="Arial" w:cs="Arial" w:eastAsia="Arial" w:hAnsi="Arial"/>
          <w:b/>
          <w:bCs/>
          <w:color w:val="0e2a1a"/>
          <w:sz w:val="24"/>
          <w:szCs w:val="24"/>
        </w:rPr>
        <w:t xml:space="preserve">2.4  Services revisions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620"/>
        <w:gridCol w:w="1620"/>
      </w:tblGrid>
      <w:tr>
        <w:trPr>
          <w:tblHeader/>
        </w:trPr>
        <w:tc>
          <w:tcPr>
            <w:tcW w:type="dxa" w:w="288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Sub-sector</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Q1 old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Q1 revised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Q2 old</w:t>
            </w:r>
          </w:p>
        </w:tc>
        <w:tc>
          <w:tcPr>
            <w:tcW w:type="dxa" w:w="162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Q2 revised</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left"/>
            </w:pPr>
            <w:r>
              <w:rPr>
                <w:rFonts w:ascii="Arial" w:cs="Arial" w:eastAsia="Arial" w:hAnsi="Arial"/>
                <w:b/>
                <w:bCs/>
                <w:color w:val="2c2c2c"/>
                <w:sz w:val="17"/>
                <w:szCs w:val="17"/>
              </w:rPr>
              <w:t xml:space="preserve">Services (total)</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2.44%</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0f6e56"/>
                <w:sz w:val="17"/>
                <w:szCs w:val="17"/>
              </w:rPr>
              <w:t xml:space="preserve">3.16%</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3.69%</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0f6e56"/>
                <w:sz w:val="17"/>
                <w:szCs w:val="17"/>
              </w:rPr>
              <w:t xml:space="preserve">3.83%</w:t>
            </w:r>
          </w:p>
        </w:tc>
      </w:tr>
      <w:tr>
        <w:tc>
          <w:tcPr>
            <w:tcW w:type="dxa" w:w="2880"/>
            <w:tcBorders>
              <w:top w:val="single" w:color="d0ddd6" w:sz="1"/>
              <w:left w:val="single" w:color="d0ddd6" w:sz="1"/>
              <w:bottom w:val="single" w:color="d0ddd6" w:sz="1"/>
              <w:right w:val="single" w:color="d0ddd6" w:sz="1"/>
            </w:tcBorders>
            <w:shd w:fill="f9faf7"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Info &amp; communication</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-29.66%</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-7.63%</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-5.95%</w:t>
            </w:r>
          </w:p>
        </w:tc>
        <w:tc>
          <w:tcPr>
            <w:tcW w:type="dxa" w:w="1620"/>
            <w:tcBorders>
              <w:top w:val="single" w:color="d0ddd6" w:sz="1"/>
              <w:left w:val="single" w:color="d0ddd6" w:sz="1"/>
              <w:bottom w:val="single" w:color="d0ddd6" w:sz="1"/>
              <w:right w:val="single" w:color="d0ddd6" w:sz="1"/>
            </w:tcBorders>
            <w:shd w:fill="f9faf7" w:val="clear"/>
            <w:tcMar>
              <w:top w:type="dxa" w:w="70"/>
              <w:left w:type="dxa" w:w="120"/>
              <w:bottom w:type="dxa" w:w="70"/>
              <w:right w:type="dxa" w:w="120"/>
            </w:tcMar>
            <w:vAlign w:val="center"/>
          </w:tcPr>
          <w:p>
            <w:pPr>
              <w:jc w:val="center"/>
            </w:pPr>
            <w:r>
              <w:rPr>
                <w:rFonts w:ascii="Arial" w:cs="Arial" w:eastAsia="Arial" w:hAnsi="Arial"/>
                <w:color w:val="c0392b"/>
                <w:sz w:val="17"/>
                <w:szCs w:val="17"/>
              </w:rPr>
              <w:t xml:space="preserve">-1.27%</w:t>
            </w:r>
          </w:p>
        </w:tc>
      </w:tr>
      <w:tr>
        <w:tc>
          <w:tcPr>
            <w:tcW w:type="dxa" w:w="2880"/>
            <w:tcBorders>
              <w:top w:val="single" w:color="d0ddd6" w:sz="1"/>
              <w:left w:val="single" w:color="d0ddd6" w:sz="1"/>
              <w:bottom w:val="single" w:color="d0ddd6" w:sz="1"/>
              <w:right w:val="single" w:color="d0ddd6" w:sz="1"/>
            </w:tcBorders>
            <w:shd w:fill="FFFFFF" w:val="clear"/>
            <w:tcMar>
              <w:top w:type="dxa" w:w="70"/>
              <w:left w:type="dxa" w:w="240"/>
              <w:bottom w:type="dxa" w:w="70"/>
              <w:right w:type="dxa" w:w="120"/>
            </w:tcMar>
            <w:vAlign w:val="center"/>
          </w:tcPr>
          <w:p>
            <w:pPr>
              <w:jc w:val="left"/>
            </w:pPr>
            <w:r>
              <w:rPr>
                <w:rFonts w:ascii="Arial" w:cs="Arial" w:eastAsia="Arial" w:hAnsi="Arial"/>
                <w:color w:val="2c2c2c"/>
                <w:sz w:val="17"/>
                <w:szCs w:val="17"/>
              </w:rPr>
              <w:t xml:space="preserve">Wholesale &amp; retail</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2c2c2c"/>
                <w:sz w:val="17"/>
                <w:szCs w:val="17"/>
              </w:rPr>
              <w:t xml:space="preserve">4.46%</w:t>
            </w:r>
          </w:p>
        </w:tc>
        <w:tc>
          <w:tcPr>
            <w:tcW w:type="dxa" w:w="1620"/>
            <w:tcBorders>
              <w:top w:val="single" w:color="d0ddd6" w:sz="1"/>
              <w:left w:val="single" w:color="d0ddd6" w:sz="1"/>
              <w:bottom w:val="single" w:color="d0ddd6" w:sz="1"/>
              <w:right w:val="single" w:color="d0ddd6" w:sz="1"/>
            </w:tcBorders>
            <w:shd w:fill="FFFFFF" w:val="clear"/>
            <w:tcMar>
              <w:top w:type="dxa" w:w="70"/>
              <w:left w:type="dxa" w:w="120"/>
              <w:bottom w:type="dxa" w:w="70"/>
              <w:right w:type="dxa" w:w="120"/>
            </w:tcMar>
            <w:vAlign w:val="center"/>
          </w:tcPr>
          <w:p>
            <w:pPr>
              <w:jc w:val="center"/>
            </w:pPr>
            <w:r>
              <w:rPr>
                <w:rFonts w:ascii="Arial" w:cs="Arial" w:eastAsia="Arial" w:hAnsi="Arial"/>
                <w:color w:val="0f6e56"/>
                <w:sz w:val="17"/>
                <w:szCs w:val="17"/>
              </w:rPr>
              <w:t xml:space="preserve">4.66%</w:t>
            </w:r>
          </w:p>
        </w:tc>
      </w:tr>
    </w:tbl>
    <w:p>
      <w:pPr>
        <w:spacing w:after="300"/>
      </w:pPr>
    </w:p>
    <w:p>
      <w:pPr>
        <w:pStyle w:val="Heading1"/>
        <w:pBdr>
          <w:bottom w:val="single" w:color="c9a84c" w:sz="6" w:space="1"/>
        </w:pBdr>
        <w:spacing w:after="120" w:before="280"/>
      </w:pPr>
      <w:r>
        <w:rPr>
          <w:rFonts w:ascii="Arial" w:cs="Arial" w:eastAsia="Arial" w:hAnsi="Arial"/>
          <w:b/>
          <w:bCs/>
          <w:color w:val="1a6b3c"/>
          <w:sz w:val="28"/>
          <w:szCs w:val="28"/>
        </w:rPr>
        <w:t xml:space="preserve">Section 3 — Key Observations for Class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2"/>
              <w:bottom w:val="single" w:color="1a6b3c" w:sz="1"/>
              <w:right w:val="none" w:color="FFFFFF" w:sz="0"/>
            </w:tcBorders>
            <w:shd w:fill="eef5f0" w:val="clear"/>
            <w:tcMar>
              <w:top w:type="dxa" w:w="100"/>
              <w:left w:type="dxa" w:w="160"/>
              <w:bottom w:type="dxa" w:w="100"/>
              <w:right w:type="dxa" w:w="160"/>
            </w:tcMar>
          </w:tcPr>
          <w:p>
            <w:pPr>
              <w:spacing w:after="40"/>
            </w:pPr>
            <w:r>
              <w:rPr>
                <w:rFonts w:ascii="Arial" w:cs="Arial" w:eastAsia="Arial" w:hAnsi="Arial"/>
                <w:b/>
                <w:bCs/>
                <w:color w:val="1a6b3c"/>
                <w:sz w:val="18"/>
                <w:szCs w:val="18"/>
              </w:rPr>
              <w:t xml:space="preserve">1.  Growth is real — but lopsided</w:t>
            </w:r>
          </w:p>
          <w:p>
            <w:pPr>
              <w:spacing w:after="0"/>
            </w:pPr>
            <w:r>
              <w:rPr>
                <w:rFonts w:ascii="Arial" w:cs="Arial" w:eastAsia="Arial" w:hAnsi="Arial"/>
                <w:color w:val="2c2c2c"/>
                <w:sz w:val="18"/>
                <w:szCs w:val="18"/>
              </w:rPr>
              <w:t xml:space="preserve">The 4% headline figure is within the SBP forecast band and represents a genuine recovery. However, it rests on three LSM sub-sectors (apparel assembly, automobiles, cement) that have limited employment creation potential relative to the 3-4 million new labour force entrants each year. The Lewis dual-sector mechanism requires broad industrial absorption of agricultural surplus labour — this growth pattern does not deliver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2"/>
              <w:bottom w:val="single" w:color="1a6b3c" w:sz="1"/>
              <w:right w:val="none" w:color="FFFFFF" w:sz="0"/>
            </w:tcBorders>
            <w:shd w:fill="eef5f0" w:val="clear"/>
            <w:tcMar>
              <w:top w:type="dxa" w:w="100"/>
              <w:left w:type="dxa" w:w="160"/>
              <w:bottom w:type="dxa" w:w="100"/>
              <w:right w:type="dxa" w:w="160"/>
            </w:tcMar>
          </w:tcPr>
          <w:p>
            <w:pPr>
              <w:spacing w:after="40"/>
            </w:pPr>
            <w:r>
              <w:rPr>
                <w:rFonts w:ascii="Arial" w:cs="Arial" w:eastAsia="Arial" w:hAnsi="Arial"/>
                <w:b/>
                <w:bCs/>
                <w:color w:val="1a6b3c"/>
                <w:sz w:val="18"/>
                <w:szCs w:val="18"/>
              </w:rPr>
              <w:t xml:space="preserve">2.  The revision pattern reveals a structural story</w:t>
            </w:r>
          </w:p>
          <w:p>
            <w:pPr>
              <w:spacing w:after="0"/>
            </w:pPr>
            <w:r>
              <w:rPr>
                <w:rFonts w:ascii="Arial" w:cs="Arial" w:eastAsia="Arial" w:hAnsi="Arial"/>
                <w:color w:val="2c2c2c"/>
                <w:sz w:val="18"/>
                <w:szCs w:val="18"/>
              </w:rPr>
              <w:t xml:space="preserve">Across both Q1 and Q2, agriculture and services were revised upward; industry was revised downward — and construction drove the downgrade in both quarters. This pattern is consistent with an economy where formal capital investment remains subdued despite macro stabilisation.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a00" w:sz="1"/>
              <w:left w:val="single" w:color="b86a00" w:sz="12"/>
              <w:bottom w:val="single" w:color="b86a00" w:sz="1"/>
              <w:right w:val="none" w:color="FFFFFF" w:sz="0"/>
            </w:tcBorders>
            <w:shd w:fill="fffbeb" w:val="clear"/>
            <w:tcMar>
              <w:top w:type="dxa" w:w="100"/>
              <w:left w:type="dxa" w:w="160"/>
              <w:bottom w:type="dxa" w:w="100"/>
              <w:right w:type="dxa" w:w="160"/>
            </w:tcMar>
          </w:tcPr>
          <w:p>
            <w:pPr>
              <w:spacing w:after="40"/>
            </w:pPr>
            <w:r>
              <w:rPr>
                <w:rFonts w:ascii="Arial" w:cs="Arial" w:eastAsia="Arial" w:hAnsi="Arial"/>
                <w:b/>
                <w:bCs/>
                <w:color w:val="b86a00"/>
                <w:sz w:val="18"/>
                <w:szCs w:val="18"/>
              </w:rPr>
              <w:t xml:space="preserve">3.  Electricity contraction is partly statistical — but the underlying problem is real</w:t>
            </w:r>
          </w:p>
          <w:p>
            <w:pPr>
              <w:spacing w:after="0"/>
            </w:pPr>
            <w:r>
              <w:rPr>
                <w:rFonts w:ascii="Arial" w:cs="Arial" w:eastAsia="Arial" w:hAnsi="Arial"/>
                <w:color w:val="2c2c2c"/>
                <w:sz w:val="18"/>
                <w:szCs w:val="18"/>
              </w:rPr>
              <w:t xml:space="preserve">The -13.53% in electricity output in Q3 reflects the base-year effect of the prior year's circular debt clearing. The circular debt stock itself (PKR 2,842B as of Dec 2024) and the high industrial tariff burden that is making manufacturing uncompetitive remain unresolved structural problems.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none" w:color="FFFFFF" w:sz="0"/>
            </w:tcBorders>
            <w:shd w:fill="fdf2f2" w:val="clear"/>
            <w:tcMar>
              <w:top w:type="dxa" w:w="100"/>
              <w:left w:type="dxa" w:w="160"/>
              <w:bottom w:type="dxa" w:w="100"/>
              <w:right w:type="dxa" w:w="160"/>
            </w:tcMar>
          </w:tcPr>
          <w:p>
            <w:pPr>
              <w:spacing w:after="40"/>
            </w:pPr>
            <w:r>
              <w:rPr>
                <w:rFonts w:ascii="Arial" w:cs="Arial" w:eastAsia="Arial" w:hAnsi="Arial"/>
                <w:b/>
                <w:bCs/>
                <w:color w:val="c0392b"/>
                <w:sz w:val="18"/>
                <w:szCs w:val="18"/>
              </w:rPr>
              <w:t xml:space="preserve">4.  Data methodology requires scrutiny</w:t>
            </w:r>
          </w:p>
          <w:p>
            <w:pPr>
              <w:spacing w:after="0"/>
            </w:pPr>
            <w:r>
              <w:rPr>
                <w:rFonts w:ascii="Arial" w:cs="Arial" w:eastAsia="Arial" w:hAnsi="Arial"/>
                <w:color w:val="2c2c2c"/>
                <w:sz w:val="18"/>
                <w:szCs w:val="18"/>
              </w:rPr>
              <w:t xml:space="preserve">Two methodological concerns warrant attention. First, private investment in construction and SMEs is estimated via survey pro-formas not cross-checked with SBP credit data or construction material output — making the investment series difficult to validate. Second, government services growth is based on budgeted rather than actual expenditure, making downward revision likely. Critical reading of official statistics is itself an economics skill.</w:t>
            </w:r>
          </w:p>
        </w:tc>
      </w:tr>
    </w:tbl>
    <w:p>
      <w:pPr>
        <w:spacing w:after="300"/>
      </w:pPr>
    </w:p>
    <w:p>
      <w:pPr>
        <w:pBdr>
          <w:top w:val="single" w:color="cccccc" w:sz="2" w:space="1"/>
        </w:pBdr>
        <w:spacing w:after="60" w:before="100"/>
        <w:jc w:val="center"/>
      </w:pPr>
      <w:r>
        <w:rPr>
          <w:rFonts w:ascii="Arial" w:cs="Arial" w:eastAsia="Arial" w:hAnsi="Arial"/>
          <w:i/>
          <w:iCs/>
          <w:color w:val="4a6355"/>
          <w:sz w:val="16"/>
          <w:szCs w:val="16"/>
        </w:rPr>
        <w:t xml:space="preserve">Source: National Accounts Committee, 117th Meeting, May 14 2026, Ministry of Planning &amp; Development, Islamabad</w:t>
      </w:r>
    </w:p>
    <w:p>
      <w:pPr>
        <w:jc w:val="center"/>
      </w:pPr>
      <w:r>
        <w:rPr>
          <w:rFonts w:ascii="Arial" w:cs="Arial" w:eastAsia="Arial" w:hAnsi="Arial"/>
          <w:i/>
          <w:iCs/>
          <w:color w:val="4a6355"/>
          <w:sz w:val="16"/>
          <w:szCs w:val="16"/>
        </w:rPr>
        <w:t xml:space="preserve">Economy of Pakistan  ·  School of Economics, Quaid-i-Azam University  ·  Prof. Dr. Zahid Asghar  ·  Spring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4a6355"/>
        <w:sz w:val="14"/>
        <w:szCs w:val="14"/>
      </w:rPr>
      <w:t xml:space="preserve">Economy of Pakistan  ·  School of Economics, QAU  ·  Spring 2026     |     Page </w:t>
    </w:r>
    <w:r>
      <w:rPr>
        <w:rFonts w:ascii="Arial" w:cs="Arial" w:eastAsia="Arial" w:hAnsi="Arial"/>
        <w:color w:val="4a6355"/>
        <w:sz w:val="14"/>
        <w:szCs w:val="14"/>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80"/>
      <w:jc w:val="right"/>
    </w:pPr>
    <w:r>
      <w:rPr>
        <w:rFonts w:ascii="Arial" w:cs="Arial" w:eastAsia="Arial" w:hAnsi="Arial"/>
        <w:color w:val="4a6355"/>
        <w:sz w:val="16"/>
        <w:szCs w:val="16"/>
      </w:rPr>
      <w:t xml:space="preserve">Pakistan GDP — 117th NAC Meeting | Q3 FY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e2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2026-05-19T06:31:54.308Z</dcterms:created>
  <dcterms:modified xsi:type="dcterms:W3CDTF">2026-05-19T06:31:54.308Z</dcterms:modified>
</cp:coreProperties>
</file>

<file path=docProps/custom.xml><?xml version="1.0" encoding="utf-8"?>
<Properties xmlns="http://schemas.openxmlformats.org/officeDocument/2006/custom-properties" xmlns:vt="http://schemas.openxmlformats.org/officeDocument/2006/docPropsVTypes"/>
</file>