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Ашуров</w:t>
      </w:r>
      <w:r>
        <w:t xml:space="preserve"> </w:t>
      </w:r>
      <w:r>
        <w:t xml:space="preserve">Захид</w:t>
      </w:r>
      <w:r>
        <w:t xml:space="preserve"> </w:t>
      </w:r>
      <w:r>
        <w:t xml:space="preserve">Фамил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работы в Midnight Commander. Освоить инструкцию языка ассемблера mov и int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Подключение внешнего файла in_out.asm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Midnight Commander</w:t>
      </w:r>
      <w:r>
        <w:t xml:space="preserve"> </w:t>
      </w: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  <w:r>
        <w:t xml:space="preserve"> </w:t>
      </w:r>
      <w:r>
        <w:t xml:space="preserve">Для активации оболочки Midnight Commander достаточно ввести в командной строке mc и</w:t>
      </w:r>
      <w:r>
        <w:t xml:space="preserve"> </w:t>
      </w:r>
      <w:r>
        <w:t xml:space="preserve">нажать клавишу Enter.</w:t>
      </w:r>
      <w:r>
        <w:t xml:space="preserve"> </w:t>
      </w:r>
      <w:r>
        <w:t xml:space="preserve">В Midnight Commander используются функциональные клавиши F1 — F10 , к которым</w:t>
      </w:r>
      <w:r>
        <w:t xml:space="preserve"> </w:t>
      </w:r>
      <w:r>
        <w:t xml:space="preserve">привязаны часто выполняемые операции.</w:t>
      </w:r>
    </w:p>
    <w:p>
      <w:pPr>
        <w:pStyle w:val="FirstParagraph"/>
      </w:pPr>
      <w:r>
        <w:t xml:space="preserve">Дополнительную информацию о Midnight Commander можно получить по команде man</w:t>
      </w:r>
      <w:r>
        <w:t xml:space="preserve"> </w:t>
      </w:r>
      <w:r>
        <w:t xml:space="preserve">mc и на странице проекта.</w:t>
      </w:r>
    </w:p>
    <w:p>
      <w:pPr>
        <w:numPr>
          <w:ilvl w:val="0"/>
          <w:numId w:val="1002"/>
        </w:numPr>
        <w:pStyle w:val="Compact"/>
      </w:pPr>
      <w:r>
        <w:t xml:space="preserve">Структура программы на языке ассемблера NASM</w:t>
      </w:r>
      <w:r>
        <w:t xml:space="preserve"> </w:t>
      </w:r>
      <w:r>
        <w:t xml:space="preserve">Программа на языке ассемблера NASM, как правило, состоит из трёх секций: секция кода</w:t>
      </w:r>
      <w:r>
        <w:t xml:space="preserve"> </w:t>
      </w:r>
      <w:r>
        <w:t xml:space="preserve">программы (SECTION .text), 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 (тех, под которые во</w:t>
      </w:r>
      <w:r>
        <w:t xml:space="preserve"> </w:t>
      </w:r>
      <w:r>
        <w:t xml:space="preserve">время компиляции только отводится память, а значение присваивается в ходе выполнения</w:t>
      </w:r>
      <w:r>
        <w:t xml:space="preserve"> </w:t>
      </w:r>
      <w:r>
        <w:t xml:space="preserve">программы) (SECTION .bss).</w:t>
      </w:r>
      <w:r>
        <w:t xml:space="preserve"> </w:t>
      </w:r>
      <w:r>
        <w:t xml:space="preserve">Таким образом, общая структура программы имеет следующий вид:</w:t>
      </w:r>
    </w:p>
    <w:p>
      <w:pPr>
        <w:pStyle w:val="FirstParagraph"/>
      </w:pPr>
      <w:r>
        <w:t xml:space="preserve">SECTION .data ; Секция содержит переменные, для</w:t>
      </w:r>
      <w:r>
        <w:t xml:space="preserve"> </w:t>
      </w:r>
      <w:r>
        <w:t xml:space="preserve">… ; которых задано начальное значение</w:t>
      </w:r>
      <w:r>
        <w:t xml:space="preserve"> </w:t>
      </w:r>
      <w:r>
        <w:t xml:space="preserve">SECTION .bss ; Секция содержит переменные, для</w:t>
      </w:r>
      <w:r>
        <w:t xml:space="preserve"> </w:t>
      </w:r>
      <w:r>
        <w:t xml:space="preserve">… ; которых не задано начальное значение</w:t>
      </w:r>
      <w:r>
        <w:t xml:space="preserve"> </w:t>
      </w:r>
      <w:r>
        <w:t xml:space="preserve">SECTION .text ; Секция содержит код программы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 ; Точка входа в программу</w:t>
      </w:r>
      <w:r>
        <w:t xml:space="preserve"> </w:t>
      </w:r>
      <w:r>
        <w:t xml:space="preserve">… ; Текст программы</w:t>
      </w:r>
      <w:r>
        <w:t xml:space="preserve"> </w:t>
      </w:r>
      <w:r>
        <w:t xml:space="preserve">mov eax,1 ; Системный вызов для выхода (sys_exit)</w:t>
      </w:r>
      <w:r>
        <w:t xml:space="preserve"> </w:t>
      </w:r>
      <w:r>
        <w:t xml:space="preserve">mov ebx,0 ; Выход с кодом возврата 0 (без ошибок)</w:t>
      </w:r>
      <w:r>
        <w:t xml:space="preserve"> </w:t>
      </w:r>
      <w:r>
        <w:t xml:space="preserve">int 80h ; Вызов ядра</w:t>
      </w:r>
    </w:p>
    <w:p>
      <w:pPr>
        <w:pStyle w:val="SourceCode"/>
      </w:pPr>
      <w:r>
        <w:rPr>
          <w:rStyle w:val="VerbatimChar"/>
        </w:rPr>
        <w:t xml:space="preserve">Для объявления инициированных данных в секции .data используются директивы DB, DW,</w:t>
      </w:r>
    </w:p>
    <w:p>
      <w:pPr>
        <w:pStyle w:val="FirstParagraph"/>
      </w:pPr>
      <w:r>
        <w:t xml:space="preserve">DD, DQ и DT, которые резервируют память и указывают, какие значения должны храниться в</w:t>
      </w:r>
      <w:r>
        <w:t xml:space="preserve"> </w:t>
      </w:r>
      <w:r>
        <w:t xml:space="preserve">этой памяти:</w:t>
      </w:r>
    </w:p>
    <w:p>
      <w:pPr>
        <w:pStyle w:val="BodyText"/>
      </w:pPr>
      <w:r>
        <w:t xml:space="preserve">• DB (define byte) — определяет переменную размером в 1 байт;</w:t>
      </w:r>
      <w:r>
        <w:t xml:space="preserve"> </w:t>
      </w:r>
      <w:r>
        <w:t xml:space="preserve">• DW (define word) — определяет переменную размеров в 2 байта (слово);</w:t>
      </w:r>
      <w:r>
        <w:t xml:space="preserve"> </w:t>
      </w:r>
      <w:r>
        <w:t xml:space="preserve">• DD (define double word) — определяет переменную размером в 4 байта (двойное слово);</w:t>
      </w:r>
      <w:r>
        <w:t xml:space="preserve"> </w:t>
      </w:r>
      <w:r>
        <w:t xml:space="preserve">• DQ (define quad word) — определяет переменную размером в 8 байт (учетверённое слово);</w:t>
      </w:r>
      <w:r>
        <w:t xml:space="preserve"> </w:t>
      </w:r>
      <w:r>
        <w:t xml:space="preserve">• DT (define ten bytes) — определяет переменную размером в 10 байт</w:t>
      </w:r>
    </w:p>
    <w:p>
      <w:pPr>
        <w:pStyle w:val="SourceCode"/>
      </w:pPr>
      <w:r>
        <w:rPr>
          <w:rStyle w:val="VerbatimChar"/>
        </w:rPr>
        <w:t xml:space="preserve">Директивы используются для объявления простых переменных и для объявления масси-</w:t>
      </w:r>
    </w:p>
    <w:p>
      <w:pPr>
        <w:pStyle w:val="FirstParagraph"/>
      </w:pPr>
      <w:r>
        <w:t xml:space="preserve">вов. Для определения строк принято использовать директиву DB в связи с особенностями</w:t>
      </w:r>
      <w:r>
        <w:t xml:space="preserve"> </w:t>
      </w:r>
      <w:r>
        <w:t xml:space="preserve">хранения данных в оперативной памяти.</w:t>
      </w:r>
      <w:r>
        <w:t xml:space="preserve"> </w:t>
      </w:r>
      <w:r>
        <w:t xml:space="preserve">Синтаксис директив определения данных следующий:</w:t>
      </w:r>
    </w:p>
    <w:p>
      <w:pPr>
        <w:pStyle w:val="BodyText"/>
      </w:pPr>
      <w:r>
        <w:t xml:space="preserve"> </w:t>
      </w:r>
      <w:r>
        <w:t xml:space="preserve">DB</w:t>
      </w:r>
      <w:r>
        <w:t xml:space="preserve"> </w:t>
      </w:r>
      <w:r>
        <w:t xml:space="preserve"> </w:t>
      </w:r>
      <w:r>
        <w:t xml:space="preserve">[,</w:t>
      </w:r>
      <w:r>
        <w:t xml:space="preserve"> </w:t>
      </w:r>
      <w:r>
        <w:t xml:space="preserve">] [,</w:t>
      </w:r>
      <w:r>
        <w:t xml:space="preserve"> </w:t>
      </w:r>
      <w:r>
        <w:t xml:space="preserve">]</w:t>
      </w:r>
    </w:p>
    <w:p>
      <w:pPr>
        <w:pStyle w:val="SourceCode"/>
      </w:pPr>
      <w:r>
        <w:rPr>
          <w:rStyle w:val="VerbatimChar"/>
        </w:rPr>
        <w:t xml:space="preserve">Для объявления неинициированных данных в секции .bss используются директивы resb,</w:t>
      </w:r>
    </w:p>
    <w:p>
      <w:pPr>
        <w:pStyle w:val="FirstParagraph"/>
      </w:pPr>
      <w:r>
        <w:t xml:space="preserve">resw, resd и другие, которые сообщают ассемблеру, что необходимо зарезервировать за-</w:t>
      </w:r>
      <w:r>
        <w:t xml:space="preserve"> </w:t>
      </w:r>
      <w:r>
        <w:t xml:space="preserve">данное количество ячеек памяти.</w:t>
      </w:r>
    </w:p>
    <w:p>
      <w:pPr>
        <w:numPr>
          <w:ilvl w:val="0"/>
          <w:numId w:val="1003"/>
        </w:numPr>
      </w:pPr>
      <w:r>
        <w:t xml:space="preserve">Элементы программирования</w:t>
      </w:r>
    </w:p>
    <w:p>
      <w:pPr>
        <w:numPr>
          <w:ilvl w:val="0"/>
          <w:numId w:val="1003"/>
        </w:numPr>
      </w:pPr>
      <w:r>
        <w:t xml:space="preserve">Описание инструкции mov</w:t>
      </w:r>
    </w:p>
    <w:p>
      <w:pPr>
        <w:numPr>
          <w:ilvl w:val="0"/>
          <w:numId w:val="1000"/>
        </w:numPr>
      </w:pPr>
      <w:r>
        <w:t xml:space="preserve">Инструкция языка ассемблера mov предназначена для дублирования данных источника в</w:t>
      </w:r>
      <w:r>
        <w:t xml:space="preserve"> </w:t>
      </w:r>
      <w:r>
        <w:t xml:space="preserve">приёмнике. В общем виде эта инструкция записывается в виде</w:t>
      </w:r>
      <w:r>
        <w:t xml:space="preserve"> </w:t>
      </w:r>
      <w:r>
        <w:t xml:space="preserve">mov dst,src</w:t>
      </w:r>
    </w:p>
    <w:p>
      <w:pPr>
        <w:numPr>
          <w:ilvl w:val="0"/>
          <w:numId w:val="1000"/>
        </w:numPr>
      </w:pPr>
      <w:r>
        <w:t xml:space="preserve">Здесь операнд dst — приёмник, а src — источник.</w:t>
      </w:r>
      <w:r>
        <w:t xml:space="preserve"> </w:t>
      </w:r>
      <w:r>
        <w:t xml:space="preserve">В качестве операнда могут выступать регистры (register), ячейки памяти (memory) и непо-</w:t>
      </w:r>
      <w:r>
        <w:t xml:space="preserve"> </w:t>
      </w:r>
      <w:r>
        <w:t xml:space="preserve">средственные значения (const). В табл. 5.4 приведены варианты использования mov с разны-</w:t>
      </w:r>
      <w:r>
        <w:t xml:space="preserve"> </w:t>
      </w:r>
      <w:r>
        <w:t xml:space="preserve">ми операндами.</w:t>
      </w:r>
    </w:p>
    <w:p>
      <w:pPr>
        <w:numPr>
          <w:ilvl w:val="0"/>
          <w:numId w:val="1000"/>
        </w:numPr>
      </w:pPr>
      <w:r>
        <w:t xml:space="preserve">ВАЖНО! Переслать значение из одной ячейки памяти в другую нельзя, для этого необхо-</w:t>
      </w:r>
      <w:r>
        <w:t xml:space="preserve"> </w:t>
      </w:r>
      <w:r>
        <w:t xml:space="preserve">димо использовать две инструкции mov:</w:t>
      </w:r>
    </w:p>
    <w:p>
      <w:pPr>
        <w:pStyle w:val="FirstParagraph"/>
      </w:pPr>
      <w:r>
        <w:t xml:space="preserve">mov eax, x</w:t>
      </w:r>
      <w:r>
        <w:t xml:space="preserve"> </w:t>
      </w:r>
      <w:r>
        <w:t xml:space="preserve">mov y, eax</w:t>
      </w:r>
    </w:p>
    <w:p>
      <w:pPr>
        <w:pStyle w:val="SourceCode"/>
      </w:pPr>
      <w:r>
        <w:rPr>
          <w:rStyle w:val="VerbatimChar"/>
        </w:rPr>
        <w:t xml:space="preserve">Также необходимо учитывать то, что размер операндов приемника и источника должны</w:t>
      </w:r>
    </w:p>
    <w:p>
      <w:pPr>
        <w:pStyle w:val="FirstParagraph"/>
      </w:pPr>
      <w:r>
        <w:t xml:space="preserve">совпадать. Использование слудующих примеров приведет к ошибке:</w:t>
      </w:r>
    </w:p>
    <w:p>
      <w:pPr>
        <w:pStyle w:val="BodyText"/>
      </w:pPr>
      <w:r>
        <w:t xml:space="preserve">• mov al,1000h — ошибка, попытка записать 2-байтное число в 1-байтный регистр;</w:t>
      </w:r>
      <w:r>
        <w:t xml:space="preserve"> </w:t>
      </w:r>
      <w:r>
        <w:t xml:space="preserve">• mov eax,cx — ошибка, размеры операндов не совпадают.</w:t>
      </w:r>
    </w:p>
    <w:p>
      <w:pPr>
        <w:numPr>
          <w:ilvl w:val="0"/>
          <w:numId w:val="1004"/>
        </w:numPr>
        <w:pStyle w:val="Compact"/>
      </w:pPr>
      <w:r>
        <w:t xml:space="preserve">Описание инструкции int</w:t>
      </w:r>
      <w:r>
        <w:t xml:space="preserve"> </w:t>
      </w:r>
      <w:r>
        <w:t xml:space="preserve">Инструкция языка ассемблера intпредназначена для вызова прерывания с указанным</w:t>
      </w:r>
      <w:r>
        <w:t xml:space="preserve"> </w:t>
      </w:r>
      <w:r>
        <w:t xml:space="preserve">номером. В общем виде она записывается в виде</w:t>
      </w:r>
    </w:p>
    <w:p>
      <w:pPr>
        <w:pStyle w:val="FirstParagraph"/>
      </w:pPr>
      <w:r>
        <w:t xml:space="preserve">int n</w:t>
      </w:r>
    </w:p>
    <w:p>
      <w:pPr>
        <w:pStyle w:val="SourceCode"/>
      </w:pPr>
      <w:r>
        <w:rPr>
          <w:rStyle w:val="VerbatimChar"/>
        </w:rPr>
        <w:t xml:space="preserve">Здесь n — номер прерывания, принадлежащий диапазону 0–255.</w:t>
      </w:r>
      <w:r>
        <w:br/>
      </w:r>
      <w:r>
        <w:rPr>
          <w:rStyle w:val="VerbatimChar"/>
        </w:rPr>
        <w:t xml:space="preserve">При программировании в Linux с использованием вызовов ядра sys_calls n=80h (принято</w:t>
      </w:r>
    </w:p>
    <w:p>
      <w:pPr>
        <w:pStyle w:val="FirstParagraph"/>
      </w:pPr>
      <w:r>
        <w:t xml:space="preserve">задавать в шестнадцатеричной системе счисления).</w:t>
      </w:r>
    </w:p>
    <w:p>
      <w:pPr>
        <w:pStyle w:val="SourceCode"/>
      </w:pPr>
      <w:r>
        <w:rPr>
          <w:rStyle w:val="VerbatimChar"/>
        </w:rPr>
        <w:t xml:space="preserve">После вызова инструкции int 80h выполняется системный вызов какой-либо функции</w:t>
      </w:r>
    </w:p>
    <w:p>
      <w:pPr>
        <w:pStyle w:val="FirstParagraph"/>
      </w:pPr>
      <w:r>
        <w:t xml:space="preserve">ядра Linux. При этом происходит передача управления ядру операционной системы. Чтобы</w:t>
      </w:r>
      <w:r>
        <w:t xml:space="preserve"> </w:t>
      </w:r>
      <w:r>
        <w:t xml:space="preserve">узнать, какую именно системную функцию нужно выполнить, ядро извлекает номер систем-</w:t>
      </w:r>
      <w:r>
        <w:t xml:space="preserve"> </w:t>
      </w:r>
      <w:r>
        <w:t xml:space="preserve">ного вызова из регистра eax. Поэтому перед вызовом прерывания необходимо поместить в</w:t>
      </w:r>
      <w:r>
        <w:t xml:space="preserve"> </w:t>
      </w:r>
      <w:r>
        <w:t xml:space="preserve">этот регистр нужный номер. Кроме того, многим системным функциям требуется передавать</w:t>
      </w:r>
      <w:r>
        <w:t xml:space="preserve"> </w:t>
      </w:r>
      <w:r>
        <w:t xml:space="preserve">какие-либо параметры. По принятым в ОС Linux правилам эти параметры помещаются в по-</w:t>
      </w:r>
      <w:r>
        <w:t xml:space="preserve"> </w:t>
      </w:r>
      <w:r>
        <w:t xml:space="preserve">рядке следования в остальные регистры процессора: ebx, ecx, edx. Если системная функция</w:t>
      </w:r>
      <w:r>
        <w:t xml:space="preserve"> </w:t>
      </w:r>
      <w:r>
        <w:t xml:space="preserve">должна вернуть значение, то она помещает его в регистр eax.</w:t>
      </w:r>
    </w:p>
    <w:p>
      <w:pPr>
        <w:numPr>
          <w:ilvl w:val="0"/>
          <w:numId w:val="1005"/>
        </w:numPr>
      </w:pPr>
      <w:r>
        <w:t xml:space="preserve">Системные вызовы для обеспечения диалога с пользователем</w:t>
      </w:r>
    </w:p>
    <w:p>
      <w:pPr>
        <w:numPr>
          <w:ilvl w:val="0"/>
          <w:numId w:val="1000"/>
        </w:numPr>
      </w:pPr>
      <w:r>
        <w:t xml:space="preserve">Простейший диалог с пользователем требует наличия двух функций — вывода текста на</w:t>
      </w:r>
      <w:r>
        <w:t xml:space="preserve"> </w:t>
      </w:r>
      <w:r>
        <w:t xml:space="preserve">экран и ввода текста с клавиатуры. Простейший способ вывести строку на экран — использо-</w:t>
      </w:r>
      <w:r>
        <w:t xml:space="preserve"> </w:t>
      </w:r>
      <w:r>
        <w:t xml:space="preserve">вать системный вызов write. Этот системный вызов имеет номер 4, поэтому перед вызовом</w:t>
      </w:r>
      <w:r>
        <w:t xml:space="preserve"> </w:t>
      </w:r>
      <w:r>
        <w:t xml:space="preserve">инструкции int необходимо поместить значение 4 в регистр eax. Первым аргументом write,</w:t>
      </w:r>
      <w:r>
        <w:t xml:space="preserve"> </w:t>
      </w:r>
      <w:r>
        <w:t xml:space="preserve">помещаемым в регистр ebx, задаётся дескриптор файла. Для вывода на экран в качестве</w:t>
      </w:r>
      <w:r>
        <w:t xml:space="preserve"> </w:t>
      </w:r>
      <w:r>
        <w:t xml:space="preserve">дескриптора файла нужно указать 1 (это означает «стандартный вывод», т. е. вывод на экран).</w:t>
      </w:r>
      <w:r>
        <w:t xml:space="preserve"> </w:t>
      </w:r>
      <w:r>
        <w:t xml:space="preserve">Вторым аргументом задаётся адрес выводимой строки (помещаем его в регистр ecx, напри-</w:t>
      </w:r>
      <w:r>
        <w:t xml:space="preserve"> </w:t>
      </w:r>
      <w:r>
        <w:t xml:space="preserve">мер, инструкцией mov ecx, msg). Строка может иметь любую длину. Последним аргументом</w:t>
      </w:r>
      <w:r>
        <w:t xml:space="preserve"> </w:t>
      </w:r>
      <w:r>
        <w:t xml:space="preserve">(т.е. в регистре edx) должна задаваться максимальная длина выводимой строки.</w:t>
      </w:r>
      <w:r>
        <w:t xml:space="preserve"> </w:t>
      </w:r>
      <w:r>
        <w:t xml:space="preserve">Для ввода строки с клавиатуры можно использовать аналогичный системный вызов read.</w:t>
      </w:r>
      <w:r>
        <w:t xml:space="preserve"> </w:t>
      </w:r>
      <w:r>
        <w:t xml:space="preserve">Его аргументы – такие же, как у вызова write, только для «чтения» с клавиатуры используется</w:t>
      </w:r>
      <w:r>
        <w:t xml:space="preserve"> </w:t>
      </w:r>
      <w:r>
        <w:t xml:space="preserve">файловый дескриптор 0 (стандартный ввод).</w:t>
      </w:r>
      <w:r>
        <w:t xml:space="preserve"> </w:t>
      </w:r>
      <w:r>
        <w:t xml:space="preserve">Системный вызов exit является обязательным в конце любой программы на языке ассем-</w:t>
      </w:r>
      <w:r>
        <w:t xml:space="preserve"> </w:t>
      </w:r>
      <w:r>
        <w:t xml:space="preserve">блер. Для обозначения конца программы перед вызовом инструкции int 80h необходимо</w:t>
      </w:r>
      <w:r>
        <w:t xml:space="preserve"> </w:t>
      </w:r>
      <w:r>
        <w:t xml:space="preserve">поместить в регистр еах значение 1, а в регистр ebx код завершения 0.</w:t>
      </w:r>
    </w:p>
    <w:bookmarkEnd w:id="22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Midnight Commander (Рис. ??).</w:t>
      </w:r>
    </w:p>
    <w:p>
      <w:pPr>
        <w:pStyle w:val="CaptionedFigure"/>
      </w:pPr>
      <w:r>
        <w:drawing>
          <wp:inline>
            <wp:extent cx="3733800" cy="133703"/>
            <wp:effectExtent b="0" l="0" r="0" t="0"/>
            <wp:docPr descr="Открытие Midnight Commander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Midnight Commander</w:t>
      </w:r>
    </w:p>
    <w:p>
      <w:pPr>
        <w:pStyle w:val="BodyText"/>
      </w:pPr>
      <w:r>
        <w:t xml:space="preserve">Перейти в каталог созданный при выполнении работы №4 (Рис. ??).</w:t>
      </w:r>
    </w:p>
    <w:p>
      <w:pPr>
        <w:pStyle w:val="CaptionedFigure"/>
      </w:pPr>
      <w:r>
        <w:drawing>
          <wp:inline>
            <wp:extent cx="3733800" cy="413118"/>
            <wp:effectExtent b="0" l="0" r="0" t="0"/>
            <wp:docPr descr="Переход в каталог созданный при выполнении лабораторной работы №4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3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созданный при выполнении лабораторной работы №4</w:t>
      </w:r>
    </w:p>
    <w:p>
      <w:pPr>
        <w:pStyle w:val="BodyText"/>
      </w:pPr>
      <w:r>
        <w:t xml:space="preserve">Создаем папку lab05 (Рис. ??).</w:t>
      </w:r>
    </w:p>
    <w:p>
      <w:pPr>
        <w:pStyle w:val="CaptionedFigure"/>
      </w:pPr>
      <w:r>
        <w:drawing>
          <wp:inline>
            <wp:extent cx="3733800" cy="1217269"/>
            <wp:effectExtent b="0" l="0" r="0" t="0"/>
            <wp:docPr descr="Создание папки lab05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7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папки lab05</w:t>
      </w:r>
    </w:p>
    <w:p>
      <w:pPr>
        <w:pStyle w:val="BodyText"/>
      </w:pPr>
      <w:r>
        <w:t xml:space="preserve">Удостоверимся в корректности выполнения (Рис. ??).</w:t>
      </w:r>
    </w:p>
    <w:p>
      <w:pPr>
        <w:pStyle w:val="CaptionedFigure"/>
      </w:pPr>
      <w:r>
        <w:drawing>
          <wp:inline>
            <wp:extent cx="3733800" cy="722417"/>
            <wp:effectExtent b="0" l="0" r="0" t="0"/>
            <wp:docPr descr="Проверка создания папки lab05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2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создания папки lab05</w:t>
      </w:r>
    </w:p>
    <w:p>
      <w:pPr>
        <w:pStyle w:val="BodyText"/>
      </w:pPr>
      <w:r>
        <w:t xml:space="preserve">Переходим в созданную папку (Рис. ??).</w:t>
      </w:r>
    </w:p>
    <w:p>
      <w:pPr>
        <w:pStyle w:val="CaptionedFigure"/>
      </w:pPr>
      <w:r>
        <w:drawing>
          <wp:inline>
            <wp:extent cx="3733800" cy="341602"/>
            <wp:effectExtent b="0" l="0" r="0" t="0"/>
            <wp:docPr descr="Переход в созданную папку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созданную папку</w:t>
      </w:r>
    </w:p>
    <w:p>
      <w:pPr>
        <w:pStyle w:val="BodyText"/>
      </w:pPr>
      <w:r>
        <w:t xml:space="preserve">Создаем файл lab5-1.asm командой touch (Рис. ??).</w:t>
      </w:r>
    </w:p>
    <w:p>
      <w:pPr>
        <w:pStyle w:val="CaptionedFigure"/>
      </w:pPr>
      <w:r>
        <w:drawing>
          <wp:inline>
            <wp:extent cx="3733800" cy="200696"/>
            <wp:effectExtent b="0" l="0" r="0" t="0"/>
            <wp:docPr descr="Создание файла lab5-1.asm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lab5-1.asm</w:t>
      </w:r>
    </w:p>
    <w:p>
      <w:pPr>
        <w:pStyle w:val="BodyText"/>
      </w:pPr>
      <w:r>
        <w:t xml:space="preserve">Вводим текст программы (Рис. ??).</w:t>
      </w:r>
    </w:p>
    <w:p>
      <w:pPr>
        <w:pStyle w:val="CaptionedFigure"/>
      </w:pPr>
      <w:r>
        <w:drawing>
          <wp:inline>
            <wp:extent cx="3733800" cy="2938785"/>
            <wp:effectExtent b="0" l="0" r="0" t="0"/>
            <wp:docPr descr="Ввод текста программы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8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</w:t>
      </w:r>
    </w:p>
    <w:p>
      <w:pPr>
        <w:pStyle w:val="BodyText"/>
      </w:pPr>
      <w:r>
        <w:t xml:space="preserve">Сохраняем текст программы (Рис. ??).</w:t>
      </w:r>
    </w:p>
    <w:p>
      <w:pPr>
        <w:pStyle w:val="CaptionedFigure"/>
      </w:pPr>
      <w:r>
        <w:drawing>
          <wp:inline>
            <wp:extent cx="3733800" cy="537380"/>
            <wp:effectExtent b="0" l="0" r="0" t="0"/>
            <wp:docPr descr="Сохранение текста программы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7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текста программы</w:t>
      </w:r>
    </w:p>
    <w:p>
      <w:pPr>
        <w:pStyle w:val="BodyText"/>
      </w:pPr>
      <w:r>
        <w:t xml:space="preserve">Просмотрим файл lab5-1.asm с помощью функциональной клавиши F3 (Рис. ??)</w:t>
      </w:r>
    </w:p>
    <w:p>
      <w:pPr>
        <w:pStyle w:val="CaptionedFigure"/>
      </w:pPr>
      <w:r>
        <w:drawing>
          <wp:inline>
            <wp:extent cx="3733800" cy="3419043"/>
            <wp:effectExtent b="0" l="0" r="0" t="0"/>
            <wp:docPr descr="Просмотрим файл lab5-1.asm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Просмотрим файл lab5-1.asm</w:t>
      </w:r>
    </w:p>
    <w:p>
      <w:pPr>
        <w:pStyle w:val="BodyText"/>
      </w:pPr>
      <w:r>
        <w:t xml:space="preserve">Оттранслируем текст программы lab5-1.asm в объектный файл (Рис. ??).</w:t>
      </w:r>
    </w:p>
    <w:p>
      <w:pPr>
        <w:pStyle w:val="CaptionedFigure"/>
      </w:pPr>
      <w:r>
        <w:drawing>
          <wp:inline>
            <wp:extent cx="3733800" cy="177992"/>
            <wp:effectExtent b="0" l="0" r="0" t="0"/>
            <wp:docPr descr="Транслирование текста программы lab5-1 в объектный файл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 текста программы lab5-1 в объектный файл</w:t>
      </w:r>
    </w:p>
    <w:p>
      <w:pPr>
        <w:pStyle w:val="BodyText"/>
      </w:pPr>
      <w:r>
        <w:t xml:space="preserve">Запустим получившийся исполняемый файл (Рис. ??).</w:t>
      </w:r>
    </w:p>
    <w:p>
      <w:pPr>
        <w:pStyle w:val="CaptionedFigure"/>
      </w:pPr>
      <w:r>
        <w:drawing>
          <wp:inline>
            <wp:extent cx="3733800" cy="275377"/>
            <wp:effectExtent b="0" l="0" r="0" t="0"/>
            <wp:docPr descr="Запуск исполняемого файла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Скачиваем файл in_out.asm со страницы курса в ТУИС. (Рис. ??).</w:t>
      </w:r>
    </w:p>
    <w:p>
      <w:pPr>
        <w:pStyle w:val="CaptionedFigure"/>
      </w:pPr>
      <w:r>
        <w:drawing>
          <wp:inline>
            <wp:extent cx="3733800" cy="382792"/>
            <wp:effectExtent b="0" l="0" r="0" t="0"/>
            <wp:docPr descr="Скачка файла in_out.asm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Скачка файла in_out.asm</w:t>
      </w:r>
    </w:p>
    <w:p>
      <w:pPr>
        <w:pStyle w:val="BodyText"/>
      </w:pPr>
      <w:r>
        <w:t xml:space="preserve">Проверяем чтоб файл in_out.asm лежал в нужно каталоге (Рис. ??).</w:t>
      </w:r>
    </w:p>
    <w:p>
      <w:pPr>
        <w:pStyle w:val="CaptionedFigure"/>
      </w:pPr>
      <w:r>
        <w:drawing>
          <wp:inline>
            <wp:extent cx="3733800" cy="326904"/>
            <wp:effectExtent b="0" l="0" r="0" t="0"/>
            <wp:docPr descr="Проверка корректности места файла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корректности места файла</w:t>
      </w:r>
    </w:p>
    <w:p>
      <w:pPr>
        <w:pStyle w:val="BodyText"/>
      </w:pPr>
      <w:r>
        <w:t xml:space="preserve">Создаем копию файла lab5-1.asm с именем lab5-2.asm (Рис. ??).</w:t>
      </w:r>
    </w:p>
    <w:p>
      <w:pPr>
        <w:pStyle w:val="CaptionedFigure"/>
      </w:pPr>
      <w:r>
        <w:drawing>
          <wp:inline>
            <wp:extent cx="3733800" cy="2243467"/>
            <wp:effectExtent b="0" l="0" r="0" t="0"/>
            <wp:docPr descr="Создание копии файла lab5-1.asm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3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 lab5-1.asm</w:t>
      </w:r>
    </w:p>
    <w:p>
      <w:pPr>
        <w:pStyle w:val="BodyText"/>
      </w:pPr>
      <w:r>
        <w:t xml:space="preserve">Редактируем текст программы в файле lab5-2.asm (Рис. ??).</w:t>
      </w:r>
    </w:p>
    <w:p>
      <w:pPr>
        <w:pStyle w:val="CaptionedFigure"/>
      </w:pPr>
      <w:r>
        <w:drawing>
          <wp:inline>
            <wp:extent cx="3733800" cy="2228611"/>
            <wp:effectExtent b="0" l="0" r="0" t="0"/>
            <wp:docPr descr="Редактирование текста программы в файле lab5-2.asm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8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текста программы в файле lab5-2.asm</w:t>
      </w:r>
    </w:p>
    <w:p>
      <w:pPr>
        <w:pStyle w:val="BodyText"/>
      </w:pPr>
      <w:r>
        <w:t xml:space="preserve">Заменяем подпрограмму sprintLF на sprint (Рис. ??).</w:t>
      </w:r>
    </w:p>
    <w:p>
      <w:pPr>
        <w:pStyle w:val="CaptionedFigure"/>
      </w:pPr>
      <w:r>
        <w:drawing>
          <wp:inline>
            <wp:extent cx="3733800" cy="2163729"/>
            <wp:effectExtent b="0" l="0" r="0" t="0"/>
            <wp:docPr descr="Замена подпрограммы" title="fig: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3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подпрограммы</w:t>
      </w:r>
    </w:p>
    <w:p>
      <w:pPr>
        <w:pStyle w:val="BodyText"/>
      </w:pPr>
      <w:r>
        <w:t xml:space="preserve">Оттранслируем текс программы (Рис. ??).</w:t>
      </w:r>
    </w:p>
    <w:p>
      <w:pPr>
        <w:pStyle w:val="CaptionedFigure"/>
      </w:pPr>
      <w:r>
        <w:drawing>
          <wp:inline>
            <wp:extent cx="3733800" cy="312190"/>
            <wp:effectExtent b="0" l="0" r="0" t="0"/>
            <wp:docPr descr="Транслирование текста программы" title="fig: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 текста программы</w:t>
      </w:r>
    </w:p>
    <w:p>
      <w:pPr>
        <w:pStyle w:val="BodyText"/>
      </w:pPr>
      <w:r>
        <w:t xml:space="preserve">Запускаем файл (Рис. ??).</w:t>
      </w:r>
    </w:p>
    <w:p>
      <w:pPr>
        <w:pStyle w:val="CaptionedFigure"/>
      </w:pPr>
      <w:r>
        <w:drawing>
          <wp:inline>
            <wp:extent cx="3733800" cy="261281"/>
            <wp:effectExtent b="0" l="0" r="0" t="0"/>
            <wp:docPr descr="Запуск файла" title="fig: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numPr>
          <w:ilvl w:val="0"/>
          <w:numId w:val="1006"/>
        </w:numPr>
        <w:pStyle w:val="Compact"/>
      </w:pPr>
      <w:r>
        <w:t xml:space="preserve">В чем разница?</w:t>
      </w:r>
    </w:p>
    <w:p>
      <w:pPr>
        <w:pStyle w:val="FirstParagraph"/>
      </w:pPr>
      <w:r>
        <w:t xml:space="preserve">Разница между первым исполняемым и вторым файлом в том, что заупск первого запрашивает ввод с новой строки, а при запуске второго файла запрашивает ввод без переноса на новую строку. В этом и заключается различие между подпрограммой sprintLF и sprint.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приобрел практические навыки работы в Midnight Commander, а также освоил инструкции языка ассемблера mov и int</w:t>
      </w:r>
    </w:p>
    <w:bookmarkEnd w:id="78"/>
    <w:bookmarkStart w:id="80" w:name="список-литературы"/>
    <w:p>
      <w:pPr>
        <w:pStyle w:val="Heading1"/>
      </w:pPr>
      <w:r>
        <w:t xml:space="preserve">Список литературы</w:t>
      </w:r>
    </w:p>
    <w:bookmarkStart w:id="79" w:name="refs"/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Ашуров Захид Фамил оглы</dc:creator>
  <dc:language>ru-RU</dc:language>
  <cp:keywords/>
  <dcterms:created xsi:type="dcterms:W3CDTF">2023-11-10T15:15:36Z</dcterms:created>
  <dcterms:modified xsi:type="dcterms:W3CDTF">2023-11-10T15:15:36Z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