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C573" w14:textId="77777777" w:rsidR="00023033" w:rsidRDefault="00023033" w:rsidP="00023033">
      <w:pPr>
        <w:rPr>
          <w:rFonts w:ascii="Calibri" w:hAnsi="Calibri" w:cs="Calibri"/>
          <w:b/>
          <w:bCs/>
          <w:sz w:val="36"/>
          <w:szCs w:val="36"/>
        </w:rPr>
      </w:pPr>
      <w:r w:rsidRPr="00AA7B80">
        <w:rPr>
          <w:rFonts w:ascii="Calibri" w:hAnsi="Calibri" w:cs="Calibri"/>
          <w:b/>
          <w:bCs/>
          <w:sz w:val="36"/>
          <w:szCs w:val="36"/>
        </w:rPr>
        <w:t>Predicting Repeat Purchases in E-Commerce Using Interpretable Machine Learning</w:t>
      </w:r>
    </w:p>
    <w:p w14:paraId="22319755" w14:textId="77777777" w:rsidR="00023033" w:rsidRDefault="00023033" w:rsidP="00023033">
      <w:pPr>
        <w:rPr>
          <w:rFonts w:ascii="Calibri" w:hAnsi="Calibri" w:cs="Calibri"/>
          <w:b/>
          <w:bCs/>
          <w:sz w:val="36"/>
          <w:szCs w:val="36"/>
        </w:rPr>
      </w:pPr>
    </w:p>
    <w:p w14:paraId="63876773" w14:textId="77777777" w:rsidR="00023033" w:rsidRDefault="00023033" w:rsidP="00023033">
      <w:pPr>
        <w:rPr>
          <w:rFonts w:ascii="Calibri" w:hAnsi="Calibri" w:cs="Calibri"/>
          <w:b/>
          <w:bCs/>
          <w:sz w:val="32"/>
          <w:szCs w:val="32"/>
        </w:rPr>
      </w:pPr>
      <w:r w:rsidRPr="00AA7B80">
        <w:rPr>
          <w:rFonts w:ascii="Calibri" w:hAnsi="Calibri" w:cs="Calibri"/>
          <w:b/>
          <w:bCs/>
          <w:sz w:val="32"/>
          <w:szCs w:val="32"/>
        </w:rPr>
        <w:t>1. Strategic Overview of the Business Problem</w:t>
      </w:r>
    </w:p>
    <w:p w14:paraId="5C98A33B" w14:textId="77777777" w:rsidR="00023033" w:rsidRDefault="00023033" w:rsidP="00023033">
      <w:pPr>
        <w:rPr>
          <w:rFonts w:ascii="Calibri" w:hAnsi="Calibri" w:cs="Calibri"/>
          <w:sz w:val="24"/>
          <w:szCs w:val="24"/>
        </w:rPr>
      </w:pPr>
      <w:r w:rsidRPr="00BF4F10">
        <w:rPr>
          <w:rFonts w:ascii="Calibri" w:hAnsi="Calibri" w:cs="Calibri"/>
          <w:sz w:val="24"/>
          <w:szCs w:val="24"/>
        </w:rPr>
        <w:t>In the rapidly evolving field of e-commerce, customer retention has become an essential strategic concern. Businesses should shift their attention from short-term conversions to long-term customer value as acquisition costs keep rising and consumer behaviour progressively fragments.</w:t>
      </w:r>
      <w:r>
        <w:rPr>
          <w:rFonts w:ascii="Calibri" w:hAnsi="Calibri" w:cs="Calibri"/>
          <w:sz w:val="24"/>
          <w:szCs w:val="24"/>
        </w:rPr>
        <w:t xml:space="preserve"> </w:t>
      </w:r>
      <w:r w:rsidRPr="00BF4F10">
        <w:rPr>
          <w:rFonts w:ascii="Calibri" w:hAnsi="Calibri" w:cs="Calibri"/>
          <w:sz w:val="24"/>
          <w:szCs w:val="24"/>
        </w:rPr>
        <w:t>Repeat customers are more likely to spend more, interact with businesses more often, and respond favourably to tailored marketing campaigns (</w:t>
      </w:r>
      <w:r w:rsidRPr="007E5EF1">
        <w:rPr>
          <w:rFonts w:ascii="Calibri" w:hAnsi="Calibri" w:cs="Calibri"/>
          <w:sz w:val="24"/>
          <w:szCs w:val="24"/>
        </w:rPr>
        <w:t xml:space="preserve">(Fader and Hardie, </w:t>
      </w:r>
      <w:r>
        <w:rPr>
          <w:rFonts w:ascii="Calibri" w:hAnsi="Calibri" w:cs="Calibri"/>
          <w:sz w:val="24"/>
          <w:szCs w:val="24"/>
        </w:rPr>
        <w:t>2010</w:t>
      </w:r>
      <w:r w:rsidRPr="007E5EF1">
        <w:rPr>
          <w:rFonts w:ascii="Calibri" w:hAnsi="Calibri" w:cs="Calibri"/>
          <w:sz w:val="24"/>
          <w:szCs w:val="24"/>
        </w:rPr>
        <w:t xml:space="preserve">; </w:t>
      </w:r>
      <w:proofErr w:type="spellStart"/>
      <w:r w:rsidRPr="007E5EF1">
        <w:rPr>
          <w:rFonts w:ascii="Calibri" w:hAnsi="Calibri" w:cs="Calibri"/>
          <w:sz w:val="24"/>
          <w:szCs w:val="24"/>
        </w:rPr>
        <w:t>Cirqueira</w:t>
      </w:r>
      <w:proofErr w:type="spellEnd"/>
      <w:r w:rsidRPr="007E5EF1">
        <w:rPr>
          <w:rFonts w:ascii="Calibri" w:hAnsi="Calibri" w:cs="Calibri"/>
          <w:sz w:val="24"/>
          <w:szCs w:val="24"/>
        </w:rPr>
        <w:t xml:space="preserve"> et al., 2021)</w:t>
      </w:r>
      <w:r w:rsidRPr="00BF4F10">
        <w:rPr>
          <w:rFonts w:ascii="Calibri" w:hAnsi="Calibri" w:cs="Calibri"/>
          <w:sz w:val="24"/>
          <w:szCs w:val="24"/>
        </w:rPr>
        <w:t>.</w:t>
      </w:r>
      <w:r>
        <w:rPr>
          <w:rFonts w:ascii="Calibri" w:hAnsi="Calibri" w:cs="Calibri"/>
          <w:sz w:val="24"/>
          <w:szCs w:val="24"/>
        </w:rPr>
        <w:t xml:space="preserve"> </w:t>
      </w:r>
      <w:r w:rsidRPr="00BF4F10">
        <w:rPr>
          <w:rFonts w:ascii="Calibri" w:hAnsi="Calibri" w:cs="Calibri"/>
          <w:sz w:val="24"/>
          <w:szCs w:val="24"/>
        </w:rPr>
        <w:t>Businesses can more efficiently manage resources, including marketing budgets, CRM initiatives, and promotional incentives, and create focused retention plans when these customers are identified early.</w:t>
      </w:r>
    </w:p>
    <w:p w14:paraId="66BB0352" w14:textId="77777777" w:rsidR="00023033" w:rsidRDefault="00023033" w:rsidP="00023033">
      <w:pPr>
        <w:rPr>
          <w:rFonts w:ascii="Calibri" w:hAnsi="Calibri" w:cs="Calibri"/>
          <w:sz w:val="24"/>
          <w:szCs w:val="24"/>
        </w:rPr>
      </w:pPr>
      <w:r w:rsidRPr="00327A9D">
        <w:rPr>
          <w:rFonts w:ascii="Calibri" w:hAnsi="Calibri" w:cs="Calibri"/>
          <w:sz w:val="24"/>
          <w:szCs w:val="24"/>
        </w:rPr>
        <w:t>The complex characteristics of online buying behaviour are difficult to capture by traditional segmentation techniques, which are frequently based on static demographics or broad behavioural categories. On the other hand, predictive analytics provides a data-driven, scalable method for predicting customer loyalty.</w:t>
      </w:r>
      <w:r>
        <w:rPr>
          <w:rFonts w:ascii="Calibri" w:hAnsi="Calibri" w:cs="Calibri"/>
          <w:sz w:val="24"/>
          <w:szCs w:val="24"/>
        </w:rPr>
        <w:t xml:space="preserve"> </w:t>
      </w:r>
      <w:r w:rsidRPr="00327A9D">
        <w:rPr>
          <w:rFonts w:ascii="Calibri" w:hAnsi="Calibri" w:cs="Calibri"/>
          <w:sz w:val="24"/>
          <w:szCs w:val="24"/>
        </w:rPr>
        <w:t>Using transactional data, businesses can predict future purchases and take proactive measures to keep valuable customers (Jeon et al., 2021).</w:t>
      </w:r>
    </w:p>
    <w:p w14:paraId="2F7B486B" w14:textId="77777777" w:rsidR="00023033" w:rsidRDefault="00023033" w:rsidP="00023033">
      <w:pPr>
        <w:rPr>
          <w:rFonts w:ascii="Calibri" w:hAnsi="Calibri" w:cs="Calibri"/>
          <w:sz w:val="24"/>
          <w:szCs w:val="24"/>
        </w:rPr>
      </w:pPr>
      <w:r w:rsidRPr="00D65E8C">
        <w:rPr>
          <w:rFonts w:ascii="Calibri" w:hAnsi="Calibri" w:cs="Calibri"/>
          <w:sz w:val="24"/>
          <w:szCs w:val="24"/>
        </w:rPr>
        <w:t xml:space="preserve">This study uses interpretable machine learning models to tackle the problem of forecasting e-commerce repeat purchase behaviour. It uses supervised classification methods on transactional data, emphasising transparency and stakeholder confidence. To explain individual predictions, the project uses LIME (Local Interpretable Model-Agnostic Explanations) in addition to effective algorithms like Random Forest and </w:t>
      </w:r>
      <w:proofErr w:type="spellStart"/>
      <w:r w:rsidRPr="00D65E8C">
        <w:rPr>
          <w:rFonts w:ascii="Calibri" w:hAnsi="Calibri" w:cs="Calibri"/>
          <w:sz w:val="24"/>
          <w:szCs w:val="24"/>
        </w:rPr>
        <w:t>XGBoost</w:t>
      </w:r>
      <w:proofErr w:type="spellEnd"/>
      <w:r w:rsidRPr="00D65E8C">
        <w:rPr>
          <w:rFonts w:ascii="Calibri" w:hAnsi="Calibri" w:cs="Calibri"/>
          <w:sz w:val="24"/>
          <w:szCs w:val="24"/>
        </w:rPr>
        <w:t xml:space="preserve">. This ensures that in addition to being accurate, the models are both ethically acceptable and useful for making decisions in the real world </w:t>
      </w:r>
      <w:r w:rsidRPr="00C61849">
        <w:rPr>
          <w:rFonts w:ascii="Calibri" w:hAnsi="Calibri" w:cs="Calibri"/>
          <w:sz w:val="24"/>
          <w:szCs w:val="24"/>
        </w:rPr>
        <w:t>(Henninger and Strobl, 2024)</w:t>
      </w:r>
      <w:r w:rsidRPr="00D65E8C">
        <w:rPr>
          <w:rFonts w:ascii="Calibri" w:hAnsi="Calibri" w:cs="Calibri"/>
          <w:sz w:val="24"/>
          <w:szCs w:val="24"/>
        </w:rPr>
        <w:t>.</w:t>
      </w:r>
    </w:p>
    <w:p w14:paraId="2EEA7594" w14:textId="77777777" w:rsidR="00783DC7" w:rsidRDefault="00783DC7"/>
    <w:p w14:paraId="70CCFE4D" w14:textId="77777777" w:rsidR="00F97C78" w:rsidRDefault="00F97C78"/>
    <w:p w14:paraId="00E7CC33" w14:textId="77777777" w:rsidR="00F97C78" w:rsidRDefault="00F97C78"/>
    <w:p w14:paraId="04133C67" w14:textId="77777777" w:rsidR="00F97C78" w:rsidRDefault="00F97C78"/>
    <w:p w14:paraId="4E775ABB" w14:textId="77777777" w:rsidR="00F97C78" w:rsidRDefault="00F97C78"/>
    <w:p w14:paraId="690BAD30" w14:textId="77777777" w:rsidR="00F97C78" w:rsidRDefault="00F97C78"/>
    <w:p w14:paraId="17AE806A" w14:textId="77777777" w:rsidR="00F97C78" w:rsidRDefault="00F97C78"/>
    <w:p w14:paraId="21E7172F" w14:textId="77777777" w:rsidR="00F97C78" w:rsidRDefault="00F97C78"/>
    <w:p w14:paraId="441EBA30" w14:textId="77777777" w:rsidR="00F97C78" w:rsidRDefault="00F97C78"/>
    <w:p w14:paraId="0BC14FFD" w14:textId="77777777" w:rsidR="00F97C78" w:rsidRDefault="00F97C78"/>
    <w:p w14:paraId="625530EA" w14:textId="5CF05A33" w:rsidR="00F97C78" w:rsidRDefault="00F97C78">
      <w:pPr>
        <w:rPr>
          <w:b/>
          <w:bCs/>
          <w:sz w:val="32"/>
          <w:szCs w:val="32"/>
        </w:rPr>
      </w:pPr>
      <w:r w:rsidRPr="00F97C78">
        <w:rPr>
          <w:b/>
          <w:bCs/>
          <w:sz w:val="32"/>
          <w:szCs w:val="32"/>
        </w:rPr>
        <w:lastRenderedPageBreak/>
        <w:t>References</w:t>
      </w:r>
    </w:p>
    <w:p w14:paraId="3402D301" w14:textId="77777777" w:rsidR="00F97C78" w:rsidRDefault="00F97C78" w:rsidP="00F97C78">
      <w:pPr>
        <w:rPr>
          <w:rFonts w:ascii="Calibri" w:hAnsi="Calibri" w:cs="Calibri"/>
          <w:sz w:val="24"/>
          <w:szCs w:val="24"/>
        </w:rPr>
      </w:pPr>
      <w:r w:rsidRPr="007E5EF1">
        <w:rPr>
          <w:rFonts w:ascii="Calibri" w:hAnsi="Calibri" w:cs="Calibri"/>
          <w:sz w:val="24"/>
          <w:szCs w:val="24"/>
        </w:rPr>
        <w:t xml:space="preserve">Fader, P.S. and Hardie, B.G.S. (2010). Customer-Base Valuation in a Contractual Setting: The Perils of Ignoring Heterogeneity. Marketing Science, 29(1), pp.85–93. </w:t>
      </w:r>
      <w:proofErr w:type="spellStart"/>
      <w:r w:rsidRPr="007E5EF1">
        <w:rPr>
          <w:rFonts w:ascii="Calibri" w:hAnsi="Calibri" w:cs="Calibri"/>
          <w:sz w:val="24"/>
          <w:szCs w:val="24"/>
        </w:rPr>
        <w:t>doi:https</w:t>
      </w:r>
      <w:proofErr w:type="spellEnd"/>
      <w:r w:rsidRPr="007E5EF1">
        <w:rPr>
          <w:rFonts w:ascii="Calibri" w:hAnsi="Calibri" w:cs="Calibri"/>
          <w:sz w:val="24"/>
          <w:szCs w:val="24"/>
        </w:rPr>
        <w:t>://doi.org/10.1287/mksc.1080.0482.</w:t>
      </w:r>
    </w:p>
    <w:p w14:paraId="6B65A327" w14:textId="77777777" w:rsidR="00F97C78" w:rsidRDefault="00F97C78" w:rsidP="00F97C78">
      <w:pPr>
        <w:rPr>
          <w:rFonts w:ascii="Calibri" w:hAnsi="Calibri" w:cs="Calibri"/>
          <w:sz w:val="24"/>
          <w:szCs w:val="24"/>
        </w:rPr>
      </w:pPr>
      <w:proofErr w:type="spellStart"/>
      <w:r w:rsidRPr="00C61849">
        <w:rPr>
          <w:rFonts w:ascii="Calibri" w:hAnsi="Calibri" w:cs="Calibri"/>
          <w:sz w:val="24"/>
          <w:szCs w:val="24"/>
        </w:rPr>
        <w:t>Cirqueira</w:t>
      </w:r>
      <w:proofErr w:type="spellEnd"/>
      <w:r w:rsidRPr="00C61849">
        <w:rPr>
          <w:rFonts w:ascii="Calibri" w:hAnsi="Calibri" w:cs="Calibri"/>
          <w:sz w:val="24"/>
          <w:szCs w:val="24"/>
        </w:rPr>
        <w:t xml:space="preserve">, D., Hofer, M., Nedbal, D., Helfert, M. and Bezbradica, M. (2020). Customer Purchase </w:t>
      </w:r>
      <w:proofErr w:type="spellStart"/>
      <w:r w:rsidRPr="00C61849">
        <w:rPr>
          <w:rFonts w:ascii="Calibri" w:hAnsi="Calibri" w:cs="Calibri"/>
          <w:sz w:val="24"/>
          <w:szCs w:val="24"/>
        </w:rPr>
        <w:t>Behavior</w:t>
      </w:r>
      <w:proofErr w:type="spellEnd"/>
      <w:r w:rsidRPr="00C61849">
        <w:rPr>
          <w:rFonts w:ascii="Calibri" w:hAnsi="Calibri" w:cs="Calibri"/>
          <w:sz w:val="24"/>
          <w:szCs w:val="24"/>
        </w:rPr>
        <w:t xml:space="preserve"> Prediction in E-commerce: A Conceptual Framework and Research Agenda. New Frontiers in Mining Complex Patterns, pp.119–136. </w:t>
      </w:r>
      <w:proofErr w:type="spellStart"/>
      <w:r w:rsidRPr="00C61849">
        <w:rPr>
          <w:rFonts w:ascii="Calibri" w:hAnsi="Calibri" w:cs="Calibri"/>
          <w:sz w:val="24"/>
          <w:szCs w:val="24"/>
        </w:rPr>
        <w:t>doi:https</w:t>
      </w:r>
      <w:proofErr w:type="spellEnd"/>
      <w:r w:rsidRPr="00C61849">
        <w:rPr>
          <w:rFonts w:ascii="Calibri" w:hAnsi="Calibri" w:cs="Calibri"/>
          <w:sz w:val="24"/>
          <w:szCs w:val="24"/>
        </w:rPr>
        <w:t>://doi.org/10.1007/978-3-030-48861-1_8.</w:t>
      </w:r>
    </w:p>
    <w:p w14:paraId="57DF6D87" w14:textId="77777777" w:rsidR="00F97C78" w:rsidRDefault="00F97C78" w:rsidP="00F97C78">
      <w:pPr>
        <w:rPr>
          <w:rFonts w:ascii="Calibri" w:hAnsi="Calibri" w:cs="Calibri"/>
          <w:sz w:val="24"/>
          <w:szCs w:val="24"/>
        </w:rPr>
      </w:pPr>
      <w:r w:rsidRPr="00C61849">
        <w:rPr>
          <w:rFonts w:ascii="Calibri" w:hAnsi="Calibri" w:cs="Calibri"/>
          <w:sz w:val="24"/>
          <w:szCs w:val="24"/>
        </w:rPr>
        <w:t xml:space="preserve">Jeon, H.G., Kim, C., Lee, J. and Lee, K.C. (2021). Understanding E-Commerce Consumers’ Repeat Purchase Intention: The Role of Trust Transfer and the Moderating Effect of Neuroticism. Frontiers in Psychology, 12. </w:t>
      </w:r>
      <w:proofErr w:type="spellStart"/>
      <w:r w:rsidRPr="00C61849">
        <w:rPr>
          <w:rFonts w:ascii="Calibri" w:hAnsi="Calibri" w:cs="Calibri"/>
          <w:sz w:val="24"/>
          <w:szCs w:val="24"/>
        </w:rPr>
        <w:t>doi:https</w:t>
      </w:r>
      <w:proofErr w:type="spellEnd"/>
      <w:r w:rsidRPr="00C61849">
        <w:rPr>
          <w:rFonts w:ascii="Calibri" w:hAnsi="Calibri" w:cs="Calibri"/>
          <w:sz w:val="24"/>
          <w:szCs w:val="24"/>
        </w:rPr>
        <w:t>://doi.org/10.3389/fpsyg.2021.690039.</w:t>
      </w:r>
    </w:p>
    <w:p w14:paraId="005D70A6" w14:textId="77777777" w:rsidR="00F97C78" w:rsidRDefault="00F97C78" w:rsidP="00F97C78">
      <w:pPr>
        <w:rPr>
          <w:rFonts w:ascii="Calibri" w:hAnsi="Calibri" w:cs="Calibri"/>
          <w:sz w:val="24"/>
          <w:szCs w:val="24"/>
        </w:rPr>
      </w:pPr>
      <w:r w:rsidRPr="00C61849">
        <w:rPr>
          <w:rFonts w:ascii="Calibri" w:hAnsi="Calibri" w:cs="Calibri"/>
          <w:sz w:val="24"/>
          <w:szCs w:val="24"/>
        </w:rPr>
        <w:t xml:space="preserve">Henninger, M. and Strobl, C. (2024). Interpreting machine learning predictions with LIME and Shapley values: theoretical insights, challenges, and meaningful interpretations. </w:t>
      </w:r>
      <w:proofErr w:type="spellStart"/>
      <w:r w:rsidRPr="00C61849">
        <w:rPr>
          <w:rFonts w:ascii="Calibri" w:hAnsi="Calibri" w:cs="Calibri"/>
          <w:sz w:val="24"/>
          <w:szCs w:val="24"/>
        </w:rPr>
        <w:t>Behaviormetrika</w:t>
      </w:r>
      <w:proofErr w:type="spellEnd"/>
      <w:r w:rsidRPr="00C61849">
        <w:rPr>
          <w:rFonts w:ascii="Calibri" w:hAnsi="Calibri" w:cs="Calibri"/>
          <w:sz w:val="24"/>
          <w:szCs w:val="24"/>
        </w:rPr>
        <w:t xml:space="preserve">, 52(1), pp.45–75. </w:t>
      </w:r>
      <w:proofErr w:type="spellStart"/>
      <w:r w:rsidRPr="00C61849">
        <w:rPr>
          <w:rFonts w:ascii="Calibri" w:hAnsi="Calibri" w:cs="Calibri"/>
          <w:sz w:val="24"/>
          <w:szCs w:val="24"/>
        </w:rPr>
        <w:t>doi:https</w:t>
      </w:r>
      <w:proofErr w:type="spellEnd"/>
      <w:r w:rsidRPr="00C61849">
        <w:rPr>
          <w:rFonts w:ascii="Calibri" w:hAnsi="Calibri" w:cs="Calibri"/>
          <w:sz w:val="24"/>
          <w:szCs w:val="24"/>
        </w:rPr>
        <w:t>://doi.org/10.1007/s41237-024-00253-2.</w:t>
      </w:r>
    </w:p>
    <w:p w14:paraId="03842A75" w14:textId="77777777" w:rsidR="00F97C78" w:rsidRDefault="00F97C78" w:rsidP="00F97C78">
      <w:pPr>
        <w:rPr>
          <w:rFonts w:ascii="Calibri" w:hAnsi="Calibri" w:cs="Calibri"/>
          <w:sz w:val="24"/>
          <w:szCs w:val="24"/>
        </w:rPr>
      </w:pPr>
    </w:p>
    <w:p w14:paraId="33DA46EB" w14:textId="77777777" w:rsidR="00F97C78" w:rsidRDefault="00F97C78" w:rsidP="00F97C78">
      <w:pPr>
        <w:rPr>
          <w:rFonts w:ascii="Calibri" w:hAnsi="Calibri" w:cs="Calibri"/>
          <w:sz w:val="24"/>
          <w:szCs w:val="24"/>
        </w:rPr>
      </w:pPr>
    </w:p>
    <w:p w14:paraId="656D7A89" w14:textId="77777777" w:rsidR="00F97C78" w:rsidRPr="00F97C78" w:rsidRDefault="00F97C78">
      <w:pPr>
        <w:rPr>
          <w:b/>
          <w:bCs/>
          <w:sz w:val="32"/>
          <w:szCs w:val="32"/>
        </w:rPr>
      </w:pPr>
    </w:p>
    <w:sectPr w:rsidR="00F97C78" w:rsidRPr="00F97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6A"/>
    <w:rsid w:val="00023033"/>
    <w:rsid w:val="001A0C64"/>
    <w:rsid w:val="001A426A"/>
    <w:rsid w:val="002A2D9D"/>
    <w:rsid w:val="002F7D1D"/>
    <w:rsid w:val="00327109"/>
    <w:rsid w:val="00334F87"/>
    <w:rsid w:val="004A3726"/>
    <w:rsid w:val="00610D0C"/>
    <w:rsid w:val="006D2D65"/>
    <w:rsid w:val="00710334"/>
    <w:rsid w:val="007402E3"/>
    <w:rsid w:val="00783DC7"/>
    <w:rsid w:val="00D01607"/>
    <w:rsid w:val="00F97C7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D0B2"/>
  <w15:chartTrackingRefBased/>
  <w15:docId w15:val="{F9F52F93-5D38-4985-AA73-EBC520CA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033"/>
  </w:style>
  <w:style w:type="paragraph" w:styleId="Heading1">
    <w:name w:val="heading 1"/>
    <w:basedOn w:val="Normal"/>
    <w:next w:val="Normal"/>
    <w:link w:val="Heading1Char"/>
    <w:uiPriority w:val="9"/>
    <w:qFormat/>
    <w:rsid w:val="0032710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1A4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09"/>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327109"/>
    <w:rPr>
      <w:b/>
      <w:bCs/>
    </w:rPr>
  </w:style>
  <w:style w:type="paragraph" w:styleId="NoSpacing">
    <w:name w:val="No Spacing"/>
    <w:uiPriority w:val="1"/>
    <w:qFormat/>
    <w:rsid w:val="00327109"/>
    <w:pPr>
      <w:spacing w:after="0" w:line="240" w:lineRule="auto"/>
    </w:pPr>
  </w:style>
  <w:style w:type="paragraph" w:styleId="ListParagraph">
    <w:name w:val="List Paragraph"/>
    <w:basedOn w:val="Normal"/>
    <w:uiPriority w:val="34"/>
    <w:qFormat/>
    <w:rsid w:val="00327109"/>
    <w:pPr>
      <w:ind w:left="720"/>
      <w:contextualSpacing/>
    </w:pPr>
  </w:style>
  <w:style w:type="character" w:customStyle="1" w:styleId="Heading2Char">
    <w:name w:val="Heading 2 Char"/>
    <w:basedOn w:val="DefaultParagraphFont"/>
    <w:link w:val="Heading2"/>
    <w:uiPriority w:val="9"/>
    <w:semiHidden/>
    <w:rsid w:val="001A4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6A"/>
    <w:rPr>
      <w:rFonts w:eastAsiaTheme="majorEastAsia" w:cstheme="majorBidi"/>
      <w:color w:val="272727" w:themeColor="text1" w:themeTint="D8"/>
    </w:rPr>
  </w:style>
  <w:style w:type="paragraph" w:styleId="Title">
    <w:name w:val="Title"/>
    <w:basedOn w:val="Normal"/>
    <w:next w:val="Normal"/>
    <w:link w:val="TitleChar"/>
    <w:uiPriority w:val="10"/>
    <w:qFormat/>
    <w:rsid w:val="001A4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6A"/>
    <w:pPr>
      <w:spacing w:before="160"/>
      <w:jc w:val="center"/>
    </w:pPr>
    <w:rPr>
      <w:i/>
      <w:iCs/>
      <w:color w:val="404040" w:themeColor="text1" w:themeTint="BF"/>
    </w:rPr>
  </w:style>
  <w:style w:type="character" w:customStyle="1" w:styleId="QuoteChar">
    <w:name w:val="Quote Char"/>
    <w:basedOn w:val="DefaultParagraphFont"/>
    <w:link w:val="Quote"/>
    <w:uiPriority w:val="29"/>
    <w:rsid w:val="001A426A"/>
    <w:rPr>
      <w:i/>
      <w:iCs/>
      <w:color w:val="404040" w:themeColor="text1" w:themeTint="BF"/>
    </w:rPr>
  </w:style>
  <w:style w:type="character" w:styleId="IntenseEmphasis">
    <w:name w:val="Intense Emphasis"/>
    <w:basedOn w:val="DefaultParagraphFont"/>
    <w:uiPriority w:val="21"/>
    <w:qFormat/>
    <w:rsid w:val="001A426A"/>
    <w:rPr>
      <w:i/>
      <w:iCs/>
      <w:color w:val="0F4761" w:themeColor="accent1" w:themeShade="BF"/>
    </w:rPr>
  </w:style>
  <w:style w:type="paragraph" w:styleId="IntenseQuote">
    <w:name w:val="Intense Quote"/>
    <w:basedOn w:val="Normal"/>
    <w:next w:val="Normal"/>
    <w:link w:val="IntenseQuoteChar"/>
    <w:uiPriority w:val="30"/>
    <w:qFormat/>
    <w:rsid w:val="001A4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26A"/>
    <w:rPr>
      <w:i/>
      <w:iCs/>
      <w:color w:val="0F4761" w:themeColor="accent1" w:themeShade="BF"/>
    </w:rPr>
  </w:style>
  <w:style w:type="character" w:styleId="IntenseReference">
    <w:name w:val="Intense Reference"/>
    <w:basedOn w:val="DefaultParagraphFont"/>
    <w:uiPriority w:val="32"/>
    <w:qFormat/>
    <w:rsid w:val="001A4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384</Words>
  <Characters>2493</Characters>
  <Application>Microsoft Office Word</Application>
  <DocSecurity>0</DocSecurity>
  <Lines>40</Lines>
  <Paragraphs>10</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dc:creator>
  <cp:keywords/>
  <dc:description/>
  <cp:lastModifiedBy>z B</cp:lastModifiedBy>
  <cp:revision>11</cp:revision>
  <dcterms:created xsi:type="dcterms:W3CDTF">2025-11-21T17:34:00Z</dcterms:created>
  <dcterms:modified xsi:type="dcterms:W3CDTF">2025-11-21T17:40:00Z</dcterms:modified>
</cp:coreProperties>
</file>