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Shadow-AI Radar: Project Summary</w:t>
      </w:r>
    </w:p>
    <w:p>
      <w:r>
        <w:rPr>
          <w:i/>
          <w:color w:val="4A5568"/>
        </w:rPr>
        <w:t xml:space="preserve">A local, dependency-free tool that finds unsanctioned AI usage and sensitive-data leakage in a company's web-proxy logs.</w:t>
      </w:r>
    </w:p>
    <w:p>
      <w:pPr>
        <w:pBdr>
          <w:bottom w:val="single" w:sz="6" w:space="1" w:color="CBD5E0"/>
        </w:pBdr>
        <w:spacing w:after="120"/>
      </w:pPr>
    </w:p>
    <w:p>
      <w:pPr>
        <w:pStyle w:val="Heading1"/>
      </w:pPr>
      <w:r>
        <w:t xml:space="preserve">1. The problem</w:t>
      </w:r>
    </w:p>
    <w:p>
      <w:r>
        <w:t xml:space="preserve">Employees paste source code, customer data and credentials into consumer AI tools (ChatGPT, Gemini and others) that the company never vetted. Most security teams cannot see it. Shadow-AI Radar reads egress-proxy logs and answers four questions: </w:t>
      </w:r>
      <w:r>
        <w:rPr>
          <w:b/>
        </w:rPr>
        <w:t xml:space="preserve">who uses which AI tools, which of those are unapproved, what sensitive data went into them, and what should the security team do next?</w:t>
      </w:r>
    </w:p>
    <w:p>
      <w:r>
        <w:t xml:space="preserve">Intended users: a security / GRC team at a company, working alongside an HR, Legal and privacy function.</w:t>
      </w:r>
    </w:p>
    <w:p>
      <w:pPr>
        <w:pStyle w:val="Heading1"/>
      </w:pPr>
      <w:r>
        <w:t xml:space="preserve">2. How it works</w:t>
      </w:r>
    </w:p>
    <w:p>
      <w:pPr>
        <w:pStyle w:val="CodeBlock"/>
        <w:spacing w:before="100" w:after="0"/>
      </w:pPr>
      <w:r>
        <w:rPr>
          <w:rFonts w:ascii="Consolas" w:hAnsi="Consolas" w:cs="Consolas"/>
          <w:sz w:val="17"/>
        </w:rPr>
        <w:t xml:space="preserve">proxy logs (Squid / CSV / JSONL)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convert    common schema; URLs with spaces handled; error lines skipped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ingest     parallel, incremental, crash-safe; redact-before-store; opt. pseudonymization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enrich     AI-tool catalog + unknown-AI discovery; secret/PII scan; sensitivity classifier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store      SQLite: events, user-day, service, department, week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→ detect     5 alert types, correlated and de-duplicated</w:t>
      </w:r>
    </w:p>
    <w:p>
      <w:pPr>
        <w:pStyle w:val="CodeBlock"/>
        <w:spacing w:before="0" w:after="140"/>
      </w:pPr>
      <w:r>
        <w:rPr>
          <w:rFonts w:ascii="Consolas" w:hAnsi="Consolas" w:cs="Consolas"/>
          <w:sz w:val="17"/>
        </w:rPr>
        <w:t xml:space="preserve">   → act        dashboard · CLI triage · blocklist · SIEM JSONL · CSV · notifications</w:t>
      </w:r>
    </w:p>
    <w:p>
      <w:r>
        <w:t xml:space="preserve">Alerts: </w:t>
      </w:r>
      <w:r>
        <w:rPr>
          <w:b/>
        </w:rPr>
        <w:t xml:space="preserve">SECRET_LEAK</w:t>
      </w:r>
      <w:r>
        <w:t xml:space="preserve"> (keys, tokens, passwords, private keys), </w:t>
      </w:r>
      <w:r>
        <w:rPr>
          <w:b/>
        </w:rPr>
        <w:t xml:space="preserve">PII_LEAK</w:t>
      </w:r>
      <w:r>
        <w:t xml:space="preserve"> (SSN, Luhn-valid cards), </w:t>
      </w:r>
      <w:r>
        <w:rPr>
          <w:b/>
        </w:rPr>
        <w:t xml:space="preserve">EXFIL_VOLUME</w:t>
      </w:r>
      <w:r>
        <w:t xml:space="preserve"> (unusually large uploads vs. department peers), </w:t>
      </w:r>
      <w:r>
        <w:rPr>
          <w:b/>
        </w:rPr>
        <w:t xml:space="preserve">SHADOW_ADOPTION</w:t>
      </w:r>
      <w:r>
        <w:t xml:space="preserve"> (an unvetted tool spreading across users), </w:t>
      </w:r>
      <w:r>
        <w:rPr>
          <w:b/>
        </w:rPr>
        <w:t xml:space="preserve">OFF_HOURS</w:t>
      </w:r>
      <w:r>
        <w:t xml:space="preserve"> (activity at hours unusual for that user).</w:t>
      </w:r>
    </w:p>
    <w:p>
      <w:pPr>
        <w:pStyle w:val="Heading1"/>
      </w:pPr>
      <w:r>
        <w:t xml:space="preserve">3. The four disciplines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895"/>
        <w:gridCol w:w="8011"/>
      </w:tblGrid>
      <w:tr>
        <w:trPr>
          <w:cantSplit/>
          <w:tblHeader/>
        </w:trPr>
        <w:tc>
          <w:tcPr>
            <w:tcW w:w="1895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Discipline</w:t>
            </w:r>
          </w:p>
        </w:tc>
        <w:tc>
          <w:tcPr>
            <w:tcW w:w="8011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What was built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Data engineering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Bronze → silver → gold pipeline on SQLite; process-pool parallelism; byte-offset checkpoints so re-runs read only new data; one transaction per 5,000-line chunk; data-quality rejects (malformed, duplicate, bad timestamps); retention; log adapters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AI engineering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Prompt-sensitivity classifier (public / internal / confidential / source code) with labelling → training → evaluation loop (active learning, held-out sets, per-class precision/recall); optional AI triage summaries with an offline fallback; classifier down-weighted until trained on real data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Data analysis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Robust median/MAD volume anomalies vs. department peers; per-user baselines for off-hours; adoption tracking; risk scoring (tool policy × data sensitivity); week-over-week trend normalised per active day</w:t>
            </w:r>
          </w:p>
        </w:tc>
      </w:tr>
      <w:tr>
        <w:trPr>
          <w:cantSplit/>
        </w:trPr>
        <w:tc>
          <w:tcPr>
            <w:tcW w:w="1895" w:type="dxa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Cybersecurity</w:t>
            </w:r>
          </w:p>
        </w:tc>
        <w:tc>
          <w:tcPr>
            <w:tcW w:w="8011" w:type="dxa"/>
          </w:tcPr>
          <w:p>
            <w:pPr>
              <w:pStyle w:val="TableText"/>
            </w:pPr>
            <w:r>
              <w:rPr>
                <w:sz w:val="18"/>
              </w:rPr>
              <w:t xml:space="preserve">Secret/PII detection (patterns, Luhn, entropy, context rules); redact-before-store; ReDoS-hardened parsing; tamper-evident audit log; authenticated dashboard; encrypted backups; threat model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At a glance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379"/>
        <w:gridCol w:w="8527"/>
      </w:tblGrid>
      <w:tr>
        <w:trPr>
          <w:cantSplit/>
          <w:tblHeader/>
        </w:trPr>
        <w:tc>
          <w:tcPr>
            <w:tcW w:w="1379" w:type="dxa"/>
            <w:shd w:val="clear" w:color="auto" w:fill="EDF2F7"/>
          </w:tcPr>
          <w:p>
            <w:pPr>
              <w:pStyle w:val="TableText"/>
            </w:pPr>
          </w:p>
        </w:tc>
        <w:tc>
          <w:tcPr>
            <w:tcW w:w="8527" w:type="dxa"/>
            <w:shd w:val="clear" w:color="auto" w:fill="EDF2F7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379" w:type="dxa"/>
          </w:tcPr>
          <w:p>
            <w:pPr>
              <w:pStyle w:val="TableText"/>
            </w:pPr>
            <w:r>
              <w:rPr>
                <w:sz w:val="18"/>
              </w:rPr>
              <w:t xml:space="preserve">Code</w:t>
            </w:r>
          </w:p>
        </w:tc>
        <w:tc>
          <w:tcPr>
            <w:tcW w:w="8527" w:type="dxa"/>
          </w:tcPr>
          <w:p>
            <w:pPr>
              <w:pStyle w:val="TableText"/>
            </w:pPr>
            <w:r>
              <w:rPr>
                <w:sz w:val="18"/>
              </w:rPr>
              <w:t xml:space="preserve">~2,100 lines across 21 modules; zero third-party dependencies (Python 3.10+)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pStyle w:val="TableText"/>
            </w:pPr>
            <w:r>
              <w:rPr>
                <w:sz w:val="18"/>
              </w:rPr>
              <w:t xml:space="preserve">Speed (8 cores)</w:t>
            </w:r>
          </w:p>
        </w:tc>
        <w:tc>
          <w:tcPr>
            <w:tcW w:w="8527" w:type="dxa"/>
          </w:tcPr>
          <w:p>
            <w:pPr>
              <w:pStyle w:val="TableText"/>
            </w:pPr>
            <w:r>
              <w:rPr>
                <w:sz w:val="18"/>
              </w:rPr>
              <w:t xml:space="preserve">≈ 16–21k events/s; 255k events ingested in ≈ 12–15 s; re-run with no new data 0.06 s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pStyle w:val="TableText"/>
            </w:pPr>
            <w:r>
              <w:rPr>
                <w:sz w:val="18"/>
              </w:rPr>
              <w:t xml:space="preserve">Interface</w:t>
            </w:r>
          </w:p>
        </w:tc>
        <w:tc>
          <w:tcPr>
            <w:tcW w:w="8527" w:type="dxa"/>
          </w:tcPr>
          <w:p>
            <w:pPr>
              <w:pStyle w:val="TableText"/>
            </w:pPr>
            <w:r>
              <w:rPr>
                <w:sz w:val="18"/>
              </w:rPr>
              <w:t xml:space="preserve">23 CLI commands, a localhost dashboard, JSON API</w:t>
            </w:r>
          </w:p>
        </w:tc>
      </w:tr>
      <w:tr>
        <w:trPr>
          <w:cantSplit/>
        </w:trPr>
        <w:tc>
          <w:tcPr>
            <w:tcW w:w="1379" w:type="dxa"/>
          </w:tcPr>
          <w:p>
            <w:pPr>
              <w:pStyle w:val="TableText"/>
            </w:pPr>
            <w:r>
              <w:rPr>
                <w:sz w:val="18"/>
              </w:rPr>
              <w:t xml:space="preserve">Docs</w:t>
            </w:r>
          </w:p>
        </w:tc>
        <w:tc>
          <w:tcPr>
            <w:tcW w:w="8527" w:type="dxa"/>
          </w:tcPr>
          <w:p>
            <w:pPr>
              <w:pStyle w:val="TableText"/>
            </w:pPr>
            <w:r>
              <w:rPr>
                <w:sz w:val="18"/>
              </w:rPr>
              <w:t xml:space="preserve">README, ROADMAP, and 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docs/</w:t>
            </w:r>
            <w:r>
              <w:rPr>
                <w:sz w:val="18"/>
              </w:rPr>
              <w:t xml:space="preserve">: PRIVACY, SECURITY, COMPLIANCE, PILOT, and this summary (Markdown, PDF, Word)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Capability inventory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Operate:</w:t>
      </w:r>
      <w:r>
        <w:t xml:space="preserve"> policy-as-config, alert lifecycle (open / ack / resolved / false positive, notes, auto-reopen on recurrence), dashboard with analyst/viewer roles, watch mode, systemd/cron generation (generates only, installs nothing), desktop notifications, analyst training mode (8 hidden cases with an answer key).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Integrate:</w:t>
      </w:r>
      <w:r>
        <w:t xml:space="preserve"> Squid and generic CSV converters, HR/IdP join (managers on alerts), proxy blocklist, SIEM-friendly JSONL, audit CSV with hashes.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Protect (the tool itself):</w:t>
      </w:r>
      <w:r>
        <w:t xml:space="preserve"> named users, constant-time token checks, lockout, Host/Origin checks, CSP and other headers, owner-only files (</w:t>
      </w:r>
      <w:r>
        <w:rPr>
          <w:rFonts w:ascii="Consolas" w:hAnsi="Consolas" w:cs="Consolas"/>
          <w:sz w:val="18"/>
          <w:shd w:val="clear" w:color="auto" w:fill="EDF2F7"/>
        </w:rPr>
        <w:t xml:space="preserve">umask 077</w:t>
      </w:r>
      <w:r>
        <w:t xml:space="preserve">), hash-chained audit log with off-box anchors, AES-256 encrypted backups verified on restore, log-injection and CSV-formula-injection guards.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Comply:</w:t>
      </w:r>
      <w:r>
        <w:t xml:space="preserve"> keyed pseudonymization of user IDs, data-subject export and erasure, automatic 90-day retention, </w:t>
      </w:r>
      <w:r>
        <w:rPr>
          <w:rFonts w:ascii="Consolas" w:hAnsi="Consolas" w:cs="Consolas"/>
          <w:sz w:val="18"/>
          <w:shd w:val="clear" w:color="auto" w:fill="EDF2F7"/>
        </w:rPr>
        <w:t xml:space="preserve">radar doctor</w:t>
      </w:r>
      <w:r>
        <w:t xml:space="preserve"> posture check, </w:t>
      </w:r>
      <w:r>
        <w:rPr>
          <w:rFonts w:ascii="Consolas" w:hAnsi="Consolas" w:cs="Consolas"/>
          <w:sz w:val="18"/>
          <w:shd w:val="clear" w:color="auto" w:fill="EDF2F7"/>
        </w:rPr>
        <w:t xml:space="preserve">radar evidence</w:t>
      </w:r>
      <w:r>
        <w:t xml:space="preserve"> auditor bundle, GDPR / SOC 2 / ISO 27001 control mapping with an explicit gap list.</w:t>
      </w:r>
    </w:p>
    <w:p>
      <w:pPr>
        <w:pStyle w:val="Heading1"/>
      </w:pPr>
      <w:r>
        <w:t xml:space="preserve">5. Adoption checklist</w:t>
      </w:r>
    </w:p>
    <w:tbl>
      <w:tblPr>
        <w:tblW w:w="9906" w:type="dxa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182"/>
        <w:gridCol w:w="7004"/>
        <w:gridCol w:w="1720"/>
      </w:tblGrid>
      <w:tr>
        <w:trPr>
          <w:cantSplit/>
          <w:tblHeader/>
        </w:trPr>
        <w:tc>
          <w:tcPr>
            <w:tcW w:w="1182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004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Step</w:t>
            </w:r>
          </w:p>
        </w:tc>
        <w:tc>
          <w:tcPr>
            <w:tcW w:w="1720" w:type="dxa"/>
            <w:shd w:val="clear" w:color="auto" w:fill="EDF2F7"/>
          </w:tcPr>
          <w:p>
            <w:pPr>
              <w:pStyle w:val="TableText"/>
            </w:pPr>
            <w:r>
              <w:rPr>
                <w:b/>
                <w:sz w:val="18"/>
              </w:rPr>
              <w:t xml:space="preserve">Owner</w:t>
            </w:r>
          </w:p>
        </w:tc>
      </w:tr>
      <w:tr>
        <w:trPr>
          <w:cantSplit/>
        </w:trPr>
        <w:tc>
          <w:tcPr>
            <w:tcW w:w="1182" w:type="dxa"/>
          </w:tcPr>
          <w:p>
            <w:pPr>
              <w:pStyle w:val="TableText"/>
            </w:pPr>
            <w:r>
              <w:rPr>
                <w:sz w:val="18"/>
              </w:rPr>
              <w:t xml:space="preserve">1</w:t>
            </w:r>
          </w:p>
        </w:tc>
        <w:tc>
          <w:tcPr>
            <w:tcW w:w="7004" w:type="dxa"/>
          </w:tcPr>
          <w:p>
            <w:pPr>
              <w:pStyle w:val="TableText"/>
            </w:pPr>
            <w:r>
              <w:rPr>
                <w:sz w:val="18"/>
              </w:rPr>
              <w:t xml:space="preserve">Pilot on one department's real proxy logs in shadow mode (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docs/PILOT.md</w:t>
            </w:r>
            <w:r>
              <w:rPr>
                <w:sz w:val="18"/>
              </w:rPr>
              <w:t xml:space="preserve">)</w:t>
            </w:r>
          </w:p>
        </w:tc>
        <w:tc>
          <w:tcPr>
            <w:tcW w:w="1720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</w:t>
            </w:r>
          </w:p>
        </w:tc>
      </w:tr>
      <w:tr>
        <w:trPr>
          <w:cantSplit/>
        </w:trPr>
        <w:tc>
          <w:tcPr>
            <w:tcW w:w="1182" w:type="dxa"/>
          </w:tcPr>
          <w:p>
            <w:pPr>
              <w:pStyle w:val="TableText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7004" w:type="dxa"/>
          </w:tcPr>
          <w:p>
            <w:pPr>
              <w:pStyle w:val="TableText"/>
            </w:pPr>
            <w:r>
              <w:rPr>
                <w:sz w:val="18"/>
              </w:rPr>
              <w:t xml:space="preserve">Label ≈ 500 prompts, retrain, reach ≥ 90% accuracy and ≥ 90% confidential recall on a held-out set</w:t>
            </w:r>
          </w:p>
        </w:tc>
        <w:tc>
          <w:tcPr>
            <w:tcW w:w="1720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 / data</w:t>
            </w:r>
          </w:p>
        </w:tc>
      </w:tr>
      <w:tr>
        <w:trPr>
          <w:cantSplit/>
        </w:trPr>
        <w:tc>
          <w:tcPr>
            <w:tcW w:w="1182" w:type="dxa"/>
          </w:tcPr>
          <w:p>
            <w:pPr>
              <w:pStyle w:val="TableText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7004" w:type="dxa"/>
          </w:tcPr>
          <w:p>
            <w:pPr>
              <w:pStyle w:val="TableText"/>
            </w:pPr>
            <w:r>
              <w:rPr>
                <w:sz w:val="18"/>
              </w:rPr>
              <w:t xml:space="preserve">Complete and sign </w:t>
            </w:r>
            <w:r>
              <w:rPr>
                <w:rFonts w:ascii="Consolas" w:hAnsi="Consolas" w:cs="Consolas"/>
                <w:sz w:val="18"/>
                <w:shd w:val="clear" w:color="auto" w:fill="EDF2F7"/>
              </w:rPr>
              <w:t xml:space="preserve">docs/PRIVACY.md</w:t>
            </w:r>
            <w:r>
              <w:rPr>
                <w:sz w:val="18"/>
              </w:rPr>
              <w:t xml:space="preserve">; establish lawful basis; notify employees (works council where required)</w:t>
            </w:r>
          </w:p>
        </w:tc>
        <w:tc>
          <w:tcPr>
            <w:tcW w:w="1720" w:type="dxa"/>
          </w:tcPr>
          <w:p>
            <w:pPr>
              <w:pStyle w:val="TableText"/>
            </w:pPr>
            <w:r>
              <w:rPr>
                <w:sz w:val="18"/>
              </w:rPr>
              <w:t xml:space="preserve">Legal / HR / DPO</w:t>
            </w:r>
          </w:p>
        </w:tc>
      </w:tr>
      <w:tr>
        <w:trPr>
          <w:cantSplit/>
        </w:trPr>
        <w:tc>
          <w:tcPr>
            <w:tcW w:w="1182" w:type="dxa"/>
          </w:tcPr>
          <w:p>
            <w:pPr>
              <w:pStyle w:val="TableText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7004" w:type="dxa"/>
          </w:tcPr>
          <w:p>
            <w:pPr>
              <w:pStyle w:val="TableText"/>
            </w:pPr>
            <w:r>
              <w:rPr>
                <w:sz w:val="18"/>
              </w:rPr>
              <w:t xml:space="preserve">Encrypt the host disk</w:t>
            </w:r>
          </w:p>
        </w:tc>
        <w:tc>
          <w:tcPr>
            <w:tcW w:w="1720" w:type="dxa"/>
          </w:tcPr>
          <w:p>
            <w:pPr>
              <w:pStyle w:val="TableText"/>
            </w:pPr>
            <w:r>
              <w:rPr>
                <w:sz w:val="18"/>
              </w:rPr>
              <w:t xml:space="preserve">IT</w:t>
            </w:r>
          </w:p>
        </w:tc>
      </w:tr>
      <w:tr>
        <w:trPr>
          <w:cantSplit/>
        </w:trPr>
        <w:tc>
          <w:tcPr>
            <w:tcW w:w="1182" w:type="dxa"/>
          </w:tcPr>
          <w:p>
            <w:pPr>
              <w:pStyle w:val="TableText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7004" w:type="dxa"/>
          </w:tcPr>
          <w:p>
            <w:pPr>
              <w:pStyle w:val="TableText"/>
            </w:pPr>
            <w:r>
              <w:rPr>
                <w:sz w:val="18"/>
              </w:rPr>
              <w:t xml:space="preserve">Independent penetration test</w:t>
            </w:r>
          </w:p>
        </w:tc>
        <w:tc>
          <w:tcPr>
            <w:tcW w:w="1720" w:type="dxa"/>
          </w:tcPr>
          <w:p>
            <w:pPr>
              <w:pStyle w:val="TableText"/>
            </w:pPr>
            <w:r>
              <w:rPr>
                <w:sz w:val="18"/>
              </w:rPr>
              <w:t xml:space="preserve">Security</w:t>
            </w:r>
          </w:p>
        </w:tc>
      </w:tr>
      <w:tr>
        <w:trPr>
          <w:cantSplit/>
        </w:trPr>
        <w:tc>
          <w:tcPr>
            <w:tcW w:w="1182" w:type="dxa"/>
          </w:tcPr>
          <w:p>
            <w:pPr>
              <w:pStyle w:val="TableText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7004" w:type="dxa"/>
          </w:tcPr>
          <w:p>
            <w:pPr>
              <w:pStyle w:val="TableText"/>
            </w:pPr>
            <w:r>
              <w:rPr>
                <w:sz w:val="18"/>
              </w:rPr>
              <w:t xml:space="preserve">Install the generated schedule; store audit anchors off-box</w:t>
            </w:r>
          </w:p>
        </w:tc>
        <w:tc>
          <w:tcPr>
            <w:tcW w:w="1720" w:type="dxa"/>
          </w:tcPr>
          <w:p>
            <w:pPr>
              <w:pStyle w:val="TableText"/>
            </w:pPr>
            <w:r>
              <w:rPr>
                <w:sz w:val="18"/>
              </w:rPr>
              <w:t xml:space="preserve">IT / Security</w:t>
            </w:r>
          </w:p>
        </w:tc>
      </w:tr>
    </w:tbl>
    <w:p>
      <w:pPr>
        <w:spacing w:after="60"/>
      </w:pPr>
    </w:p>
    <w:p>
      <w:r>
        <w:rPr>
          <w:rFonts w:ascii="Consolas" w:hAnsi="Consolas" w:cs="Consolas"/>
          <w:sz w:val="18"/>
          <w:shd w:val="clear" w:color="auto" w:fill="EDF2F7"/>
        </w:rPr>
        <w:t xml:space="preserve">radar doctor</w:t>
      </w:r>
      <w:r>
        <w:t xml:space="preserve"> reports on items 3 to 5, and on a missing audit anchor, until they are done.</w:t>
      </w:r>
    </w:p>
    <w:p>
      <w:pPr>
        <w:pStyle w:val="Heading1"/>
      </w:pPr>
      <w:r>
        <w:t xml:space="preserve">6. Quick start</w:t>
      </w:r>
    </w:p>
    <w:p>
      <w:pPr>
        <w:pStyle w:val="CodeBlock"/>
        <w:spacing w:before="100" w:after="0"/>
      </w:pPr>
      <w:r>
        <w:rPr>
          <w:rFonts w:ascii="Consolas" w:hAnsi="Consolas" w:cs="Consolas"/>
          <w:sz w:val="17"/>
        </w:rPr>
        <w:t xml:space="preserve">python3 -m radar run --rebuild                  # demo: synthetic data → out/report.html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radar training start                 # practice triage with a hidden answer key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RADAR_USERS="alice=analyst:&lt;16+ char token&gt;" \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python3 -m radar serve                        # dashboard (refuses to start without logins)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radar convert squid access.log out/proxy.jsonl --identity hr.csv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radar doctor                         # security / privacy posture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python3 -m unittest discover tests              # run the test suite</w:t>
      </w:r>
    </w:p>
    <w:p>
      <w:pPr>
        <w:pStyle w:val="CodeBlock"/>
        <w:spacing w:before="0" w:after="140"/>
      </w:pPr>
      <w:r>
        <w:rPr>
          <w:rFonts w:ascii="Consolas" w:hAnsi="Consolas" w:cs="Consolas"/>
          <w:sz w:val="17"/>
        </w:rPr>
        <w:t xml:space="preserve">python3 tools/build_docs.py                     # rebuild this summary as PDF and Word</w:t>
      </w:r>
    </w:p>
    <w:p>
      <w:pPr>
        <w:pStyle w:val="Heading1"/>
      </w:pPr>
      <w:r>
        <w:t xml:space="preserve">7. Repository map</w:t>
      </w:r>
    </w:p>
    <w:p>
      <w:pPr>
        <w:pStyle w:val="CodeBlock"/>
        <w:spacing w:before="100" w:after="0"/>
      </w:pPr>
      <w:r>
        <w:rPr>
          <w:rFonts w:ascii="Consolas" w:hAnsi="Consolas" w:cs="Consolas"/>
          <w:sz w:val="17"/>
        </w:rPr>
        <w:t xml:space="preserve">radar/    21 modules: pipeline, detectors, catalog, model, analytics, adapters, serve, audit,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       privacy, compliance, backup, export, notify, schedule, training, labeling, triage,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          report, generate, corpus, __main__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tests/    7 test files + _cleanup.py        eval/    held-out classifier sets (synthetic)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config/   policy.json                       bench/   throughput benchmark</w:t>
      </w:r>
    </w:p>
    <w:p>
      <w:pPr>
        <w:pStyle w:val="CodeBlock"/>
      </w:pPr>
      <w:r>
        <w:rPr>
          <w:rFonts w:ascii="Consolas" w:hAnsi="Consolas" w:cs="Consolas"/>
          <w:sz w:val="17"/>
        </w:rPr>
        <w:t xml:space="preserve">docs/     PRIVACY · SECURITY · COMPLIANCE · PILOT · PROJECT_SUMMARY</w:t>
      </w:r>
    </w:p>
    <w:p>
      <w:pPr>
        <w:pStyle w:val="CodeBlock"/>
        <w:spacing w:before="0" w:after="140"/>
      </w:pPr>
      <w:r>
        <w:rPr>
          <w:rFonts w:ascii="Consolas" w:hAnsi="Consolas" w:cs="Consolas"/>
          <w:sz w:val="17"/>
        </w:rPr>
        <w:t xml:space="preserve">tools/    build_docs · md2html · md2docx · verify_docx   (Markdown → PDF / Word)</w:t>
      </w:r>
    </w:p>
    <w:p>
      <w:pPr>
        <w:pStyle w:val="Heading1"/>
      </w:pPr>
      <w:r>
        <w:t xml:space="preserve">8. What makes it distinctive</w:t>
      </w:r>
    </w:p>
    <w:p>
      <w:pPr>
        <w:pStyle w:val="ListParagraph"/>
        <w:numPr>
          <w:ilvl w:val="0"/>
          <w:numId w:val="1"/>
        </w:numPr>
      </w:pPr>
      <w:r>
        <w:t xml:space="preserve">It spans </w:t>
      </w:r>
      <w:r>
        <w:rPr>
          <w:b/>
        </w:rPr>
        <w:t xml:space="preserve">data engineering, AI engineering, data analysis and cybersecurity</w:t>
      </w:r>
      <w:r>
        <w:t xml:space="preserve"> in one product aimed at a current corporate risk: shadow AI.</w:t>
      </w:r>
    </w:p>
    <w:p>
      <w:pPr>
        <w:pStyle w:val="ListParagraph"/>
        <w:numPr>
          <w:ilvl w:val="0"/>
          <w:numId w:val="1"/>
        </w:numPr>
      </w:pPr>
      <w:r>
        <w:t xml:space="preserve">It is </w:t>
      </w:r>
      <w:r>
        <w:rPr>
          <w:b/>
        </w:rPr>
        <w:t xml:space="preserve">privacy-first by construction:</w:t>
      </w:r>
      <w:r>
        <w:t xml:space="preserve"> secrets and PII are redacted before storage, identities can be pseudonymized, and subject rights and retention are built in.</w:t>
      </w:r>
    </w:p>
    <w:p>
      <w:pPr>
        <w:pStyle w:val="ListParagraph"/>
        <w:numPr>
          <w:ilvl w:val="0"/>
          <w:numId w:val="1"/>
        </w:numPr>
      </w:pPr>
      <w:r>
        <w:t xml:space="preserve">It </w:t>
      </w:r>
      <w:r>
        <w:rPr>
          <w:b/>
        </w:rPr>
        <w:t xml:space="preserve">runs anywhere</w:t>
      </w:r>
      <w:r>
        <w:t xml:space="preserve"> with only the Python standard library.</w:t>
      </w:r>
    </w:p>
    <w:sectPr>
      <w:footerReference w:type="default" r:id="rId3"/>
      <w:pgSz w:w="11906" w:h="16838"/>
      <w:pgMar w:top="1000" w:right="1000" w:bottom="1000" w:left="1000" w:header="5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Shadow-AI Radar: Project Summary  ·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40" w:hanging="30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1"/>
        <w:szCs w:val="21"/>
        <w:lang w:val="en-GB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uiPriority w:val="10"/>
    <w:qFormat/>
    <w:pPr>
      <w:spacing w:after="60"/>
    </w:pPr>
    <w:rPr>
      <w:b/>
      <w:color w:val="12355B"/>
      <w:sz w:val="44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6" w:space="2" w:color="CBD5E0"/>
      </w:pBdr>
      <w:spacing w:before="320" w:after="120"/>
      <w:outlineLvl w:val="0"/>
    </w:pPr>
    <w:rPr>
      <w:b/>
      <w:color w:val="12355B"/>
      <w:sz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00" w:after="80"/>
      <w:outlineLvl w:val="1"/>
    </w:pPr>
    <w:rPr>
      <w:b/>
      <w:color w:val="12355B"/>
      <w:sz w:val="23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160" w:after="60"/>
      <w:outlineLvl w:val="2"/>
    </w:pPr>
    <w:rPr>
      <w:b/>
      <w:color w:val="12355B"/>
      <w:sz w:val="21"/>
    </w:rPr>
  </w:style>
  <w:style w:type="paragraph" w:styleId="ListParagraph">
    <w:name w:val="List Paragraph"/>
    <w:basedOn w:val="Normal"/>
    <w:uiPriority w:val="34"/>
    <w:qFormat/>
    <w:pPr>
      <w:spacing w:after="50"/>
      <w:contextualSpacing w:val="0"/>
    </w:pPr>
  </w:style>
  <w:style w:type="paragraph" w:styleId="TableText">
    <w:name w:val="Table Text"/>
    <w:basedOn w:val="Normal"/>
    <w:qFormat/>
    <w:pPr>
      <w:spacing w:after="0" w:line="252" w:lineRule="auto"/>
    </w:pPr>
    <w:rPr>
      <w:sz w:val="18"/>
    </w:rPr>
  </w:style>
  <w:style w:type="paragraph" w:styleId="CodeBlock">
    <w:name w:val="Code Block"/>
    <w:basedOn w:val="Normal"/>
    <w:qFormat/>
    <w:pPr>
      <w:keepLines/>
      <w:pBdr>
        <w:left w:val="single" w:sz="18" w:space="6" w:color="2B6CB0"/>
      </w:pBdr>
      <w:shd w:val="clear" w:color="auto" w:fill="F7FAFC"/>
      <w:spacing w:after="0" w:line="240" w:lineRule="auto"/>
      <w:ind w:left="200"/>
    </w:pPr>
    <w:rPr>
      <w:rFonts w:ascii="Consolas" w:hAnsi="Consolas" w:cs="Consolas"/>
      <w:sz w:val="17"/>
    </w:rPr>
  </w:style>
  <w:style w:type="paragraph" w:styleId="Footer">
    <w:name w:val="footer"/>
    <w:basedOn w:val="Normal"/>
    <w:pPr>
      <w:spacing w:after="0"/>
      <w:jc w:val="center"/>
    </w:pPr>
    <w:rPr>
      <w:color w:val="718096"/>
      <w:sz w:val="17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Shadow-AI Radar md2docx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Shadow-AI Radar: Project Summary</dc:title>
  <dc:creator>Shadow-AI Radar project</dc:creator>
  <dcterms:created xsi:type="dcterms:W3CDTF">2026-10-29T09:25:31Z</dcterms:created>
</cp:coreProperties>
</file>