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F3A5F"/>
          <w:sz w:val="52"/>
        </w:rPr>
        <w:t>Open Questions</w:t>
      </w:r>
    </w:p>
    <w:p>
      <w:pPr>
        <w:spacing w:after="320"/>
      </w:pPr>
      <w:r>
        <w:rPr>
          <w:rFonts w:ascii="Calibri" w:hAnsi="Calibri"/>
          <w:b w:val="0"/>
          <w:i/>
          <w:color w:val="6B7280"/>
          <w:sz w:val="24"/>
        </w:rPr>
        <w:t>Pending client decisions — ERTH / Autolinium</w:t>
      </w:r>
    </w:p>
    <w:p>
      <w:pPr>
        <w:pBdr>
          <w:bottom w:val="single" w:sz="8" w:space="1" w:color="1F3A5F"/>
        </w:pBdr>
        <w:spacing w:after="280"/>
      </w:pPr>
    </w:p>
    <w:p>
      <w:pPr>
        <w:spacing w:after="160" w:line="324" w:lineRule="auto"/>
      </w:pPr>
      <w:r>
        <w:rPr>
          <w:rFonts w:ascii="Calibri" w:hAnsi="Calibri"/>
          <w:b w:val="0"/>
          <w:i w:val="0"/>
          <w:color w:val="4A5568"/>
          <w:sz w:val="22"/>
        </w:rPr>
        <w:t>Behaviors the system already touches but the specification has not locked in. Each question covers the core workflow decision; edge cases are listed as a short follow-up note for a second pass. Once a question is resolved, the decision is folded into the product spec and the entry is removed from this document.</w:t>
      </w:r>
    </w:p>
    <w:p>
      <w:pPr>
        <w:spacing w:before="280" w:after="80"/>
      </w:pPr>
      <w:r>
        <w:rPr>
          <w:rFonts w:ascii="Calibri" w:hAnsi="Calibri"/>
          <w:b/>
          <w:i w:val="0"/>
          <w:color w:val="1F3A5F"/>
          <w:sz w:val="24"/>
        </w:rPr>
        <w:t>Contents</w:t>
      </w:r>
    </w:p>
    <w:p>
      <w:pPr>
        <w:spacing w:before="0" w:after="40"/>
        <w:ind w:left="288"/>
      </w:pPr>
      <w:r>
        <w:rPr>
          <w:rFonts w:ascii="Calibri" w:hAnsi="Calibri"/>
          <w:b/>
          <w:i w:val="0"/>
          <w:color w:val="2C5F4A"/>
          <w:sz w:val="22"/>
        </w:rPr>
        <w:t xml:space="preserve">1.   </w:t>
      </w:r>
      <w:r>
        <w:rPr>
          <w:rFonts w:ascii="Calibri" w:hAnsi="Calibri"/>
          <w:b w:val="0"/>
          <w:i w:val="0"/>
          <w:color w:val="4A5568"/>
          <w:sz w:val="22"/>
        </w:rPr>
        <w:t>How brova feedback is shared across thobes in the same order</w:t>
      </w:r>
    </w:p>
    <w:p>
      <w:pPr>
        <w:spacing w:before="0" w:after="40"/>
        <w:ind w:left="288"/>
      </w:pPr>
      <w:r>
        <w:rPr>
          <w:rFonts w:ascii="Calibri" w:hAnsi="Calibri"/>
          <w:b/>
          <w:i w:val="0"/>
          <w:color w:val="2C5F4A"/>
          <w:sz w:val="22"/>
        </w:rPr>
        <w:t xml:space="preserve">2.   </w:t>
      </w:r>
      <w:r>
        <w:rPr>
          <w:rFonts w:ascii="Calibri" w:hAnsi="Calibri"/>
          <w:b w:val="0"/>
          <w:i w:val="0"/>
          <w:color w:val="4A5568"/>
          <w:sz w:val="22"/>
        </w:rPr>
        <w:t>Notes — what we capture vs. what we show</w:t>
      </w:r>
    </w:p>
    <w:p>
      <w:pPr>
        <w:spacing w:before="0" w:after="40"/>
        <w:ind w:left="288"/>
      </w:pPr>
      <w:r>
        <w:rPr>
          <w:rFonts w:ascii="Calibri" w:hAnsi="Calibri"/>
          <w:b/>
          <w:i w:val="0"/>
          <w:color w:val="2C5F4A"/>
          <w:sz w:val="22"/>
        </w:rPr>
        <w:t xml:space="preserve">3.   </w:t>
      </w:r>
      <w:r>
        <w:rPr>
          <w:rFonts w:ascii="Calibri" w:hAnsi="Calibri"/>
          <w:b w:val="0"/>
          <w:i w:val="0"/>
          <w:color w:val="4A5568"/>
          <w:sz w:val="22"/>
        </w:rPr>
        <w:t>Customer-brought alteration order type</w:t>
      </w:r>
    </w:p>
    <w:p>
      <w:pPr>
        <w:spacing w:before="0" w:after="40"/>
        <w:ind w:left="288"/>
      </w:pPr>
      <w:r>
        <w:rPr>
          <w:rFonts w:ascii="Calibri" w:hAnsi="Calibri"/>
          <w:b/>
          <w:i w:val="0"/>
          <w:color w:val="2C5F4A"/>
          <w:sz w:val="22"/>
        </w:rPr>
        <w:t xml:space="preserve">4.   </w:t>
      </w:r>
      <w:r>
        <w:rPr>
          <w:rFonts w:ascii="Calibri" w:hAnsi="Calibri"/>
          <w:b w:val="0"/>
          <w:i w:val="0"/>
          <w:color w:val="4A5568"/>
          <w:sz w:val="22"/>
        </w:rPr>
        <w:t>Inventory management — ownership and access</w:t>
      </w:r>
    </w:p>
    <w:p>
      <w:pPr>
        <w:spacing w:before="0" w:after="40"/>
        <w:ind w:left="288"/>
      </w:pPr>
      <w:r>
        <w:rPr>
          <w:rFonts w:ascii="Calibri" w:hAnsi="Calibri"/>
          <w:b/>
          <w:i w:val="0"/>
          <w:color w:val="2C5F4A"/>
          <w:sz w:val="22"/>
        </w:rPr>
        <w:t xml:space="preserve">5.   </w:t>
      </w:r>
      <w:r>
        <w:rPr>
          <w:rFonts w:ascii="Calibri" w:hAnsi="Calibri"/>
          <w:b w:val="0"/>
          <w:i w:val="0"/>
          <w:color w:val="4A5568"/>
          <w:sz w:val="22"/>
        </w:rPr>
        <w:t>Reject-Redo: after the replacement is created</w:t>
      </w:r>
    </w:p>
    <w:p>
      <w:pPr>
        <w:spacing w:before="0" w:after="40"/>
        <w:ind w:left="288"/>
      </w:pPr>
      <w:r>
        <w:rPr>
          <w:rFonts w:ascii="Calibri" w:hAnsi="Calibri"/>
          <w:b/>
          <w:i w:val="0"/>
          <w:color w:val="2C5F4A"/>
          <w:sz w:val="22"/>
        </w:rPr>
        <w:t xml:space="preserve">6.   </w:t>
      </w:r>
      <w:r>
        <w:rPr>
          <w:rFonts w:ascii="Calibri" w:hAnsi="Calibri"/>
          <w:b w:val="0"/>
          <w:i w:val="0"/>
          <w:color w:val="4A5568"/>
          <w:sz w:val="22"/>
        </w:rPr>
        <w:t>Linked orders — what does linking commit to?</w:t>
      </w:r>
    </w:p>
    <w:p>
      <w:pPr>
        <w:spacing w:before="0" w:after="40"/>
        <w:ind w:left="288"/>
      </w:pPr>
      <w:r>
        <w:rPr>
          <w:rFonts w:ascii="Calibri" w:hAnsi="Calibri"/>
          <w:b/>
          <w:i w:val="0"/>
          <w:color w:val="2C5F4A"/>
          <w:sz w:val="22"/>
        </w:rPr>
        <w:t xml:space="preserve">7.   </w:t>
      </w:r>
      <w:r>
        <w:rPr>
          <w:rFonts w:ascii="Calibri" w:hAnsi="Calibri"/>
          <w:b w:val="0"/>
          <w:i w:val="0"/>
          <w:color w:val="4A5568"/>
          <w:sz w:val="22"/>
        </w:rPr>
        <w:t>Suppliers — what is a supplier to us?</w:t>
      </w:r>
    </w:p>
    <w:p>
      <w:r>
        <w:br w:type="page"/>
      </w:r>
    </w:p>
    <w:p>
      <w:pPr>
        <w:keepNext/>
        <w:spacing w:before="440" w:after="160"/>
        <w:pBdr>
          <w:bottom w:val="single" w:sz="6" w:space="4" w:color="BFC5CC"/>
        </w:pBdr>
      </w:pPr>
      <w:r>
        <w:rPr>
          <w:rFonts w:ascii="Calibri" w:hAnsi="Calibri"/>
          <w:b/>
          <w:i w:val="0"/>
          <w:color w:val="2C5F4A"/>
          <w:sz w:val="30"/>
        </w:rPr>
        <w:t xml:space="preserve">1.  </w:t>
      </w:r>
      <w:r>
        <w:rPr>
          <w:rFonts w:ascii="Calibri" w:hAnsi="Calibri"/>
          <w:b/>
          <w:i w:val="0"/>
          <w:color w:val="1F3A5F"/>
          <w:sz w:val="30"/>
        </w:rPr>
        <w:t>How brova feedback is shared across thobes in the same order</w:t>
      </w:r>
    </w:p>
    <w:p>
      <w:pPr>
        <w:spacing w:before="120" w:after="40" w:line="312" w:lineRule="auto"/>
      </w:pPr>
      <w:r>
        <w:rPr>
          <w:rFonts w:ascii="Calibri" w:hAnsi="Calibri"/>
          <w:b/>
          <w:i w:val="0"/>
          <w:color w:val="1F3A5F"/>
          <w:sz w:val="22"/>
        </w:rPr>
        <w:t xml:space="preserve">Scenario.  </w:t>
      </w:r>
      <w:r>
        <w:rPr>
          <w:rFonts w:ascii="Calibri" w:hAnsi="Calibri"/>
          <w:b w:val="0"/>
          <w:i w:val="0"/>
          <w:sz w:val="22"/>
        </w:rPr>
        <w:t>A customer places one order for two thobes. Both thobes are made to the same body measurements, but each has a different collar style — Thobe A has a mandarin collar, Thobe B has a standard collar. The shop makes a trial garment (brova) of Thobe A and the customer comes in to try it on. The customer gives two pieces of feedback at once:</w:t>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“The chest is too tight.”  This is a body-measurement change.</w:t>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“Make the mandarin collar wider.”  This is a style change.</w:t>
      </w:r>
    </w:p>
    <w:p>
      <w:pPr>
        <w:spacing w:before="120" w:after="40" w:line="312" w:lineRule="auto"/>
      </w:pPr>
      <w:r>
        <w:rPr>
          <w:rFonts w:ascii="Calibri" w:hAnsi="Calibri"/>
          <w:b/>
          <w:i w:val="0"/>
          <w:color w:val="1F3A5F"/>
          <w:sz w:val="22"/>
        </w:rPr>
        <w:t xml:space="preserve">What the system does today.  </w:t>
      </w:r>
      <w:r>
        <w:rPr>
          <w:rFonts w:ascii="Calibri" w:hAnsi="Calibri"/>
          <w:b w:val="0"/>
          <w:i w:val="0"/>
          <w:sz w:val="22"/>
        </w:rPr>
        <w:t>The system tries to share the feedback with Thobe B automatically — but only partially:</w:t>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Thobe B shares the body measurements with Thobe A, so the new chest measurement is copied to Thobe B silently. Thobe B will now be cut to the new, looser chest.</w:t>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Thobe B has a different collar style, so the wider-collar change is NOT copied. Thobe B will still be made with the original standard collar, untouched.</w:t>
      </w:r>
    </w:p>
    <w:p>
      <w:pPr>
        <w:spacing w:before="120" w:after="40" w:line="312" w:lineRule="auto"/>
      </w:pPr>
      <w:r>
        <w:rPr>
          <w:rFonts w:ascii="Calibri" w:hAnsi="Calibri"/>
          <w:b/>
          <w:i w:val="0"/>
          <w:color w:val="1F3A5F"/>
          <w:sz w:val="22"/>
        </w:rPr>
        <w:t xml:space="preserve">The result: </w:t>
      </w:r>
      <w:r>
        <w:rPr>
          <w:rFonts w:ascii="Calibri" w:hAnsi="Calibri"/>
          <w:b w:val="0"/>
          <w:i w:val="0"/>
          <w:sz w:val="22"/>
        </w:rPr>
        <w:t>Thobe B is updated in a mixed way — half of the customer’s feedback applied, half ignored — and nobody (customer, shop, workshop) was asked or notified.</w:t>
      </w:r>
    </w:p>
    <w:p>
      <w:pPr>
        <w:spacing w:before="120" w:after="40" w:line="312" w:lineRule="auto"/>
      </w:pPr>
      <w:r>
        <w:rPr>
          <w:rFonts w:ascii="Calibri" w:hAnsi="Calibri"/>
          <w:b/>
          <w:i w:val="0"/>
          <w:color w:val="1F3A5F"/>
          <w:sz w:val="22"/>
        </w:rPr>
        <w:t xml:space="preserve">Why this is tricky.  </w:t>
      </w:r>
      <w:r>
        <w:rPr>
          <w:rFonts w:ascii="Calibri" w:hAnsi="Calibri"/>
          <w:b w:val="0"/>
          <w:i w:val="0"/>
          <w:sz w:val="22"/>
        </w:rPr>
        <w:t>There are two reasonable readings of what the customer wanted, and the system cannot tell them apart:</w:t>
      </w:r>
    </w:p>
    <w:p>
      <w:pPr>
        <w:spacing w:before="40" w:after="40" w:line="312" w:lineRule="auto"/>
        <w:ind w:left="432" w:hanging="432"/>
      </w:pPr>
      <w:r>
        <w:rPr>
          <w:rFonts w:ascii="Calibri" w:hAnsi="Calibri"/>
          <w:b/>
          <w:i w:val="0"/>
          <w:color w:val="4A5568"/>
          <w:sz w:val="22"/>
        </w:rPr>
        <w:t>Reading 1.</w:t>
      </w:r>
      <w:r>
        <w:rPr>
          <w:rFonts w:ascii="Calibri" w:hAnsi="Calibri"/>
          <w:b w:val="0"/>
          <w:i w:val="0"/>
          <w:sz w:val="22"/>
        </w:rPr>
        <w:t xml:space="preserve">  “My chest is genuinely tighter than measured — fix it on both thobes. But the collar comment was only about this specific mandarin one.”  → Today's behavior is correct.</w:t>
      </w:r>
    </w:p>
    <w:p>
      <w:pPr>
        <w:spacing w:before="40" w:after="40" w:line="312" w:lineRule="auto"/>
        <w:ind w:left="432" w:hanging="432"/>
      </w:pPr>
      <w:r>
        <w:rPr>
          <w:rFonts w:ascii="Calibri" w:hAnsi="Calibri"/>
          <w:b/>
          <w:i w:val="0"/>
          <w:color w:val="4A5568"/>
          <w:sz w:val="22"/>
        </w:rPr>
        <w:t>Reading 2.</w:t>
      </w:r>
      <w:r>
        <w:rPr>
          <w:rFonts w:ascii="Calibri" w:hAnsi="Calibri"/>
          <w:b w:val="0"/>
          <w:i w:val="0"/>
          <w:sz w:val="22"/>
        </w:rPr>
        <w:t xml:space="preserve">  “This whole fitting is off — make both thobes wider in the chest AND give each one a wider collar in its own style.”  → Today’s behavior silently misses half the feedback on Thobe B.</w:t>
      </w:r>
    </w:p>
    <w:p>
      <w:pPr>
        <w:spacing w:before="120" w:after="40" w:line="312" w:lineRule="auto"/>
      </w:pPr>
      <w:r>
        <w:rPr>
          <w:rFonts w:ascii="Calibri" w:hAnsi="Calibri"/>
          <w:b/>
          <w:i w:val="0"/>
          <w:color w:val="1F3A5F"/>
          <w:sz w:val="22"/>
        </w:rPr>
        <w:t xml:space="preserve">Core question.  </w:t>
      </w:r>
      <w:r>
        <w:rPr>
          <w:rFonts w:ascii="Calibri" w:hAnsi="Calibri"/>
          <w:b w:val="0"/>
          <w:i w:val="0"/>
          <w:sz w:val="22"/>
        </w:rPr>
        <w:t>When feedback on one trial changes both body measurements AND style, and another thobe in the same order shares only one of those two (same body, different style — or different body, same style), what should happen?</w:t>
      </w:r>
    </w:p>
    <w:p>
      <w:pPr>
        <w:spacing w:before="40" w:after="40" w:line="312" w:lineRule="auto"/>
        <w:ind w:left="432" w:hanging="432"/>
      </w:pPr>
      <w:r>
        <w:rPr>
          <w:rFonts w:ascii="Calibri" w:hAnsi="Calibri"/>
          <w:b/>
          <w:i w:val="0"/>
          <w:color w:val="4A5568"/>
          <w:sz w:val="22"/>
        </w:rPr>
        <w:t>(a)</w:t>
      </w:r>
      <w:r>
        <w:rPr>
          <w:rFonts w:ascii="Calibri" w:hAnsi="Calibri"/>
          <w:b w:val="0"/>
          <w:i w:val="0"/>
          <w:sz w:val="22"/>
        </w:rPr>
        <w:t xml:space="preserve">  Keep today’s behavior — share whichever part matches, silently.</w:t>
      </w:r>
    </w:p>
    <w:p>
      <w:pPr>
        <w:spacing w:before="40" w:after="40" w:line="312" w:lineRule="auto"/>
        <w:ind w:left="432" w:hanging="432"/>
      </w:pPr>
      <w:r>
        <w:rPr>
          <w:rFonts w:ascii="Calibri" w:hAnsi="Calibri"/>
          <w:b/>
          <w:i w:val="0"/>
          <w:color w:val="4A5568"/>
          <w:sz w:val="22"/>
        </w:rPr>
        <w:t>(b)</w:t>
      </w:r>
      <w:r>
        <w:rPr>
          <w:rFonts w:ascii="Calibri" w:hAnsi="Calibri"/>
          <w:b w:val="0"/>
          <w:i w:val="0"/>
          <w:sz w:val="22"/>
        </w:rPr>
        <w:t xml:space="preserve">  Show the staff a confirm dialog when they save: “Thobe B also shares the measurements but not the style. Apply the new measurements to Thobe B too? Yes / No / Only this thobe.”</w:t>
      </w:r>
    </w:p>
    <w:p>
      <w:pPr>
        <w:spacing w:before="40" w:after="40" w:line="312" w:lineRule="auto"/>
        <w:ind w:left="432" w:hanging="432"/>
      </w:pPr>
      <w:r>
        <w:rPr>
          <w:rFonts w:ascii="Calibri" w:hAnsi="Calibri"/>
          <w:b/>
          <w:i w:val="0"/>
          <w:color w:val="4A5568"/>
          <w:sz w:val="22"/>
        </w:rPr>
        <w:t>(c)</w:t>
      </w:r>
      <w:r>
        <w:rPr>
          <w:rFonts w:ascii="Calibri" w:hAnsi="Calibri"/>
          <w:b w:val="0"/>
          <w:i w:val="0"/>
          <w:sz w:val="22"/>
        </w:rPr>
        <w:t xml:space="preserve">  Treat the whole order as one fitting — every change applies to every thobe, or none does, and the staff has to scope it explicitly.</w:t>
      </w:r>
    </w:p>
    <w:p>
      <w:pPr>
        <w:spacing w:before="40" w:after="40" w:line="312" w:lineRule="auto"/>
        <w:ind w:left="432" w:hanging="432"/>
      </w:pPr>
      <w:r>
        <w:rPr>
          <w:rFonts w:ascii="Calibri" w:hAnsi="Calibri"/>
          <w:b/>
          <w:i w:val="0"/>
          <w:color w:val="4A5568"/>
          <w:sz w:val="22"/>
        </w:rPr>
        <w:t>(d)</w:t>
      </w:r>
      <w:r>
        <w:rPr>
          <w:rFonts w:ascii="Calibri" w:hAnsi="Calibri"/>
          <w:b w:val="0"/>
          <w:i w:val="0"/>
          <w:sz w:val="22"/>
        </w:rPr>
        <w:t xml:space="preserve">  Something else?</w:t>
      </w:r>
    </w:p>
    <w:p>
      <w:pPr>
        <w:spacing w:before="120" w:after="40" w:line="312" w:lineRule="auto"/>
        <w:ind w:left="216"/>
      </w:pPr>
      <w:r>
        <w:rPr>
          <w:rFonts w:ascii="Calibri" w:hAnsi="Calibri"/>
          <w:b/>
          <w:i/>
          <w:color w:val="6B7280"/>
          <w:sz w:val="20"/>
        </w:rPr>
        <w:t xml:space="preserve">Edge cases to follow up.  </w:t>
      </w:r>
      <w:r>
        <w:rPr>
          <w:rFonts w:ascii="Calibri" w:hAnsi="Calibri"/>
          <w:b w:val="0"/>
          <w:i/>
          <w:color w:val="6B7280"/>
          <w:sz w:val="20"/>
        </w:rPr>
        <w:t>should the change be blocked if the other thobe is already past the cutting stage (work has started)? Does the reason given on the feedback (customer request vs. our mistake vs. the shop's mistake) change the answer?</w:t>
      </w:r>
    </w:p>
    <w:p>
      <w:pPr>
        <w:keepNext/>
        <w:spacing w:before="440" w:after="160"/>
        <w:pBdr>
          <w:bottom w:val="single" w:sz="6" w:space="4" w:color="BFC5CC"/>
        </w:pBdr>
      </w:pPr>
      <w:r>
        <w:rPr>
          <w:rFonts w:ascii="Calibri" w:hAnsi="Calibri"/>
          <w:b/>
          <w:i w:val="0"/>
          <w:color w:val="2C5F4A"/>
          <w:sz w:val="30"/>
        </w:rPr>
        <w:t xml:space="preserve">2.  </w:t>
      </w:r>
      <w:r>
        <w:rPr>
          <w:rFonts w:ascii="Calibri" w:hAnsi="Calibri"/>
          <w:b/>
          <w:i w:val="0"/>
          <w:color w:val="1F3A5F"/>
          <w:sz w:val="30"/>
        </w:rPr>
        <w:t>Notes — what we capture vs. what we show</w:t>
      </w:r>
    </w:p>
    <w:p>
      <w:pPr>
        <w:spacing w:before="120" w:after="40" w:line="312" w:lineRule="auto"/>
      </w:pPr>
      <w:r>
        <w:rPr>
          <w:rFonts w:ascii="Calibri" w:hAnsi="Calibri"/>
          <w:b/>
          <w:i w:val="0"/>
          <w:color w:val="1F3A5F"/>
          <w:sz w:val="22"/>
        </w:rPr>
        <w:t xml:space="preserve">Scenario.  </w:t>
      </w:r>
      <w:r>
        <w:rPr>
          <w:rFonts w:ascii="Calibri" w:hAnsi="Calibri"/>
          <w:b w:val="0"/>
          <w:i w:val="0"/>
          <w:sz w:val="22"/>
        </w:rPr>
        <w:t>Staff can leave a written note in many places across both apps — when creating an order, when taking a payment, when refunding, when scheduling a delivery, when QC inspects a garment, when closing the register at the end of the day, and more. Some of those notes are read back later by someone who actually needs them. Several vanish into the database and are never shown anywhere.</w:t>
      </w:r>
    </w:p>
    <w:p>
      <w:pPr>
        <w:spacing w:before="120" w:after="40" w:line="312" w:lineRule="auto"/>
      </w:pPr>
      <w:r>
        <w:rPr>
          <w:rFonts w:ascii="Calibri" w:hAnsi="Calibri"/>
          <w:b/>
          <w:i w:val="0"/>
          <w:color w:val="1F3A5F"/>
          <w:sz w:val="22"/>
        </w:rPr>
        <w:t xml:space="preserve">Three small examples.  </w:t>
      </w:r>
      <w:r>
        <w:rPr>
          <w:rFonts w:ascii="Calibri" w:hAnsi="Calibri"/>
          <w:b w:val="0"/>
          <w:i w:val="0"/>
          <w:sz w:val="22"/>
        </w:rPr>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A cashier writes “paid in two 100s and a 50, customer asked for itemised receipt” as a payment note. Today: it is saved against the payment but never shown — not on the receipt, not on the EOD report, not in payment history. Effectively invisible.</w:t>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A shop staff writes “the gate code is 4421, ask for Faisal” on the customer’s address. Today: it shows on the appointment screen, but the staff packing the delivery doesn’t see it on the fulfillment screen.</w:t>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A QC inspector writes “small loose thread on hem, fixed” in the feedback notes. Today: shown on the POS feedback view and the workshop garment detail. The right people see it.</w:t>
      </w:r>
    </w:p>
    <w:p>
      <w:pPr>
        <w:spacing w:before="120" w:after="40" w:line="312" w:lineRule="auto"/>
      </w:pPr>
      <w:r>
        <w:rPr>
          <w:rFonts w:ascii="Calibri" w:hAnsi="Calibri"/>
          <w:b/>
          <w:i w:val="0"/>
          <w:color w:val="1F3A5F"/>
          <w:sz w:val="22"/>
        </w:rPr>
        <w:t xml:space="preserve">Core question.  </w:t>
      </w:r>
      <w:r>
        <w:rPr>
          <w:rFonts w:ascii="Calibri" w:hAnsi="Calibri"/>
          <w:b w:val="0"/>
          <w:i w:val="0"/>
          <w:sz w:val="22"/>
        </w:rPr>
        <w:t>For each note kind below, what should we do with it? Tick one column per row:</w:t>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K — Keep, and surface it in more places (specify which, in a follow-up).</w:t>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D — Drop the field entirely; nobody needs it.</w:t>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N — No change; today's behavior is fine.</w:t>
      </w:r>
    </w:p>
    <w:tbl>
      <w:tblPr>
        <w:tblW w:type="auto" w:w="0"/>
        <w:jc w:val="left"/>
        <w:tblLayout w:type="fixed"/>
        <w:tblLook w:firstColumn="1" w:firstRow="1" w:lastColumn="0" w:lastRow="0" w:noHBand="0" w:noVBand="1" w:val="04A0"/>
        <w:tblBorders>
          <w:top w:val="single" w:sz="6" w:color="BFC5CC"/>
          <w:left w:val="single" w:sz="6" w:color="BFC5CC"/>
          <w:bottom w:val="single" w:sz="6" w:color="BFC5CC"/>
          <w:right w:val="single" w:sz="6" w:color="BFC5CC"/>
          <w:insideH w:val="single" w:sz="6" w:color="BFC5CC"/>
          <w:insideV w:val="single" w:sz="6" w:color="BFC5CC"/>
        </w:tblBorders>
      </w:tblPr>
      <w:tblGrid>
        <w:gridCol w:w="3120"/>
        <w:gridCol w:w="3120"/>
        <w:gridCol w:w="3120"/>
      </w:tblGrid>
      <w:tr>
        <w:tc>
          <w:tcPr>
            <w:tcW w:type="dxa" w:w="4896"/>
            <w:shd w:val="clear" w:color="auto" w:fill="1F3A5F"/>
            <w:vAlign w:val="center"/>
          </w:tcPr>
          <w:p>
            <w:pPr>
              <w:spacing w:before="60" w:after="60"/>
            </w:pPr>
            <w:r>
              <w:rPr>
                <w:rFonts w:ascii="Calibri" w:hAnsi="Calibri"/>
                <w:b/>
                <w:i w:val="0"/>
                <w:color w:val="FFFFFF"/>
                <w:sz w:val="21"/>
              </w:rPr>
              <w:t>Note kind</w:t>
            </w:r>
          </w:p>
        </w:tc>
        <w:tc>
          <w:tcPr>
            <w:tcW w:type="dxa" w:w="3456"/>
            <w:shd w:val="clear" w:color="auto" w:fill="1F3A5F"/>
            <w:vAlign w:val="center"/>
          </w:tcPr>
          <w:p>
            <w:pPr>
              <w:spacing w:before="60" w:after="60"/>
            </w:pPr>
            <w:r>
              <w:rPr>
                <w:rFonts w:ascii="Calibri" w:hAnsi="Calibri"/>
                <w:b/>
                <w:i w:val="0"/>
                <w:color w:val="FFFFFF"/>
                <w:sz w:val="21"/>
              </w:rPr>
              <w:t>Shown today</w:t>
            </w:r>
          </w:p>
        </w:tc>
        <w:tc>
          <w:tcPr>
            <w:tcW w:type="dxa" w:w="1152"/>
            <w:shd w:val="clear" w:color="auto" w:fill="1F3A5F"/>
            <w:vAlign w:val="center"/>
          </w:tcPr>
          <w:p>
            <w:pPr>
              <w:spacing w:before="60" w:after="60"/>
            </w:pPr>
            <w:r>
              <w:rPr>
                <w:rFonts w:ascii="Calibri" w:hAnsi="Calibri"/>
                <w:b/>
                <w:i w:val="0"/>
                <w:color w:val="FFFFFF"/>
                <w:sz w:val="21"/>
              </w:rPr>
              <w:t>K / D / N</w:t>
            </w:r>
          </w:p>
        </w:tc>
      </w:tr>
      <w:tr>
        <w:tc>
          <w:tcPr>
            <w:tcW w:type="dxa" w:w="4896"/>
            <w:shd w:val="clear" w:color="auto" w:fill="F4F6F8"/>
            <w:vAlign w:val="center"/>
          </w:tcPr>
          <w:p>
            <w:pPr>
              <w:spacing w:before="60" w:after="60"/>
            </w:pPr>
            <w:r>
              <w:rPr>
                <w:rFonts w:ascii="Calibri" w:hAnsi="Calibri"/>
                <w:b w:val="0"/>
                <w:i w:val="0"/>
                <w:sz w:val="21"/>
              </w:rPr>
              <w:t>Order notes (at creation)</w:t>
            </w:r>
          </w:p>
        </w:tc>
        <w:tc>
          <w:tcPr>
            <w:tcW w:type="dxa" w:w="3456"/>
            <w:shd w:val="clear" w:color="auto" w:fill="F4F6F8"/>
            <w:vAlign w:val="center"/>
          </w:tcPr>
          <w:p>
            <w:pPr>
              <w:spacing w:before="60" w:after="60"/>
            </w:pPr>
            <w:r>
              <w:rPr>
                <w:rFonts w:ascii="Calibri" w:hAnsi="Calibri"/>
                <w:b w:val="0"/>
                <w:i w:val="0"/>
                <w:color w:val="4A5568"/>
                <w:sz w:val="21"/>
              </w:rPr>
              <w:t>Confirm modal + dispatch board</w:t>
            </w:r>
          </w:p>
        </w:tc>
        <w:tc>
          <w:tcPr>
            <w:tcW w:type="dxa" w:w="1152"/>
            <w:shd w:val="clear" w:color="auto" w:fill="F4F6F8"/>
            <w:vAlign w:val="center"/>
          </w:tcPr>
          <w:p>
            <w:pPr>
              <w:spacing w:before="60" w:after="60"/>
              <w:jc w:val="center"/>
            </w:pPr>
            <w:r>
              <w:rPr>
                <w:rFonts w:ascii="Calibri" w:hAnsi="Calibri"/>
                <w:b w:val="0"/>
                <w:i w:val="0"/>
                <w:color w:val="6B7280"/>
                <w:sz w:val="21"/>
              </w:rPr>
              <w:t>☐  ☐  ☐</w:t>
            </w:r>
          </w:p>
        </w:tc>
      </w:tr>
      <w:tr>
        <w:tc>
          <w:tcPr>
            <w:tcW w:type="dxa" w:w="4896"/>
            <w:shd w:val="clear" w:color="auto" w:fill="FFFFFF"/>
            <w:vAlign w:val="center"/>
          </w:tcPr>
          <w:p>
            <w:pPr>
              <w:spacing w:before="60" w:after="60"/>
            </w:pPr>
            <w:r>
              <w:rPr>
                <w:rFonts w:ascii="Calibri" w:hAnsi="Calibri"/>
                <w:b w:val="0"/>
                <w:i w:val="0"/>
                <w:sz w:val="21"/>
              </w:rPr>
              <w:t>Payment note (cashier)</w:t>
            </w:r>
          </w:p>
        </w:tc>
        <w:tc>
          <w:tcPr>
            <w:tcW w:type="dxa" w:w="3456"/>
            <w:shd w:val="clear" w:color="auto" w:fill="FFFFFF"/>
            <w:vAlign w:val="center"/>
          </w:tcPr>
          <w:p>
            <w:pPr>
              <w:spacing w:before="60" w:after="60"/>
            </w:pPr>
            <w:r>
              <w:rPr>
                <w:rFonts w:ascii="Calibri" w:hAnsi="Calibri"/>
                <w:b w:val="0"/>
                <w:i/>
                <w:color w:val="B03A2E"/>
                <w:sz w:val="21"/>
              </w:rPr>
              <w:t>Nowhere</w:t>
            </w:r>
          </w:p>
        </w:tc>
        <w:tc>
          <w:tcPr>
            <w:tcW w:type="dxa" w:w="1152"/>
            <w:shd w:val="clear" w:color="auto" w:fill="FFFFFF"/>
            <w:vAlign w:val="center"/>
          </w:tcPr>
          <w:p>
            <w:pPr>
              <w:spacing w:before="60" w:after="60"/>
              <w:jc w:val="center"/>
            </w:pPr>
            <w:r>
              <w:rPr>
                <w:rFonts w:ascii="Calibri" w:hAnsi="Calibri"/>
                <w:b w:val="0"/>
                <w:i w:val="0"/>
                <w:color w:val="6B7280"/>
                <w:sz w:val="21"/>
              </w:rPr>
              <w:t>☐  ☐  ☐</w:t>
            </w:r>
          </w:p>
        </w:tc>
      </w:tr>
      <w:tr>
        <w:tc>
          <w:tcPr>
            <w:tcW w:type="dxa" w:w="4896"/>
            <w:shd w:val="clear" w:color="auto" w:fill="F4F6F8"/>
            <w:vAlign w:val="center"/>
          </w:tcPr>
          <w:p>
            <w:pPr>
              <w:spacing w:before="60" w:after="60"/>
            </w:pPr>
            <w:r>
              <w:rPr>
                <w:rFonts w:ascii="Calibri" w:hAnsi="Calibri"/>
                <w:b w:val="0"/>
                <w:i w:val="0"/>
                <w:sz w:val="21"/>
              </w:rPr>
              <w:t>Refund reason</w:t>
            </w:r>
          </w:p>
        </w:tc>
        <w:tc>
          <w:tcPr>
            <w:tcW w:type="dxa" w:w="3456"/>
            <w:shd w:val="clear" w:color="auto" w:fill="F4F6F8"/>
            <w:vAlign w:val="center"/>
          </w:tcPr>
          <w:p>
            <w:pPr>
              <w:spacing w:before="60" w:after="60"/>
            </w:pPr>
            <w:r>
              <w:rPr>
                <w:rFonts w:ascii="Calibri" w:hAnsi="Calibri"/>
                <w:b w:val="0"/>
                <w:i w:val="0"/>
                <w:color w:val="4A5568"/>
                <w:sz w:val="21"/>
              </w:rPr>
              <w:t>Payment history</w:t>
            </w:r>
          </w:p>
        </w:tc>
        <w:tc>
          <w:tcPr>
            <w:tcW w:type="dxa" w:w="1152"/>
            <w:shd w:val="clear" w:color="auto" w:fill="F4F6F8"/>
            <w:vAlign w:val="center"/>
          </w:tcPr>
          <w:p>
            <w:pPr>
              <w:spacing w:before="60" w:after="60"/>
              <w:jc w:val="center"/>
            </w:pPr>
            <w:r>
              <w:rPr>
                <w:rFonts w:ascii="Calibri" w:hAnsi="Calibri"/>
                <w:b w:val="0"/>
                <w:i w:val="0"/>
                <w:color w:val="6B7280"/>
                <w:sz w:val="21"/>
              </w:rPr>
              <w:t>☐  ☐  ☐</w:t>
            </w:r>
          </w:p>
        </w:tc>
      </w:tr>
      <w:tr>
        <w:tc>
          <w:tcPr>
            <w:tcW w:type="dxa" w:w="4896"/>
            <w:shd w:val="clear" w:color="auto" w:fill="FFFFFF"/>
            <w:vAlign w:val="center"/>
          </w:tcPr>
          <w:p>
            <w:pPr>
              <w:spacing w:before="60" w:after="60"/>
            </w:pPr>
            <w:r>
              <w:rPr>
                <w:rFonts w:ascii="Calibri" w:hAnsi="Calibri"/>
                <w:b w:val="0"/>
                <w:i w:val="0"/>
                <w:sz w:val="21"/>
              </w:rPr>
              <w:t>Customer address note</w:t>
            </w:r>
          </w:p>
        </w:tc>
        <w:tc>
          <w:tcPr>
            <w:tcW w:type="dxa" w:w="3456"/>
            <w:shd w:val="clear" w:color="auto" w:fill="FFFFFF"/>
            <w:vAlign w:val="center"/>
          </w:tcPr>
          <w:p>
            <w:pPr>
              <w:spacing w:before="60" w:after="60"/>
            </w:pPr>
            <w:r>
              <w:rPr>
                <w:rFonts w:ascii="Calibri" w:hAnsi="Calibri"/>
                <w:b w:val="0"/>
                <w:i w:val="0"/>
                <w:color w:val="4A5568"/>
                <w:sz w:val="21"/>
              </w:rPr>
              <w:t>Appointment + delivery dialog</w:t>
            </w:r>
          </w:p>
        </w:tc>
        <w:tc>
          <w:tcPr>
            <w:tcW w:type="dxa" w:w="1152"/>
            <w:shd w:val="clear" w:color="auto" w:fill="FFFFFF"/>
            <w:vAlign w:val="center"/>
          </w:tcPr>
          <w:p>
            <w:pPr>
              <w:spacing w:before="60" w:after="60"/>
              <w:jc w:val="center"/>
            </w:pPr>
            <w:r>
              <w:rPr>
                <w:rFonts w:ascii="Calibri" w:hAnsi="Calibri"/>
                <w:b w:val="0"/>
                <w:i w:val="0"/>
                <w:color w:val="6B7280"/>
                <w:sz w:val="21"/>
              </w:rPr>
              <w:t>☐  ☐  ☐</w:t>
            </w:r>
          </w:p>
        </w:tc>
      </w:tr>
      <w:tr>
        <w:tc>
          <w:tcPr>
            <w:tcW w:type="dxa" w:w="4896"/>
            <w:shd w:val="clear" w:color="auto" w:fill="F4F6F8"/>
            <w:vAlign w:val="center"/>
          </w:tcPr>
          <w:p>
            <w:pPr>
              <w:spacing w:before="60" w:after="60"/>
            </w:pPr>
            <w:r>
              <w:rPr>
                <w:rFonts w:ascii="Calibri" w:hAnsi="Calibri"/>
                <w:b w:val="0"/>
                <w:i w:val="0"/>
                <w:sz w:val="21"/>
              </w:rPr>
              <w:t>Garment notes</w:t>
            </w:r>
          </w:p>
        </w:tc>
        <w:tc>
          <w:tcPr>
            <w:tcW w:type="dxa" w:w="3456"/>
            <w:shd w:val="clear" w:color="auto" w:fill="F4F6F8"/>
            <w:vAlign w:val="center"/>
          </w:tcPr>
          <w:p>
            <w:pPr>
              <w:spacing w:before="60" w:after="60"/>
            </w:pPr>
            <w:r>
              <w:rPr>
                <w:rFonts w:ascii="Calibri" w:hAnsi="Calibri"/>
                <w:b w:val="0"/>
                <w:i w:val="0"/>
                <w:color w:val="4A5568"/>
                <w:sz w:val="21"/>
              </w:rPr>
              <w:t>Workshop card + QC print + POS summary</w:t>
            </w:r>
          </w:p>
        </w:tc>
        <w:tc>
          <w:tcPr>
            <w:tcW w:type="dxa" w:w="1152"/>
            <w:shd w:val="clear" w:color="auto" w:fill="F4F6F8"/>
            <w:vAlign w:val="center"/>
          </w:tcPr>
          <w:p>
            <w:pPr>
              <w:spacing w:before="60" w:after="60"/>
              <w:jc w:val="center"/>
            </w:pPr>
            <w:r>
              <w:rPr>
                <w:rFonts w:ascii="Calibri" w:hAnsi="Calibri"/>
                <w:b w:val="0"/>
                <w:i w:val="0"/>
                <w:color w:val="6B7280"/>
                <w:sz w:val="21"/>
              </w:rPr>
              <w:t>☐  ☐  ☐</w:t>
            </w:r>
          </w:p>
        </w:tc>
      </w:tr>
      <w:tr>
        <w:tc>
          <w:tcPr>
            <w:tcW w:type="dxa" w:w="4896"/>
            <w:shd w:val="clear" w:color="auto" w:fill="FFFFFF"/>
            <w:vAlign w:val="center"/>
          </w:tcPr>
          <w:p>
            <w:pPr>
              <w:spacing w:before="60" w:after="60"/>
            </w:pPr>
            <w:r>
              <w:rPr>
                <w:rFonts w:ascii="Calibri" w:hAnsi="Calibri"/>
                <w:b w:val="0"/>
                <w:i w:val="0"/>
                <w:sz w:val="21"/>
              </w:rPr>
              <w:t>Showroom follow-up notes (call / R1 / R2 / R3 / escalation)</w:t>
            </w:r>
          </w:p>
        </w:tc>
        <w:tc>
          <w:tcPr>
            <w:tcW w:type="dxa" w:w="3456"/>
            <w:shd w:val="clear" w:color="auto" w:fill="FFFFFF"/>
            <w:vAlign w:val="center"/>
          </w:tcPr>
          <w:p>
            <w:pPr>
              <w:spacing w:before="60" w:after="60"/>
            </w:pPr>
            <w:r>
              <w:rPr>
                <w:rFonts w:ascii="Calibri" w:hAnsi="Calibri"/>
                <w:b w:val="0"/>
                <w:i w:val="0"/>
                <w:color w:val="4A5568"/>
                <w:sz w:val="21"/>
              </w:rPr>
              <w:t>Showroom table only</w:t>
            </w:r>
          </w:p>
        </w:tc>
        <w:tc>
          <w:tcPr>
            <w:tcW w:type="dxa" w:w="1152"/>
            <w:shd w:val="clear" w:color="auto" w:fill="FFFFFF"/>
            <w:vAlign w:val="center"/>
          </w:tcPr>
          <w:p>
            <w:pPr>
              <w:spacing w:before="60" w:after="60"/>
              <w:jc w:val="center"/>
            </w:pPr>
            <w:r>
              <w:rPr>
                <w:rFonts w:ascii="Calibri" w:hAnsi="Calibri"/>
                <w:b w:val="0"/>
                <w:i w:val="0"/>
                <w:color w:val="6B7280"/>
                <w:sz w:val="21"/>
              </w:rPr>
              <w:t>☐  ☐  ☐</w:t>
            </w:r>
          </w:p>
        </w:tc>
      </w:tr>
      <w:tr>
        <w:tc>
          <w:tcPr>
            <w:tcW w:type="dxa" w:w="4896"/>
            <w:shd w:val="clear" w:color="auto" w:fill="F4F6F8"/>
            <w:vAlign w:val="center"/>
          </w:tcPr>
          <w:p>
            <w:pPr>
              <w:spacing w:before="60" w:after="60"/>
            </w:pPr>
            <w:r>
              <w:rPr>
                <w:rFonts w:ascii="Calibri" w:hAnsi="Calibri"/>
                <w:b w:val="0"/>
                <w:i w:val="0"/>
                <w:sz w:val="21"/>
              </w:rPr>
              <w:t>Appointment notes</w:t>
            </w:r>
          </w:p>
        </w:tc>
        <w:tc>
          <w:tcPr>
            <w:tcW w:type="dxa" w:w="3456"/>
            <w:shd w:val="clear" w:color="auto" w:fill="F4F6F8"/>
            <w:vAlign w:val="center"/>
          </w:tcPr>
          <w:p>
            <w:pPr>
              <w:spacing w:before="60" w:after="60"/>
            </w:pPr>
            <w:r>
              <w:rPr>
                <w:rFonts w:ascii="Calibri" w:hAnsi="Calibri"/>
                <w:b w:val="0"/>
                <w:i w:val="0"/>
                <w:color w:val="4A5568"/>
                <w:sz w:val="21"/>
              </w:rPr>
              <w:t>Appointment detail + print</w:t>
            </w:r>
          </w:p>
        </w:tc>
        <w:tc>
          <w:tcPr>
            <w:tcW w:type="dxa" w:w="1152"/>
            <w:shd w:val="clear" w:color="auto" w:fill="F4F6F8"/>
            <w:vAlign w:val="center"/>
          </w:tcPr>
          <w:p>
            <w:pPr>
              <w:spacing w:before="60" w:after="60"/>
              <w:jc w:val="center"/>
            </w:pPr>
            <w:r>
              <w:rPr>
                <w:rFonts w:ascii="Calibri" w:hAnsi="Calibri"/>
                <w:b w:val="0"/>
                <w:i w:val="0"/>
                <w:color w:val="6B7280"/>
                <w:sz w:val="21"/>
              </w:rPr>
              <w:t>☐  ☐  ☐</w:t>
            </w:r>
          </w:p>
        </w:tc>
      </w:tr>
      <w:tr>
        <w:tc>
          <w:tcPr>
            <w:tcW w:type="dxa" w:w="4896"/>
            <w:shd w:val="clear" w:color="auto" w:fill="FFFFFF"/>
            <w:vAlign w:val="center"/>
          </w:tcPr>
          <w:p>
            <w:pPr>
              <w:spacing w:before="60" w:after="60"/>
            </w:pPr>
            <w:r>
              <w:rPr>
                <w:rFonts w:ascii="Calibri" w:hAnsi="Calibri"/>
                <w:b w:val="0"/>
                <w:i w:val="0"/>
                <w:sz w:val="21"/>
              </w:rPr>
              <w:t>Register-close notes</w:t>
            </w:r>
          </w:p>
        </w:tc>
        <w:tc>
          <w:tcPr>
            <w:tcW w:type="dxa" w:w="3456"/>
            <w:shd w:val="clear" w:color="auto" w:fill="FFFFFF"/>
            <w:vAlign w:val="center"/>
          </w:tcPr>
          <w:p>
            <w:pPr>
              <w:spacing w:before="60" w:after="60"/>
            </w:pPr>
            <w:r>
              <w:rPr>
                <w:rFonts w:ascii="Calibri" w:hAnsi="Calibri"/>
                <w:b w:val="0"/>
                <w:i w:val="0"/>
                <w:color w:val="4A5568"/>
                <w:sz w:val="21"/>
              </w:rPr>
              <w:t>Register gate + EOD</w:t>
            </w:r>
          </w:p>
        </w:tc>
        <w:tc>
          <w:tcPr>
            <w:tcW w:type="dxa" w:w="1152"/>
            <w:shd w:val="clear" w:color="auto" w:fill="FFFFFF"/>
            <w:vAlign w:val="center"/>
          </w:tcPr>
          <w:p>
            <w:pPr>
              <w:spacing w:before="60" w:after="60"/>
              <w:jc w:val="center"/>
            </w:pPr>
            <w:r>
              <w:rPr>
                <w:rFonts w:ascii="Calibri" w:hAnsi="Calibri"/>
                <w:b w:val="0"/>
                <w:i w:val="0"/>
                <w:color w:val="6B7280"/>
                <w:sz w:val="21"/>
              </w:rPr>
              <w:t>☐  ☐  ☐</w:t>
            </w:r>
          </w:p>
        </w:tc>
      </w:tr>
      <w:tr>
        <w:tc>
          <w:tcPr>
            <w:tcW w:type="dxa" w:w="4896"/>
            <w:shd w:val="clear" w:color="auto" w:fill="F4F6F8"/>
            <w:vAlign w:val="center"/>
          </w:tcPr>
          <w:p>
            <w:pPr>
              <w:spacing w:before="60" w:after="60"/>
            </w:pPr>
            <w:r>
              <w:rPr>
                <w:rFonts w:ascii="Calibri" w:hAnsi="Calibri"/>
                <w:b w:val="0"/>
                <w:i w:val="0"/>
                <w:sz w:val="21"/>
              </w:rPr>
              <w:t>Transfer notes + discrepancy notes</w:t>
            </w:r>
          </w:p>
        </w:tc>
        <w:tc>
          <w:tcPr>
            <w:tcW w:type="dxa" w:w="3456"/>
            <w:shd w:val="clear" w:color="auto" w:fill="F4F6F8"/>
            <w:vAlign w:val="center"/>
          </w:tcPr>
          <w:p>
            <w:pPr>
              <w:spacing w:before="60" w:after="60"/>
            </w:pPr>
            <w:r>
              <w:rPr>
                <w:rFonts w:ascii="Calibri" w:hAnsi="Calibri"/>
                <w:b w:val="0"/>
                <w:i w:val="0"/>
                <w:color w:val="4A5568"/>
                <w:sz w:val="21"/>
              </w:rPr>
              <w:t>Transfer detail</w:t>
            </w:r>
          </w:p>
        </w:tc>
        <w:tc>
          <w:tcPr>
            <w:tcW w:type="dxa" w:w="1152"/>
            <w:shd w:val="clear" w:color="auto" w:fill="F4F6F8"/>
            <w:vAlign w:val="center"/>
          </w:tcPr>
          <w:p>
            <w:pPr>
              <w:spacing w:before="60" w:after="60"/>
              <w:jc w:val="center"/>
            </w:pPr>
            <w:r>
              <w:rPr>
                <w:rFonts w:ascii="Calibri" w:hAnsi="Calibri"/>
                <w:b w:val="0"/>
                <w:i w:val="0"/>
                <w:color w:val="6B7280"/>
                <w:sz w:val="21"/>
              </w:rPr>
              <w:t>☐  ☐  ☐</w:t>
            </w:r>
          </w:p>
        </w:tc>
      </w:tr>
      <w:tr>
        <w:tc>
          <w:tcPr>
            <w:tcW w:type="dxa" w:w="4896"/>
            <w:shd w:val="clear" w:color="auto" w:fill="FFFFFF"/>
            <w:vAlign w:val="center"/>
          </w:tcPr>
          <w:p>
            <w:pPr>
              <w:spacing w:before="60" w:after="60"/>
            </w:pPr>
            <w:r>
              <w:rPr>
                <w:rFonts w:ascii="Calibri" w:hAnsi="Calibri"/>
                <w:b w:val="0"/>
                <w:i w:val="0"/>
                <w:sz w:val="21"/>
              </w:rPr>
              <w:t>Stock-movement / adjustment notes</w:t>
            </w:r>
          </w:p>
        </w:tc>
        <w:tc>
          <w:tcPr>
            <w:tcW w:type="dxa" w:w="3456"/>
            <w:shd w:val="clear" w:color="auto" w:fill="FFFFFF"/>
            <w:vAlign w:val="center"/>
          </w:tcPr>
          <w:p>
            <w:pPr>
              <w:spacing w:before="60" w:after="60"/>
            </w:pPr>
            <w:r>
              <w:rPr>
                <w:rFonts w:ascii="Calibri" w:hAnsi="Calibri"/>
                <w:b w:val="0"/>
                <w:i w:val="0"/>
                <w:color w:val="4A5568"/>
                <w:sz w:val="21"/>
              </w:rPr>
              <w:t>Inventory item detail</w:t>
            </w:r>
          </w:p>
        </w:tc>
        <w:tc>
          <w:tcPr>
            <w:tcW w:type="dxa" w:w="1152"/>
            <w:shd w:val="clear" w:color="auto" w:fill="FFFFFF"/>
            <w:vAlign w:val="center"/>
          </w:tcPr>
          <w:p>
            <w:pPr>
              <w:spacing w:before="60" w:after="60"/>
              <w:jc w:val="center"/>
            </w:pPr>
            <w:r>
              <w:rPr>
                <w:rFonts w:ascii="Calibri" w:hAnsi="Calibri"/>
                <w:b w:val="0"/>
                <w:i w:val="0"/>
                <w:color w:val="6B7280"/>
                <w:sz w:val="21"/>
              </w:rPr>
              <w:t>☐  ☐  ☐</w:t>
            </w:r>
          </w:p>
        </w:tc>
      </w:tr>
      <w:tr>
        <w:tc>
          <w:tcPr>
            <w:tcW w:type="dxa" w:w="4896"/>
            <w:shd w:val="clear" w:color="auto" w:fill="F4F6F8"/>
            <w:vAlign w:val="center"/>
          </w:tcPr>
          <w:p>
            <w:pPr>
              <w:spacing w:before="60" w:after="60"/>
            </w:pPr>
            <w:r>
              <w:rPr>
                <w:rFonts w:ascii="Calibri" w:hAnsi="Calibri"/>
                <w:b w:val="0"/>
                <w:i w:val="0"/>
                <w:sz w:val="21"/>
              </w:rPr>
              <w:t>Feedback notes (trial / collection)</w:t>
            </w:r>
          </w:p>
        </w:tc>
        <w:tc>
          <w:tcPr>
            <w:tcW w:type="dxa" w:w="3456"/>
            <w:shd w:val="clear" w:color="auto" w:fill="F4F6F8"/>
            <w:vAlign w:val="center"/>
          </w:tcPr>
          <w:p>
            <w:pPr>
              <w:spacing w:before="60" w:after="60"/>
            </w:pPr>
            <w:r>
              <w:rPr>
                <w:rFonts w:ascii="Calibri" w:hAnsi="Calibri"/>
                <w:b w:val="0"/>
                <w:i w:val="0"/>
                <w:color w:val="4A5568"/>
                <w:sz w:val="21"/>
              </w:rPr>
              <w:t>POS feedback + workshop garment detail</w:t>
            </w:r>
          </w:p>
        </w:tc>
        <w:tc>
          <w:tcPr>
            <w:tcW w:type="dxa" w:w="1152"/>
            <w:shd w:val="clear" w:color="auto" w:fill="F4F6F8"/>
            <w:vAlign w:val="center"/>
          </w:tcPr>
          <w:p>
            <w:pPr>
              <w:spacing w:before="60" w:after="60"/>
              <w:jc w:val="center"/>
            </w:pPr>
            <w:r>
              <w:rPr>
                <w:rFonts w:ascii="Calibri" w:hAnsi="Calibri"/>
                <w:b w:val="0"/>
                <w:i w:val="0"/>
                <w:color w:val="6B7280"/>
                <w:sz w:val="21"/>
              </w:rPr>
              <w:t>☐  ☐  ☐</w:t>
            </w:r>
          </w:p>
        </w:tc>
      </w:tr>
      <w:tr>
        <w:tc>
          <w:tcPr>
            <w:tcW w:type="dxa" w:w="4896"/>
            <w:shd w:val="clear" w:color="auto" w:fill="FFFFFF"/>
            <w:vAlign w:val="center"/>
          </w:tcPr>
          <w:p>
            <w:pPr>
              <w:spacing w:before="60" w:after="60"/>
            </w:pPr>
            <w:r>
              <w:rPr>
                <w:rFonts w:ascii="Calibri" w:hAnsi="Calibri"/>
                <w:b w:val="0"/>
                <w:i w:val="0"/>
                <w:sz w:val="21"/>
              </w:rPr>
              <w:t>Alteration order “comments”</w:t>
            </w:r>
          </w:p>
        </w:tc>
        <w:tc>
          <w:tcPr>
            <w:tcW w:type="dxa" w:w="3456"/>
            <w:shd w:val="clear" w:color="auto" w:fill="FFFFFF"/>
            <w:vAlign w:val="center"/>
          </w:tcPr>
          <w:p>
            <w:pPr>
              <w:spacing w:before="60" w:after="60"/>
            </w:pPr>
            <w:r>
              <w:rPr>
                <w:rFonts w:ascii="Calibri" w:hAnsi="Calibri"/>
                <w:b w:val="0"/>
                <w:i/>
                <w:color w:val="B03A2E"/>
                <w:sz w:val="21"/>
              </w:rPr>
              <w:t>No UI captures it. Nowhere.</w:t>
            </w:r>
          </w:p>
        </w:tc>
        <w:tc>
          <w:tcPr>
            <w:tcW w:type="dxa" w:w="1152"/>
            <w:shd w:val="clear" w:color="auto" w:fill="FFFFFF"/>
            <w:vAlign w:val="center"/>
          </w:tcPr>
          <w:p>
            <w:pPr>
              <w:spacing w:before="60" w:after="60"/>
              <w:jc w:val="center"/>
            </w:pPr>
            <w:r>
              <w:rPr>
                <w:rFonts w:ascii="Calibri" w:hAnsi="Calibri"/>
                <w:b w:val="0"/>
                <w:i w:val="0"/>
                <w:color w:val="6B7280"/>
                <w:sz w:val="21"/>
              </w:rPr>
              <w:t>☐  ☐  ☐</w:t>
            </w:r>
          </w:p>
        </w:tc>
      </w:tr>
    </w:tbl>
    <w:p>
      <w:pPr>
        <w:spacing w:before="120" w:after="40" w:line="312" w:lineRule="auto"/>
        <w:ind w:left="216"/>
      </w:pPr>
      <w:r>
        <w:rPr>
          <w:rFonts w:ascii="Calibri" w:hAnsi="Calibri"/>
          <w:b/>
          <w:i/>
          <w:color w:val="6B7280"/>
          <w:sz w:val="20"/>
        </w:rPr>
        <w:t xml:space="preserve">Edge cases to follow up.  </w:t>
      </w:r>
      <w:r>
        <w:rPr>
          <w:rFonts w:ascii="Calibri" w:hAnsi="Calibri"/>
          <w:b w:val="0"/>
          <w:i/>
          <w:color w:val="6B7280"/>
          <w:sz w:val="20"/>
        </w:rPr>
        <w:t>per note kind: required vs optional; which roles can write it; the exact downstream surfaces it needs to appear on.</w:t>
      </w:r>
    </w:p>
    <w:p>
      <w:pPr>
        <w:keepNext/>
        <w:spacing w:before="440" w:after="160"/>
        <w:pBdr>
          <w:bottom w:val="single" w:sz="6" w:space="4" w:color="BFC5CC"/>
        </w:pBdr>
      </w:pPr>
      <w:r>
        <w:rPr>
          <w:rFonts w:ascii="Calibri" w:hAnsi="Calibri"/>
          <w:b/>
          <w:i w:val="0"/>
          <w:color w:val="2C5F4A"/>
          <w:sz w:val="30"/>
        </w:rPr>
        <w:t xml:space="preserve">3.  </w:t>
      </w:r>
      <w:r>
        <w:rPr>
          <w:rFonts w:ascii="Calibri" w:hAnsi="Calibri"/>
          <w:b/>
          <w:i w:val="0"/>
          <w:color w:val="1F3A5F"/>
          <w:sz w:val="30"/>
        </w:rPr>
        <w:t>Customer-brought alteration order type</w:t>
      </w:r>
    </w:p>
    <w:p>
      <w:pPr>
        <w:spacing w:before="80" w:after="80"/>
      </w:pPr>
      <w:r>
        <w:rPr>
          <w:rFonts w:ascii="Calibri" w:hAnsi="Calibri"/>
          <w:b/>
          <w:i w:val="0"/>
          <w:color w:val="1F3A5F"/>
          <w:sz w:val="22"/>
        </w:rPr>
        <w:t xml:space="preserve">Status:  </w:t>
      </w:r>
      <w:r>
        <w:rPr>
          <w:rFonts w:ascii="Calibri" w:hAnsi="Calibri"/>
          <w:b w:val="0"/>
          <w:i/>
          <w:color w:val="B03A2E"/>
          <w:sz w:val="22"/>
        </w:rPr>
        <w:t>pending — flow is half-built.</w:t>
      </w:r>
    </w:p>
    <w:p>
      <w:pPr>
        <w:spacing w:before="120" w:after="40" w:line="312" w:lineRule="auto"/>
      </w:pPr>
      <w:r>
        <w:rPr>
          <w:rFonts w:ascii="Calibri" w:hAnsi="Calibri"/>
          <w:b/>
          <w:i w:val="0"/>
          <w:color w:val="1F3A5F"/>
          <w:sz w:val="22"/>
        </w:rPr>
        <w:t xml:space="preserve">Scenario.  </w:t>
      </w:r>
      <w:r>
        <w:rPr>
          <w:rFonts w:ascii="Calibri" w:hAnsi="Calibri"/>
          <w:b w:val="0"/>
          <w:i w:val="0"/>
          <w:sz w:val="22"/>
        </w:rPr>
        <w:t>A customer walks in with a thobe they already own (whether bought from us or somewhere else) and asks for it to be altered — say, “shorten the sleeves by 2cm and take in the chest.” This is a different kind of work from making a new thobe: there is no fabric to choose, no style to pick, the garment already exists and just needs adjustments. The system has a separate order type for this kind of job, distinct from a normal new-garment order.</w:t>
      </w:r>
    </w:p>
    <w:p>
      <w:pPr>
        <w:spacing w:before="120" w:after="40" w:line="312" w:lineRule="auto"/>
      </w:pPr>
      <w:r>
        <w:rPr>
          <w:rFonts w:ascii="Calibri" w:hAnsi="Calibri"/>
          <w:b/>
          <w:i w:val="0"/>
          <w:color w:val="1F3A5F"/>
          <w:sz w:val="22"/>
        </w:rPr>
        <w:t xml:space="preserve">What the system does today.  </w:t>
      </w:r>
      <w:r>
        <w:rPr>
          <w:rFonts w:ascii="Calibri" w:hAnsi="Calibri"/>
          <w:b w:val="0"/>
          <w:i w:val="0"/>
          <w:sz w:val="22"/>
        </w:rPr>
        <w:t>The shop can create the order — there is a wizard for it, the customer is linked, the requested alterations are typed in, a price is entered manually, and an invoice number is issued. The order appears in the shop's “alterations going out” list.</w:t>
      </w:r>
    </w:p>
    <w:p>
      <w:pPr>
        <w:spacing w:before="120" w:after="40" w:line="312" w:lineRule="auto"/>
      </w:pPr>
      <w:r>
        <w:rPr>
          <w:rFonts w:ascii="Calibri" w:hAnsi="Calibri"/>
          <w:b/>
          <w:i w:val="0"/>
          <w:color w:val="1F3A5F"/>
          <w:sz w:val="22"/>
        </w:rPr>
        <w:t xml:space="preserve">After that, almost nothing is wired up:  </w:t>
      </w:r>
      <w:r>
        <w:rPr>
          <w:rFonts w:ascii="Calibri" w:hAnsi="Calibri"/>
          <w:b w:val="0"/>
          <w:i w:val="0"/>
          <w:sz w:val="22"/>
        </w:rPr>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There is no way to edit the order after creating it.</w:t>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There is no payment flow — the cashier does not see this order in their queue.</w:t>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There is no way to send the garment to the workshop.</w:t>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The workshop has no dedicated view for it; the production stages (cutting, sewing, finishing) don’t naturally apply.</w:t>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There is no “ready for pickup” state and no collection flow.</w:t>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There is no cancellation or refund rule.</w:t>
      </w:r>
    </w:p>
    <w:p>
      <w:pPr>
        <w:spacing w:before="80" w:after="80" w:line="312" w:lineRule="auto"/>
      </w:pPr>
      <w:r>
        <w:rPr>
          <w:rFonts w:ascii="Calibri" w:hAnsi="Calibri"/>
          <w:b w:val="0"/>
          <w:i/>
          <w:color w:val="B03A2E"/>
          <w:sz w:val="22"/>
        </w:rPr>
        <w:t>We can take the order in, but we cannot finish it through the system.</w:t>
      </w:r>
    </w:p>
    <w:p>
      <w:pPr>
        <w:spacing w:before="120" w:after="40" w:line="312" w:lineRule="auto"/>
      </w:pPr>
      <w:r>
        <w:rPr>
          <w:rFonts w:ascii="Calibri" w:hAnsi="Calibri"/>
          <w:b/>
          <w:i w:val="0"/>
          <w:color w:val="1F3A5F"/>
          <w:sz w:val="22"/>
        </w:rPr>
        <w:t xml:space="preserve">Core question.  </w:t>
      </w:r>
      <w:r>
        <w:rPr>
          <w:rFonts w:ascii="Calibri" w:hAnsi="Calibri"/>
          <w:b w:val="0"/>
          <w:i w:val="0"/>
          <w:sz w:val="22"/>
        </w:rPr>
        <w:t>Before we build the rest, one decision shapes everything else. Does an alteration order follow the same lifecycle as a normal new-garment order — going through cutting → sewing → finishing → QC → ready for pickup, showing up in the same showroom labels, paid via the same cashier flow — or is it a separate, simpler chain (intake → alter → press → ready) with its own labels and its own payment path?</w:t>
      </w:r>
    </w:p>
    <w:p>
      <w:pPr>
        <w:spacing w:before="120" w:after="40" w:line="312" w:lineRule="auto"/>
        <w:ind w:left="216"/>
      </w:pPr>
      <w:r>
        <w:rPr>
          <w:rFonts w:ascii="Calibri" w:hAnsi="Calibri"/>
          <w:b/>
          <w:i/>
          <w:color w:val="6B7280"/>
          <w:sz w:val="20"/>
        </w:rPr>
        <w:t xml:space="preserve">Edge cases to follow up.  </w:t>
      </w:r>
      <w:r>
        <w:rPr>
          <w:rFonts w:ascii="Calibri" w:hAnsi="Calibri"/>
          <w:b w:val="0"/>
          <w:i/>
          <w:color w:val="6B7280"/>
          <w:sz w:val="20"/>
        </w:rPr>
        <w:t>pricing model (per-issue catalogue, tiered, or fully manual); intake assessment (photos, damage notes); payment timing (upfront, deposit, on collection); whether the customer can pull the garment back mid-work and what that refund looks like.</w:t>
      </w:r>
    </w:p>
    <w:p>
      <w:pPr>
        <w:keepNext/>
        <w:spacing w:before="440" w:after="160"/>
        <w:pBdr>
          <w:bottom w:val="single" w:sz="6" w:space="4" w:color="BFC5CC"/>
        </w:pBdr>
      </w:pPr>
      <w:r>
        <w:rPr>
          <w:rFonts w:ascii="Calibri" w:hAnsi="Calibri"/>
          <w:b/>
          <w:i w:val="0"/>
          <w:color w:val="2C5F4A"/>
          <w:sz w:val="30"/>
        </w:rPr>
        <w:t xml:space="preserve">4.  </w:t>
      </w:r>
      <w:r>
        <w:rPr>
          <w:rFonts w:ascii="Calibri" w:hAnsi="Calibri"/>
          <w:b/>
          <w:i w:val="0"/>
          <w:color w:val="1F3A5F"/>
          <w:sz w:val="30"/>
        </w:rPr>
        <w:t>Inventory management — ownership and access</w:t>
      </w:r>
    </w:p>
    <w:p>
      <w:pPr>
        <w:spacing w:before="120" w:after="40" w:line="312" w:lineRule="auto"/>
      </w:pPr>
      <w:r>
        <w:rPr>
          <w:rFonts w:ascii="Calibri" w:hAnsi="Calibri"/>
          <w:b/>
          <w:i w:val="0"/>
          <w:color w:val="1F3A5F"/>
          <w:sz w:val="22"/>
        </w:rPr>
        <w:t xml:space="preserve">Scenario.  </w:t>
      </w:r>
      <w:r>
        <w:rPr>
          <w:rFonts w:ascii="Calibri" w:hAnsi="Calibri"/>
          <w:b w:val="0"/>
          <w:i w:val="0"/>
          <w:sz w:val="22"/>
        </w:rPr>
        <w:t>Today the two apps split inventory management between them:</w:t>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The shop app manages fabrics. Accessories and shelf items appear there as read-only.</w:t>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The workshop app manages accessories (buttons, thread, trims) and shelf items (pre-made garments on display). Fabrics appear there as read-only.</w:t>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Suppliers are shared across both apps.</w:t>
      </w:r>
    </w:p>
    <w:p>
      <w:pPr>
        <w:spacing w:before="120" w:after="40" w:line="312" w:lineRule="auto"/>
      </w:pPr>
      <w:r>
        <w:rPr>
          <w:rFonts w:ascii="Calibri" w:hAnsi="Calibri"/>
          <w:b/>
          <w:i w:val="0"/>
          <w:color w:val="1F3A5F"/>
          <w:sz w:val="22"/>
        </w:rPr>
        <w:t xml:space="preserve">Two moments where this split causes friction.  </w:t>
      </w:r>
      <w:r>
        <w:rPr>
          <w:rFonts w:ascii="Calibri" w:hAnsi="Calibri"/>
          <w:b w:val="0"/>
          <w:i w:val="0"/>
          <w:sz w:val="22"/>
        </w:rPr>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It is 11am. The cutter at the workshop is running out of black premium fabric. They cannot restock it themselves today — only shop staff can. So they call the shop, shop records the restock, and work continues.</w:t>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A customer scuffs a shelf garment on display in the shop. The shop cannot mark the count down to damage it — only the workshop can. So the shop calls the workshop and asks them to adjust the stock.</w:t>
      </w:r>
    </w:p>
    <w:p>
      <w:pPr>
        <w:spacing w:before="120" w:after="40" w:line="312" w:lineRule="auto"/>
      </w:pPr>
      <w:r>
        <w:rPr>
          <w:rFonts w:ascii="Calibri" w:hAnsi="Calibri"/>
          <w:b/>
          <w:i w:val="0"/>
          <w:color w:val="1F3A5F"/>
          <w:sz w:val="22"/>
        </w:rPr>
        <w:t xml:space="preserve">Core question.  </w:t>
      </w:r>
      <w:r>
        <w:rPr>
          <w:rFonts w:ascii="Calibri" w:hAnsi="Calibri"/>
          <w:b w:val="0"/>
          <w:i w:val="0"/>
          <w:sz w:val="22"/>
        </w:rPr>
        <w:t>Two decisions:</w:t>
      </w:r>
    </w:p>
    <w:p>
      <w:pPr>
        <w:spacing w:before="40" w:after="40" w:line="312" w:lineRule="auto"/>
        <w:ind w:left="432" w:hanging="432"/>
      </w:pPr>
      <w:r>
        <w:rPr>
          <w:rFonts w:ascii="Calibri" w:hAnsi="Calibri"/>
          <w:b/>
          <w:i w:val="0"/>
          <w:color w:val="4A5568"/>
          <w:sz w:val="22"/>
        </w:rPr>
        <w:t>1.  Ownership.</w:t>
      </w:r>
      <w:r>
        <w:rPr>
          <w:rFonts w:ascii="Calibri" w:hAnsi="Calibri"/>
          <w:b w:val="0"/>
          <w:i w:val="0"/>
          <w:sz w:val="22"/>
        </w:rPr>
        <w:t xml:space="preserve">  Does each item type stay owned by one side (today’s split: fabrics belong to the shop, accessories and shelf belong to the workshop), or should any manager be allowed to restock and adjust any item type from either app?</w:t>
      </w:r>
    </w:p>
    <w:p>
      <w:pPr>
        <w:spacing w:before="40" w:after="40" w:line="312" w:lineRule="auto"/>
        <w:ind w:left="432" w:hanging="432"/>
      </w:pPr>
      <w:r>
        <w:rPr>
          <w:rFonts w:ascii="Calibri" w:hAnsi="Calibri"/>
          <w:b/>
          <w:i w:val="0"/>
          <w:color w:val="4A5568"/>
          <w:sz w:val="22"/>
        </w:rPr>
        <w:t>2.  Role matrix.</w:t>
      </w:r>
      <w:r>
        <w:rPr>
          <w:rFonts w:ascii="Calibri" w:hAnsi="Calibri"/>
          <w:b w:val="0"/>
          <w:i w:val="0"/>
          <w:sz w:val="22"/>
        </w:rPr>
        <w:t xml:space="preserve">  We have five roles in the system: super_admin, admin, manager, staff, cashier. There are roughly eleven inventory actions: view stock, restock an item, adjust an item, delete or archive an item, manage suppliers, request a transfer, approve a transfer, dispatch a transfer, receive a transfer, cancel a transfer, see reports. We need a yes/no for every cell in that matrix. The version in the spec today does not match what the code actually enforces, so a fresh ruling is needed.</w:t>
      </w:r>
    </w:p>
    <w:p>
      <w:pPr>
        <w:spacing w:before="120" w:after="40" w:line="312" w:lineRule="auto"/>
        <w:ind w:left="216"/>
      </w:pPr>
      <w:r>
        <w:rPr>
          <w:rFonts w:ascii="Calibri" w:hAnsi="Calibri"/>
          <w:b/>
          <w:i/>
          <w:color w:val="6B7280"/>
          <w:sz w:val="20"/>
        </w:rPr>
        <w:t xml:space="preserve">Edge cases to follow up.  </w:t>
      </w:r>
      <w:r>
        <w:rPr>
          <w:rFonts w:ascii="Calibri" w:hAnsi="Calibri"/>
          <w:b w:val="0"/>
          <w:i/>
          <w:color w:val="6B7280"/>
          <w:sz w:val="20"/>
        </w:rPr>
        <w:t>cross-side actions (button hidden or just blocked?); whether staff can approve their own transfer requests; whether the person who raised a transfer request can cancel it themselves.</w:t>
      </w:r>
    </w:p>
    <w:p>
      <w:pPr>
        <w:keepNext/>
        <w:spacing w:before="440" w:after="160"/>
        <w:pBdr>
          <w:bottom w:val="single" w:sz="6" w:space="4" w:color="BFC5CC"/>
        </w:pBdr>
      </w:pPr>
      <w:r>
        <w:rPr>
          <w:rFonts w:ascii="Calibri" w:hAnsi="Calibri"/>
          <w:b/>
          <w:i w:val="0"/>
          <w:color w:val="2C5F4A"/>
          <w:sz w:val="30"/>
        </w:rPr>
        <w:t xml:space="preserve">5.  </w:t>
      </w:r>
      <w:r>
        <w:rPr>
          <w:rFonts w:ascii="Calibri" w:hAnsi="Calibri"/>
          <w:b/>
          <w:i w:val="0"/>
          <w:color w:val="1F3A5F"/>
          <w:sz w:val="30"/>
        </w:rPr>
        <w:t>Reject-Redo: after the replacement garment is created</w:t>
      </w:r>
    </w:p>
    <w:p>
      <w:pPr>
        <w:spacing w:before="120" w:after="40" w:line="312" w:lineRule="auto"/>
      </w:pPr>
      <w:r>
        <w:rPr>
          <w:rFonts w:ascii="Calibri" w:hAnsi="Calibri"/>
          <w:b/>
          <w:i w:val="0"/>
          <w:color w:val="1F3A5F"/>
          <w:sz w:val="22"/>
        </w:rPr>
        <w:t xml:space="preserve">Scenario.  </w:t>
      </w:r>
      <w:r>
        <w:rPr>
          <w:rFonts w:ascii="Calibri" w:hAnsi="Calibri"/>
          <w:b w:val="0"/>
          <w:i w:val="0"/>
          <w:sz w:val="22"/>
        </w:rPr>
        <w:t>A customer ordered a thobe. The workshop made the first trial garment (the brova). The customer comes in to try it on — and rejects it as “Redo.” Not a small fix; the design is wrong, start over. The original trial garment is thrown away. The workshop then manually creates a brand-new replacement trial garment from scratch.</w:t>
      </w:r>
    </w:p>
    <w:p>
      <w:pPr>
        <w:spacing w:before="120" w:after="40" w:line="312" w:lineRule="auto"/>
      </w:pPr>
      <w:r>
        <w:rPr>
          <w:rFonts w:ascii="Calibri" w:hAnsi="Calibri"/>
          <w:b/>
          <w:i w:val="0"/>
          <w:color w:val="1F3A5F"/>
          <w:sz w:val="22"/>
        </w:rPr>
        <w:t xml:space="preserve">What the system does today.  </w:t>
      </w:r>
      <w:r>
        <w:rPr>
          <w:rFonts w:ascii="Calibri" w:hAnsi="Calibri"/>
          <w:b w:val="0"/>
          <w:i w:val="0"/>
          <w:sz w:val="22"/>
        </w:rPr>
        <w:t>The replacement appears at the workshop, ready to be cut, with:</w:t>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The original’s measurements and design (copied across).</w:t>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The original’s production schedule — same delivery date, same assigned unit, same assigned person.</w:t>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No new charge to the customer; it’s free.</w:t>
      </w:r>
    </w:p>
    <w:p>
      <w:pPr>
        <w:spacing w:before="80" w:after="80" w:line="312" w:lineRule="auto"/>
      </w:pPr>
      <w:r>
        <w:rPr>
          <w:rFonts w:ascii="Calibri" w:hAnsi="Calibri"/>
          <w:b w:val="0"/>
          <w:i w:val="0"/>
          <w:sz w:val="22"/>
        </w:rPr>
        <w:t>From there it follows the same path as any new garment: cut → sew → finish → QC → dispatch to shop.</w:t>
      </w:r>
    </w:p>
    <w:p>
      <w:pPr>
        <w:spacing w:before="120" w:after="40" w:line="312" w:lineRule="auto"/>
      </w:pPr>
      <w:r>
        <w:rPr>
          <w:rFonts w:ascii="Calibri" w:hAnsi="Calibri"/>
          <w:b/>
          <w:i w:val="0"/>
          <w:color w:val="1F3A5F"/>
          <w:sz w:val="22"/>
        </w:rPr>
        <w:t xml:space="preserve">Core question.  </w:t>
      </w:r>
      <w:r>
        <w:rPr>
          <w:rFonts w:ascii="Calibri" w:hAnsi="Calibri"/>
          <w:b w:val="0"/>
          <w:i w:val="0"/>
          <w:sz w:val="22"/>
        </w:rPr>
        <w:t>Three decisions for the replacement:</w:t>
      </w:r>
    </w:p>
    <w:p>
      <w:pPr>
        <w:spacing w:before="40" w:after="40" w:line="312" w:lineRule="auto"/>
        <w:ind w:left="432" w:hanging="432"/>
      </w:pPr>
      <w:r>
        <w:rPr>
          <w:rFonts w:ascii="Calibri" w:hAnsi="Calibri"/>
          <w:b/>
          <w:i w:val="0"/>
          <w:color w:val="4A5568"/>
          <w:sz w:val="22"/>
        </w:rPr>
        <w:t>1.  Re-trial?</w:t>
      </w:r>
      <w:r>
        <w:rPr>
          <w:rFonts w:ascii="Calibri" w:hAnsi="Calibri"/>
          <w:b w:val="0"/>
          <w:i w:val="0"/>
          <w:sz w:val="22"/>
        </w:rPr>
        <w:t xml:space="preserve">  Does the customer come in to try the replacement before it becomes the final garment, or do we skip the trial because they already approved the new design verbally when they rejected the first one?</w:t>
      </w:r>
    </w:p>
    <w:p>
      <w:pPr>
        <w:spacing w:before="40" w:after="40" w:line="312" w:lineRule="auto"/>
        <w:ind w:left="432" w:hanging="432"/>
      </w:pPr>
      <w:r>
        <w:rPr>
          <w:rFonts w:ascii="Calibri" w:hAnsi="Calibri"/>
          <w:b/>
          <w:i w:val="0"/>
          <w:color w:val="4A5568"/>
          <w:sz w:val="22"/>
        </w:rPr>
        <w:t>2.  New delivery date?</w:t>
      </w:r>
      <w:r>
        <w:rPr>
          <w:rFonts w:ascii="Calibri" w:hAnsi="Calibri"/>
          <w:b w:val="0"/>
          <w:i w:val="0"/>
          <w:sz w:val="22"/>
        </w:rPr>
        <w:t xml:space="preserve">  Does it copy the original (sometimes a date already in the past), or must the staff enter a fresh date at the moment they create the replacement?</w:t>
      </w:r>
    </w:p>
    <w:p>
      <w:pPr>
        <w:spacing w:before="40" w:after="40" w:line="312" w:lineRule="auto"/>
        <w:ind w:left="432" w:hanging="432"/>
      </w:pPr>
      <w:r>
        <w:rPr>
          <w:rFonts w:ascii="Calibri" w:hAnsi="Calibri"/>
          <w:b/>
          <w:i w:val="0"/>
          <w:color w:val="4A5568"/>
          <w:sz w:val="22"/>
        </w:rPr>
        <w:t>3.  Charged?</w:t>
      </w:r>
      <w:r>
        <w:rPr>
          <w:rFonts w:ascii="Calibri" w:hAnsi="Calibri"/>
          <w:b w:val="0"/>
          <w:i w:val="0"/>
          <w:sz w:val="22"/>
        </w:rPr>
        <w:t xml:space="preserve">  Is the replacement always free (today’s behavior), or sometimes charged depending on whose fault the rejection was — the customer changed their mind vs. our mistake?</w:t>
      </w:r>
    </w:p>
    <w:p>
      <w:pPr>
        <w:spacing w:before="120" w:after="40" w:line="312" w:lineRule="auto"/>
        <w:ind w:left="216"/>
      </w:pPr>
      <w:r>
        <w:rPr>
          <w:rFonts w:ascii="Calibri" w:hAnsi="Calibri"/>
          <w:b/>
          <w:i/>
          <w:color w:val="6B7280"/>
          <w:sz w:val="20"/>
        </w:rPr>
        <w:t xml:space="preserve">Edge cases to follow up.  </w:t>
      </w:r>
      <w:r>
        <w:rPr>
          <w:rFonts w:ascii="Calibri" w:hAnsi="Calibri"/>
          <w:b w:val="0"/>
          <w:i/>
          <w:color w:val="6B7280"/>
          <w:sz w:val="20"/>
        </w:rPr>
        <w:t>parked finals when the replacement is itself a trial garment (re-park them, release them, or wait?); inherited production date landing in the past; replacement of a replacement (no limit on how many times this can happen).</w:t>
      </w:r>
    </w:p>
    <w:p>
      <w:pPr>
        <w:keepNext/>
        <w:spacing w:before="440" w:after="160"/>
        <w:pBdr>
          <w:bottom w:val="single" w:sz="6" w:space="4" w:color="BFC5CC"/>
        </w:pBdr>
      </w:pPr>
      <w:r>
        <w:rPr>
          <w:rFonts w:ascii="Calibri" w:hAnsi="Calibri"/>
          <w:b/>
          <w:i w:val="0"/>
          <w:color w:val="2C5F4A"/>
          <w:sz w:val="30"/>
        </w:rPr>
        <w:t xml:space="preserve">6.  </w:t>
      </w:r>
      <w:r>
        <w:rPr>
          <w:rFonts w:ascii="Calibri" w:hAnsi="Calibri"/>
          <w:b/>
          <w:i w:val="0"/>
          <w:color w:val="1F3A5F"/>
          <w:sz w:val="30"/>
        </w:rPr>
        <w:t>Linked orders — what does linking commit to?</w:t>
      </w:r>
    </w:p>
    <w:p>
      <w:pPr>
        <w:spacing w:before="120" w:after="40" w:line="312" w:lineRule="auto"/>
      </w:pPr>
      <w:r>
        <w:rPr>
          <w:rFonts w:ascii="Calibri" w:hAnsi="Calibri"/>
          <w:b/>
          <w:i w:val="0"/>
          <w:color w:val="1F3A5F"/>
          <w:sz w:val="22"/>
        </w:rPr>
        <w:t xml:space="preserve">Scenario.  </w:t>
      </w:r>
      <w:r>
        <w:rPr>
          <w:rFonts w:ascii="Calibri" w:hAnsi="Calibri"/>
          <w:b w:val="0"/>
          <w:i w:val="0"/>
          <w:sz w:val="22"/>
        </w:rPr>
        <w:t>Two brothers each place their own order. They want to collect at the same time and avoid two separate trips. The shop “links” the two orders and sets a single shared delivery date that applies to both.</w:t>
      </w:r>
    </w:p>
    <w:p>
      <w:pPr>
        <w:spacing w:before="120" w:after="40" w:line="312" w:lineRule="auto"/>
      </w:pPr>
      <w:r>
        <w:rPr>
          <w:rFonts w:ascii="Calibri" w:hAnsi="Calibri"/>
          <w:b/>
          <w:i w:val="0"/>
          <w:color w:val="1F3A5F"/>
          <w:sz w:val="22"/>
        </w:rPr>
        <w:t xml:space="preserve">What linking does today.  </w:t>
      </w:r>
      <w:r>
        <w:rPr>
          <w:rFonts w:ascii="Calibri" w:hAnsi="Calibri"/>
          <w:b w:val="0"/>
          <w:i w:val="0"/>
          <w:sz w:val="22"/>
        </w:rPr>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The two orders are visually grouped on the shop screens (showroom list, order history).</w:t>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They share one delivery date.</w:t>
      </w:r>
    </w:p>
    <w:p>
      <w:pPr>
        <w:spacing w:before="40" w:after="40" w:line="312" w:lineRule="auto"/>
        <w:ind w:left="576" w:hanging="288"/>
      </w:pPr>
      <w:r>
        <w:rPr>
          <w:rFonts w:ascii="Calibri" w:hAnsi="Calibri"/>
          <w:b w:val="0"/>
          <w:i w:val="0"/>
          <w:color w:val="4A5568"/>
          <w:sz w:val="22"/>
        </w:rPr>
        <w:t xml:space="preserve">•  </w:t>
      </w:r>
      <w:r>
        <w:rPr>
          <w:rFonts w:ascii="Calibri" w:hAnsi="Calibri"/>
          <w:b w:val="0"/>
          <w:i w:val="0"/>
          <w:sz w:val="22"/>
        </w:rPr>
        <w:t>Everything else stays independent: each order has its own invoice, tracks its own payment balance, can be picked up separately when ready, and can be cancelled without affecting the other.</w:t>
      </w:r>
    </w:p>
    <w:p>
      <w:pPr>
        <w:spacing w:before="120" w:after="40" w:line="312" w:lineRule="auto"/>
      </w:pPr>
      <w:r>
        <w:rPr>
          <w:rFonts w:ascii="Calibri" w:hAnsi="Calibri"/>
          <w:b/>
          <w:i w:val="0"/>
          <w:color w:val="1F3A5F"/>
          <w:sz w:val="22"/>
        </w:rPr>
        <w:t xml:space="preserve">Core question.  </w:t>
      </w:r>
      <w:r>
        <w:rPr>
          <w:rFonts w:ascii="Calibri" w:hAnsi="Calibri"/>
          <w:b w:val="0"/>
          <w:i w:val="0"/>
          <w:sz w:val="22"/>
        </w:rPr>
        <w:t>Beyond the shared delivery date and visual grouping, what else does linking commit to? Pick one per row:</w:t>
      </w:r>
    </w:p>
    <w:p>
      <w:pPr>
        <w:spacing w:before="40" w:after="40" w:line="312" w:lineRule="auto"/>
        <w:ind w:left="432" w:hanging="432"/>
      </w:pPr>
      <w:r>
        <w:rPr>
          <w:rFonts w:ascii="Calibri" w:hAnsi="Calibri"/>
          <w:b/>
          <w:i w:val="0"/>
          <w:color w:val="4A5568"/>
          <w:sz w:val="22"/>
        </w:rPr>
        <w:t>Invoice.</w:t>
      </w:r>
      <w:r>
        <w:rPr>
          <w:rFonts w:ascii="Calibri" w:hAnsi="Calibri"/>
          <w:b w:val="0"/>
          <w:i w:val="0"/>
          <w:sz w:val="22"/>
        </w:rPr>
        <w:t xml:space="preserve">  One invoice for the pair, or one per order (today)?</w:t>
      </w:r>
    </w:p>
    <w:p>
      <w:pPr>
        <w:spacing w:before="40" w:after="40" w:line="312" w:lineRule="auto"/>
        <w:ind w:left="432" w:hanging="432"/>
      </w:pPr>
      <w:r>
        <w:rPr>
          <w:rFonts w:ascii="Calibri" w:hAnsi="Calibri"/>
          <w:b/>
          <w:i w:val="0"/>
          <w:color w:val="4A5568"/>
          <w:sz w:val="22"/>
        </w:rPr>
        <w:t>Payment.</w:t>
      </w:r>
      <w:r>
        <w:rPr>
          <w:rFonts w:ascii="Calibri" w:hAnsi="Calibri"/>
          <w:b w:val="0"/>
          <w:i w:val="0"/>
          <w:sz w:val="22"/>
        </w:rPr>
        <w:t xml:space="preserve">  One shared balance for the group, or one per order (today)?</w:t>
      </w:r>
    </w:p>
    <w:p>
      <w:pPr>
        <w:spacing w:before="40" w:after="40" w:line="312" w:lineRule="auto"/>
        <w:ind w:left="432" w:hanging="432"/>
      </w:pPr>
      <w:r>
        <w:rPr>
          <w:rFonts w:ascii="Calibri" w:hAnsi="Calibri"/>
          <w:b/>
          <w:i w:val="0"/>
          <w:color w:val="4A5568"/>
          <w:sz w:val="22"/>
        </w:rPr>
        <w:t>Pickup.</w:t>
      </w:r>
      <w:r>
        <w:rPr>
          <w:rFonts w:ascii="Calibri" w:hAnsi="Calibri"/>
          <w:b w:val="0"/>
          <w:i w:val="0"/>
          <w:sz w:val="22"/>
        </w:rPr>
        <w:t xml:space="preserve">  Must collect together, or can each be collected on its own when ready (today)?</w:t>
      </w:r>
    </w:p>
    <w:p>
      <w:pPr>
        <w:spacing w:before="120" w:after="40" w:line="312" w:lineRule="auto"/>
        <w:ind w:left="216"/>
      </w:pPr>
      <w:r>
        <w:rPr>
          <w:rFonts w:ascii="Calibri" w:hAnsi="Calibri"/>
          <w:b/>
          <w:i/>
          <w:color w:val="6B7280"/>
          <w:sz w:val="20"/>
        </w:rPr>
        <w:t xml:space="preserve">Edge cases to follow up.  </w:t>
      </w:r>
      <w:r>
        <w:rPr>
          <w:rFonts w:ascii="Calibri" w:hAnsi="Calibri"/>
          <w:b w:val="0"/>
          <w:i/>
          <w:color w:val="6B7280"/>
          <w:sz w:val="20"/>
        </w:rPr>
        <w:t>cancelling one of a linked pair; refunding one; who can link or unlink and at what lifecycle stage; whether an order can be re-linked to a different group after being unlinked.</w:t>
      </w:r>
    </w:p>
    <w:p>
      <w:pPr>
        <w:keepNext/>
        <w:spacing w:before="440" w:after="160"/>
        <w:pBdr>
          <w:bottom w:val="single" w:sz="6" w:space="4" w:color="BFC5CC"/>
        </w:pBdr>
      </w:pPr>
      <w:r>
        <w:rPr>
          <w:rFonts w:ascii="Calibri" w:hAnsi="Calibri"/>
          <w:b/>
          <w:i w:val="0"/>
          <w:color w:val="2C5F4A"/>
          <w:sz w:val="30"/>
        </w:rPr>
        <w:t xml:space="preserve">7.  </w:t>
      </w:r>
      <w:r>
        <w:rPr>
          <w:rFonts w:ascii="Calibri" w:hAnsi="Calibri"/>
          <w:b/>
          <w:i w:val="0"/>
          <w:color w:val="1F3A5F"/>
          <w:sz w:val="30"/>
        </w:rPr>
        <w:t>Suppliers — what is a supplier to us?</w:t>
      </w:r>
    </w:p>
    <w:p>
      <w:pPr>
        <w:spacing w:before="120" w:after="40" w:line="312" w:lineRule="auto"/>
      </w:pPr>
      <w:r>
        <w:rPr>
          <w:rFonts w:ascii="Calibri" w:hAnsi="Calibri"/>
          <w:b/>
          <w:i w:val="0"/>
          <w:color w:val="1F3A5F"/>
          <w:sz w:val="22"/>
        </w:rPr>
        <w:t xml:space="preserve">Scenario.  </w:t>
      </w:r>
      <w:r>
        <w:rPr>
          <w:rFonts w:ascii="Calibri" w:hAnsi="Calibri"/>
          <w:b w:val="0"/>
          <w:i w:val="0"/>
          <w:sz w:val="22"/>
        </w:rPr>
        <w:t>A workshop manager is restocking thread. They pick “Al-Bayan Textiles” from the supplier list and record the restock. The stock movement is tagged with that supplier so we know where the thread came from.</w:t>
      </w:r>
    </w:p>
    <w:p>
      <w:pPr>
        <w:spacing w:before="120" w:after="40" w:line="312" w:lineRule="auto"/>
      </w:pPr>
      <w:r>
        <w:rPr>
          <w:rFonts w:ascii="Calibri" w:hAnsi="Calibri"/>
          <w:b/>
          <w:i w:val="0"/>
          <w:color w:val="1F3A5F"/>
          <w:sz w:val="22"/>
        </w:rPr>
        <w:t xml:space="preserve">What a supplier is today.  </w:t>
      </w:r>
      <w:r>
        <w:rPr>
          <w:rFonts w:ascii="Calibri" w:hAnsi="Calibri"/>
          <w:b w:val="0"/>
          <w:i w:val="0"/>
          <w:sz w:val="22"/>
        </w:rPr>
        <w:t>A five-field record: name, phone, email, free-text notes, and an archived flag. No money tracked against a supplier, no lead time, no payment terms, no separate contact person, no address.</w:t>
      </w:r>
    </w:p>
    <w:p>
      <w:pPr>
        <w:spacing w:before="120" w:after="40" w:line="312" w:lineRule="auto"/>
      </w:pPr>
      <w:r>
        <w:rPr>
          <w:rFonts w:ascii="Calibri" w:hAnsi="Calibri"/>
          <w:b/>
          <w:i w:val="0"/>
          <w:color w:val="1F3A5F"/>
          <w:sz w:val="22"/>
        </w:rPr>
        <w:t xml:space="preserve">Core question.  </w:t>
      </w:r>
      <w:r>
        <w:rPr>
          <w:rFonts w:ascii="Calibri" w:hAnsi="Calibri"/>
          <w:b w:val="0"/>
          <w:i w:val="0"/>
          <w:sz w:val="22"/>
        </w:rPr>
        <w:t>Two decisions:</w:t>
      </w:r>
    </w:p>
    <w:p>
      <w:pPr>
        <w:spacing w:before="40" w:after="40" w:line="312" w:lineRule="auto"/>
        <w:ind w:left="432" w:hanging="432"/>
      </w:pPr>
      <w:r>
        <w:rPr>
          <w:rFonts w:ascii="Calibri" w:hAnsi="Calibri"/>
          <w:b/>
          <w:i w:val="0"/>
          <w:color w:val="4A5568"/>
          <w:sz w:val="22"/>
        </w:rPr>
        <w:t>1.  What is a supplier record actually for?</w:t>
      </w:r>
    </w:p>
    <w:p>
      <w:pPr>
        <w:spacing w:before="40" w:after="40" w:line="312" w:lineRule="auto"/>
        <w:ind w:left="864" w:hanging="288"/>
      </w:pPr>
      <w:r>
        <w:rPr>
          <w:rFonts w:ascii="Calibri" w:hAnsi="Calibri"/>
          <w:b w:val="0"/>
          <w:i w:val="0"/>
          <w:color w:val="4A5568"/>
          <w:sz w:val="22"/>
        </w:rPr>
        <w:t xml:space="preserve">•  </w:t>
      </w:r>
      <w:r>
        <w:rPr>
          <w:rFonts w:ascii="Calibri" w:hAnsi="Calibri"/>
          <w:b w:val="0"/>
          <w:i w:val="0"/>
          <w:sz w:val="22"/>
        </w:rPr>
        <w:t>(a) Just a label — today’s behavior. We know where stock came from. Nothing more.</w:t>
      </w:r>
    </w:p>
    <w:p>
      <w:pPr>
        <w:spacing w:before="40" w:after="40" w:line="312" w:lineRule="auto"/>
        <w:ind w:left="864" w:hanging="288"/>
      </w:pPr>
      <w:r>
        <w:rPr>
          <w:rFonts w:ascii="Calibri" w:hAnsi="Calibri"/>
          <w:b w:val="0"/>
          <w:i w:val="0"/>
          <w:color w:val="4A5568"/>
          <w:sz w:val="22"/>
        </w:rPr>
        <w:t xml:space="preserve">•  </w:t>
      </w:r>
      <w:r>
        <w:rPr>
          <w:rFonts w:ascii="Calibri" w:hAnsi="Calibri"/>
          <w:b w:val="0"/>
          <w:i w:val="0"/>
          <w:sz w:val="22"/>
        </w:rPr>
        <w:t>(b) A real business relationship — we also track lead time (how many days from order to arrival), payment terms (net 30, prepaid, etc.), preferred contact person, address. No money tracking, but enough to actually reorder properly.</w:t>
      </w:r>
    </w:p>
    <w:p>
      <w:pPr>
        <w:spacing w:before="40" w:after="40" w:line="312" w:lineRule="auto"/>
        <w:ind w:left="864" w:hanging="288"/>
      </w:pPr>
      <w:r>
        <w:rPr>
          <w:rFonts w:ascii="Calibri" w:hAnsi="Calibri"/>
          <w:b w:val="0"/>
          <w:i w:val="0"/>
          <w:color w:val="4A5568"/>
          <w:sz w:val="22"/>
        </w:rPr>
        <w:t xml:space="preserve">•  </w:t>
      </w:r>
      <w:r>
        <w:rPr>
          <w:rFonts w:ascii="Calibri" w:hAnsi="Calibri"/>
          <w:b w:val="0"/>
          <w:i w:val="0"/>
          <w:sz w:val="22"/>
        </w:rPr>
        <w:t>(c) An accounts-payable relationship — (b) plus money: we track invoices owed and payments made against each supplier, with a running balance.</w:t>
      </w:r>
    </w:p>
    <w:p>
      <w:pPr>
        <w:spacing w:before="40" w:after="40" w:line="312" w:lineRule="auto"/>
        <w:ind w:left="432" w:hanging="432"/>
      </w:pPr>
      <w:r>
        <w:rPr>
          <w:rFonts w:ascii="Calibri" w:hAnsi="Calibri"/>
          <w:b/>
          <w:i w:val="0"/>
          <w:color w:val="4A5568"/>
          <w:sz w:val="22"/>
        </w:rPr>
        <w:t>2.  Scope.</w:t>
      </w:r>
      <w:r>
        <w:rPr>
          <w:rFonts w:ascii="Calibri" w:hAnsi="Calibri"/>
          <w:b w:val="0"/>
          <w:i w:val="0"/>
          <w:sz w:val="22"/>
        </w:rPr>
        <w:t xml:space="preserve">  Is the supplier list shared across both apps (today), or scoped per side — shop has its own supplier list, workshop has its own?</w:t>
      </w:r>
    </w:p>
    <w:p>
      <w:pPr>
        <w:spacing w:before="120" w:after="40" w:line="312" w:lineRule="auto"/>
        <w:ind w:left="216"/>
      </w:pPr>
      <w:r>
        <w:rPr>
          <w:rFonts w:ascii="Calibri" w:hAnsi="Calibri"/>
          <w:b/>
          <w:i/>
          <w:color w:val="6B7280"/>
          <w:sz w:val="20"/>
        </w:rPr>
        <w:t xml:space="preserve">Edge cases to follow up.  </w:t>
      </w:r>
      <w:r>
        <w:rPr>
          <w:rFonts w:ascii="Calibri" w:hAnsi="Calibri"/>
          <w:b w:val="0"/>
          <w:i/>
          <w:color w:val="6B7280"/>
          <w:sz w:val="20"/>
        </w:rPr>
        <w:t>preventing near-duplicate entries (“Al-Bayan Textiles” vs. “Al-Bayan Textiles Co.”); whether suppliers can ever be hard-deleted or only archived; tracking multiple suppliers per item; allowing inline creation of a supplier during restock; cross-side edit permissions.</w:t>
      </w:r>
    </w:p>
    <w:p/>
    <w:p>
      <w:pPr>
        <w:spacing w:before="400" w:after="40"/>
        <w:pBdr>
          <w:top w:val="single" w:sz="6" w:space="8" w:color="BFC5CC"/>
        </w:pBdr>
      </w:pPr>
      <w:r>
        <w:rPr>
          <w:rFonts w:ascii="Calibri" w:hAnsi="Calibri"/>
          <w:b w:val="0"/>
          <w:i/>
          <w:color w:val="6B7280"/>
          <w:sz w:val="19"/>
        </w:rPr>
        <w:t>Resolved questions are folded into the product spec and removed from this document. New questions follow the same shape: Scenario → What the system does today → Core question → Edge cases to follow up.</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