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F56D2" w14:textId="77777777" w:rsidR="002E421B" w:rsidRDefault="002E421B" w:rsidP="002E421B">
      <w:pPr>
        <w:jc w:val="lowKashida"/>
      </w:pPr>
      <w:r>
        <w:t>Explanation of Results and Visualizations</w:t>
      </w:r>
    </w:p>
    <w:p w14:paraId="55527C45" w14:textId="77777777" w:rsidR="002E421B" w:rsidRPr="002E421B" w:rsidRDefault="002E421B" w:rsidP="002E421B">
      <w:pPr>
        <w:pStyle w:val="Heading1"/>
        <w:jc w:val="lowKashida"/>
      </w:pPr>
      <w:r w:rsidRPr="002E421B">
        <w:t>Decision Tree Model</w:t>
      </w:r>
    </w:p>
    <w:p w14:paraId="4ECB76C2" w14:textId="5ADE71BE" w:rsidR="002E421B" w:rsidRDefault="002E421B" w:rsidP="002E421B">
      <w:pPr>
        <w:jc w:val="lowKashida"/>
      </w:pPr>
      <w:r>
        <w:t>The decision tree model was trained to predict stroke occurrence based on features such as age, BMI, average glucose levels, and smoking status. The tree has a maximum depth of 6 to balance complexity and interpretability. While the overall model accuracy is 78.57%, the classification report highlights significant class imbalance:</w:t>
      </w:r>
    </w:p>
    <w:p w14:paraId="6E97CE82" w14:textId="77777777" w:rsidR="002E421B" w:rsidRDefault="002E421B" w:rsidP="002E421B">
      <w:pPr>
        <w:pStyle w:val="ListParagraph"/>
        <w:numPr>
          <w:ilvl w:val="0"/>
          <w:numId w:val="1"/>
        </w:numPr>
        <w:jc w:val="lowKashida"/>
      </w:pPr>
      <w:r>
        <w:t>Class 0 (No Stroke): The model performs well, with high precision (0.95) and recall (0.81).</w:t>
      </w:r>
    </w:p>
    <w:p w14:paraId="32FDB4E4" w14:textId="50DA4FDB" w:rsidR="00532CCF" w:rsidRDefault="002E421B" w:rsidP="002E421B">
      <w:pPr>
        <w:pStyle w:val="ListParagraph"/>
        <w:numPr>
          <w:ilvl w:val="0"/>
          <w:numId w:val="1"/>
        </w:numPr>
        <w:jc w:val="lowKashida"/>
      </w:pPr>
      <w:r>
        <w:t>Class 1 (Stroke): Performance is limited due to the small sample size of positive stroke cases, with low precision (0.12) and recall (0.39). Oversampling via SMOTE improves recall but doesn't fully address the imbalance.</w:t>
      </w:r>
    </w:p>
    <w:p w14:paraId="0D9F75C3" w14:textId="77777777" w:rsidR="002E421B" w:rsidRDefault="002E421B" w:rsidP="002E421B">
      <w:pPr>
        <w:jc w:val="lowKashida"/>
        <w:rPr>
          <w:noProof/>
        </w:rPr>
      </w:pPr>
      <w:r>
        <w:rPr>
          <w:caps/>
        </w:rPr>
        <w:t>**</w:t>
      </w:r>
      <w:r w:rsidRPr="002E421B">
        <w:t xml:space="preserve">The model uses thresholds (e.g., </w:t>
      </w:r>
      <w:proofErr w:type="spellStart"/>
      <w:r w:rsidRPr="002E421B">
        <w:t>avg_glucose_level</w:t>
      </w:r>
      <w:proofErr w:type="spellEnd"/>
      <w:r w:rsidRPr="002E421B">
        <w:t xml:space="preserve"> &lt;= 98.5) to differentiate between stroke and non-stroke cases effectively. Notably, the binary feature </w:t>
      </w:r>
      <w:proofErr w:type="spellStart"/>
      <w:r w:rsidRPr="002E421B">
        <w:t>smoking_status</w:t>
      </w:r>
      <w:proofErr w:type="spellEnd"/>
      <w:r w:rsidRPr="002E421B">
        <w:t xml:space="preserve"> is split using a threshold of 0.5, distinguishing between smokers and non-smokers.</w:t>
      </w:r>
    </w:p>
    <w:p w14:paraId="63D4DC57" w14:textId="3BD8F799" w:rsidR="002E421B" w:rsidRDefault="002E421B" w:rsidP="002E421B">
      <w:pPr>
        <w:jc w:val="lowKashida"/>
      </w:pPr>
      <w:r>
        <w:rPr>
          <w:noProof/>
        </w:rPr>
        <w:drawing>
          <wp:inline distT="0" distB="0" distL="0" distR="0" wp14:anchorId="2044DC4C" wp14:editId="1E46A6EC">
            <wp:extent cx="5943600" cy="2918460"/>
            <wp:effectExtent l="0" t="0" r="0" b="0"/>
            <wp:docPr id="146316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06502DFF" w14:textId="77777777" w:rsidR="002E421B" w:rsidRDefault="002E421B" w:rsidP="002E421B">
      <w:pPr>
        <w:pStyle w:val="Heading1"/>
        <w:jc w:val="lowKashida"/>
      </w:pPr>
      <w:r>
        <w:t>Age-Stroke Distribution</w:t>
      </w:r>
    </w:p>
    <w:p w14:paraId="4D0144E9" w14:textId="70DC5B7E" w:rsidR="002E421B" w:rsidRDefault="002E421B" w:rsidP="002E421B">
      <w:pPr>
        <w:jc w:val="lowKashida"/>
      </w:pPr>
      <w:r>
        <w:t xml:space="preserve">Stroke incidence significantly increases with advancing age, especially among individuals in their </w:t>
      </w:r>
      <w:r w:rsidR="003E7D62">
        <w:t>50s</w:t>
      </w:r>
      <w:r>
        <w:t>. This highlights age as a critical risk factor, likely due to the accumulation of conditions such as hypertension and vascular issues. Preventative measures should focus on older populations.</w:t>
      </w:r>
    </w:p>
    <w:p w14:paraId="44BD7E1A" w14:textId="2BC7AAB1" w:rsidR="002E421B" w:rsidRDefault="002E421B" w:rsidP="002E421B">
      <w:pPr>
        <w:jc w:val="lowKashida"/>
      </w:pPr>
      <w:r>
        <w:rPr>
          <w:noProof/>
        </w:rPr>
        <w:lastRenderedPageBreak/>
        <w:drawing>
          <wp:inline distT="0" distB="0" distL="0" distR="0" wp14:anchorId="25EC0C43" wp14:editId="0B3201EB">
            <wp:extent cx="3284220" cy="2463165"/>
            <wp:effectExtent l="0" t="0" r="0" b="0"/>
            <wp:docPr id="1759300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4220" cy="2463165"/>
                    </a:xfrm>
                    <a:prstGeom prst="rect">
                      <a:avLst/>
                    </a:prstGeom>
                    <a:noFill/>
                    <a:ln>
                      <a:noFill/>
                    </a:ln>
                  </pic:spPr>
                </pic:pic>
              </a:graphicData>
            </a:graphic>
          </wp:inline>
        </w:drawing>
      </w:r>
    </w:p>
    <w:p w14:paraId="349B9505" w14:textId="77777777" w:rsidR="002E421B" w:rsidRDefault="002E421B" w:rsidP="002E421B">
      <w:pPr>
        <w:pStyle w:val="Heading1"/>
        <w:jc w:val="lowKashida"/>
      </w:pPr>
      <w:r>
        <w:t>BMI-Stroke Distribution</w:t>
      </w:r>
    </w:p>
    <w:p w14:paraId="4FB0B808" w14:textId="77777777" w:rsidR="002E421B" w:rsidRDefault="002E421B" w:rsidP="002E421B">
      <w:pPr>
        <w:jc w:val="lowKashida"/>
      </w:pPr>
      <w:r>
        <w:t>The data shows a modest rise in stroke cases among overweight and obese individuals. However, BMI alone is not a strong predictor, suggesting the need to consider other health factors like metabolic health and physical activity when assessing stroke risk.</w:t>
      </w:r>
    </w:p>
    <w:p w14:paraId="4990F53B" w14:textId="3342FE11" w:rsidR="002E421B" w:rsidRDefault="003E7D62" w:rsidP="002E421B">
      <w:pPr>
        <w:jc w:val="lowKashida"/>
      </w:pPr>
      <w:r>
        <w:rPr>
          <w:noProof/>
        </w:rPr>
        <w:drawing>
          <wp:inline distT="0" distB="0" distL="0" distR="0" wp14:anchorId="66CDA5B3" wp14:editId="7E31C0BD">
            <wp:extent cx="5943600" cy="2918460"/>
            <wp:effectExtent l="0" t="0" r="0" b="0"/>
            <wp:docPr id="16065523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591CA89B" w14:textId="77777777" w:rsidR="002E421B" w:rsidRDefault="002E421B" w:rsidP="002E421B">
      <w:pPr>
        <w:pStyle w:val="Heading1"/>
        <w:jc w:val="lowKashida"/>
      </w:pPr>
      <w:r>
        <w:t>Glucose-Stroke Distribution</w:t>
      </w:r>
    </w:p>
    <w:p w14:paraId="3B7D29C9" w14:textId="77777777" w:rsidR="002E421B" w:rsidRDefault="002E421B" w:rsidP="002E421B">
      <w:pPr>
        <w:jc w:val="lowKashida"/>
      </w:pPr>
      <w:r>
        <w:t>Elevated glucose levels are strongly associated with higher stroke incidence. Individuals with "Diabetic" or "Impaired Glucose" levels face notably higher risks, emphasizing the importance of glucose control through diet, exercise, and medical management.</w:t>
      </w:r>
    </w:p>
    <w:p w14:paraId="4286C10F" w14:textId="50AED806" w:rsidR="002E421B" w:rsidRDefault="002E421B" w:rsidP="002E421B">
      <w:pPr>
        <w:jc w:val="lowKashida"/>
      </w:pPr>
      <w:r>
        <w:rPr>
          <w:noProof/>
        </w:rPr>
        <w:lastRenderedPageBreak/>
        <w:drawing>
          <wp:inline distT="0" distB="0" distL="0" distR="0" wp14:anchorId="76F5A7B2" wp14:editId="1D59EF86">
            <wp:extent cx="2651760" cy="1988820"/>
            <wp:effectExtent l="0" t="0" r="0" b="0"/>
            <wp:docPr id="4777234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760" cy="1988820"/>
                    </a:xfrm>
                    <a:prstGeom prst="rect">
                      <a:avLst/>
                    </a:prstGeom>
                    <a:noFill/>
                    <a:ln>
                      <a:noFill/>
                    </a:ln>
                  </pic:spPr>
                </pic:pic>
              </a:graphicData>
            </a:graphic>
          </wp:inline>
        </w:drawing>
      </w:r>
    </w:p>
    <w:p w14:paraId="4BB8D7F0" w14:textId="77777777" w:rsidR="002E421B" w:rsidRDefault="002E421B" w:rsidP="002E421B">
      <w:pPr>
        <w:jc w:val="lowKashida"/>
      </w:pPr>
    </w:p>
    <w:p w14:paraId="0D40FCD0" w14:textId="77777777" w:rsidR="002E421B" w:rsidRDefault="002E421B" w:rsidP="002E421B">
      <w:pPr>
        <w:pStyle w:val="Heading1"/>
        <w:jc w:val="lowKashida"/>
      </w:pPr>
      <w:r>
        <w:t>Gender-Stroke Distribution</w:t>
      </w:r>
    </w:p>
    <w:p w14:paraId="112F7D40" w14:textId="77777777" w:rsidR="002E421B" w:rsidRDefault="002E421B" w:rsidP="002E421B">
      <w:pPr>
        <w:jc w:val="lowKashida"/>
      </w:pPr>
      <w:r>
        <w:t>The analysis reveals no significant differences in stroke occurrence between males and females. This indicates that prevention strategies should be equally targeted across genders.</w:t>
      </w:r>
    </w:p>
    <w:p w14:paraId="5E8B867B" w14:textId="46171966" w:rsidR="002E421B" w:rsidRDefault="002E421B" w:rsidP="002E421B">
      <w:pPr>
        <w:jc w:val="lowKashida"/>
      </w:pPr>
      <w:r>
        <w:rPr>
          <w:noProof/>
        </w:rPr>
        <w:drawing>
          <wp:inline distT="0" distB="0" distL="0" distR="0" wp14:anchorId="7F362B14" wp14:editId="530AB307">
            <wp:extent cx="3268980" cy="2451735"/>
            <wp:effectExtent l="0" t="0" r="7620" b="5715"/>
            <wp:docPr id="1240566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2451735"/>
                    </a:xfrm>
                    <a:prstGeom prst="rect">
                      <a:avLst/>
                    </a:prstGeom>
                    <a:noFill/>
                    <a:ln>
                      <a:noFill/>
                    </a:ln>
                  </pic:spPr>
                </pic:pic>
              </a:graphicData>
            </a:graphic>
          </wp:inline>
        </w:drawing>
      </w:r>
    </w:p>
    <w:p w14:paraId="65E4B0E0" w14:textId="77777777" w:rsidR="002E421B" w:rsidRDefault="002E421B" w:rsidP="002E421B">
      <w:pPr>
        <w:jc w:val="lowKashida"/>
      </w:pPr>
    </w:p>
    <w:p w14:paraId="11627D29" w14:textId="77777777" w:rsidR="002E421B" w:rsidRDefault="002E421B" w:rsidP="002E421B">
      <w:pPr>
        <w:pStyle w:val="Heading1"/>
        <w:jc w:val="lowKashida"/>
      </w:pPr>
      <w:r>
        <w:t>Marriage-Stroke Distribution</w:t>
      </w:r>
    </w:p>
    <w:p w14:paraId="7EDD5705" w14:textId="0A684412" w:rsidR="002E421B" w:rsidRDefault="002E421B" w:rsidP="002E421B">
      <w:pPr>
        <w:jc w:val="lowKashida"/>
      </w:pPr>
      <w:r>
        <w:t>Married individuals show slightly higher stroke rates, potentially linked to age or lifestyle factors. These findings suggest the need for nuanced prevention strategies that consider marital status alongside other variables.</w:t>
      </w:r>
    </w:p>
    <w:p w14:paraId="019B60C3" w14:textId="69587AD0" w:rsidR="002E421B" w:rsidRDefault="002E421B" w:rsidP="002E421B">
      <w:pPr>
        <w:jc w:val="lowKashida"/>
      </w:pPr>
      <w:r>
        <w:rPr>
          <w:noProof/>
        </w:rPr>
        <w:lastRenderedPageBreak/>
        <w:drawing>
          <wp:inline distT="0" distB="0" distL="0" distR="0" wp14:anchorId="026C6FC2" wp14:editId="0B498ABA">
            <wp:extent cx="3634740" cy="2726055"/>
            <wp:effectExtent l="0" t="0" r="3810" b="0"/>
            <wp:docPr id="20983429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4740" cy="2726055"/>
                    </a:xfrm>
                    <a:prstGeom prst="rect">
                      <a:avLst/>
                    </a:prstGeom>
                    <a:noFill/>
                    <a:ln>
                      <a:noFill/>
                    </a:ln>
                  </pic:spPr>
                </pic:pic>
              </a:graphicData>
            </a:graphic>
          </wp:inline>
        </w:drawing>
      </w:r>
    </w:p>
    <w:sectPr w:rsidR="002E4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8C06DE"/>
    <w:multiLevelType w:val="hybridMultilevel"/>
    <w:tmpl w:val="4B02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92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1B"/>
    <w:rsid w:val="002362A9"/>
    <w:rsid w:val="002E421B"/>
    <w:rsid w:val="003E7D62"/>
    <w:rsid w:val="004A4FFE"/>
    <w:rsid w:val="00532CCF"/>
    <w:rsid w:val="0061448C"/>
    <w:rsid w:val="00755FC8"/>
    <w:rsid w:val="00C03165"/>
    <w:rsid w:val="00CD2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BDA2"/>
  <w15:chartTrackingRefBased/>
  <w15:docId w15:val="{BB70D4AE-2BD3-424C-8B63-D9DA58BD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21B"/>
    <w:pPr>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21B"/>
    <w:rPr>
      <w:b/>
      <w:bCs/>
      <w:u w:val="single"/>
    </w:rPr>
  </w:style>
  <w:style w:type="paragraph" w:styleId="ListParagraph">
    <w:name w:val="List Paragraph"/>
    <w:basedOn w:val="Normal"/>
    <w:uiPriority w:val="34"/>
    <w:qFormat/>
    <w:rsid w:val="002E4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51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Rohaniasl</dc:creator>
  <cp:keywords/>
  <dc:description/>
  <cp:lastModifiedBy>Zahra Rohaniasl</cp:lastModifiedBy>
  <cp:revision>1</cp:revision>
  <dcterms:created xsi:type="dcterms:W3CDTF">2024-12-19T08:40:00Z</dcterms:created>
  <dcterms:modified xsi:type="dcterms:W3CDTF">2024-12-19T08:55:00Z</dcterms:modified>
</cp:coreProperties>
</file>