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73A16C" w14:textId="025E8D47" w:rsidR="002D5290" w:rsidRPr="002D5290" w:rsidRDefault="002D5290" w:rsidP="002D5290">
      <w:pPr>
        <w:spacing w:after="80"/>
        <w:jc w:val="center"/>
        <w:rPr>
          <w:color w:val="171717" w:themeColor="background2" w:themeShade="1A"/>
        </w:rPr>
      </w:pPr>
      <w:r w:rsidRPr="002D5290">
        <w:rPr>
          <w:b/>
          <w:bCs/>
          <w:color w:val="171717" w:themeColor="background2" w:themeShade="1A"/>
          <w:sz w:val="28"/>
          <w:szCs w:val="28"/>
        </w:rPr>
        <w:t>CMT307 Group Project —</w:t>
      </w:r>
      <w:r w:rsidR="00E41AC9">
        <w:rPr>
          <w:b/>
          <w:bCs/>
          <w:color w:val="171717" w:themeColor="background2" w:themeShade="1A"/>
          <w:sz w:val="28"/>
          <w:szCs w:val="28"/>
        </w:rPr>
        <w:t xml:space="preserve"> </w:t>
      </w:r>
      <w:r w:rsidRPr="002D5290">
        <w:rPr>
          <w:b/>
          <w:bCs/>
          <w:color w:val="171717" w:themeColor="background2" w:themeShade="1A"/>
          <w:sz w:val="28"/>
          <w:szCs w:val="28"/>
        </w:rPr>
        <w:t>Report Sections</w:t>
      </w:r>
    </w:p>
    <w:p w14:paraId="7819DC5B" w14:textId="77777777" w:rsidR="002D5290" w:rsidRPr="002D5290" w:rsidRDefault="002D5290" w:rsidP="002D5290">
      <w:pPr>
        <w:pStyle w:val="Heading1"/>
        <w:rPr>
          <w:color w:val="171717" w:themeColor="background2" w:themeShade="1A"/>
        </w:rPr>
      </w:pPr>
      <w:r w:rsidRPr="002D5290">
        <w:rPr>
          <w:rFonts w:ascii="Arial" w:eastAsia="Arial" w:hAnsi="Arial" w:cs="Arial"/>
          <w:b/>
          <w:bCs/>
          <w:color w:val="171717" w:themeColor="background2" w:themeShade="1A"/>
          <w:sz w:val="30"/>
          <w:szCs w:val="30"/>
        </w:rPr>
        <w:t>T2-</w:t>
      </w:r>
      <w:proofErr w:type="gramStart"/>
      <w:r w:rsidRPr="002D5290">
        <w:rPr>
          <w:rFonts w:ascii="Arial" w:eastAsia="Arial" w:hAnsi="Arial" w:cs="Arial"/>
          <w:b/>
          <w:bCs/>
          <w:color w:val="171717" w:themeColor="background2" w:themeShade="1A"/>
          <w:sz w:val="30"/>
          <w:szCs w:val="30"/>
        </w:rPr>
        <w:t>2  Literature</w:t>
      </w:r>
      <w:proofErr w:type="gramEnd"/>
      <w:r w:rsidRPr="002D5290">
        <w:rPr>
          <w:rFonts w:ascii="Arial" w:eastAsia="Arial" w:hAnsi="Arial" w:cs="Arial"/>
          <w:b/>
          <w:bCs/>
          <w:color w:val="171717" w:themeColor="background2" w:themeShade="1A"/>
          <w:sz w:val="30"/>
          <w:szCs w:val="30"/>
        </w:rPr>
        <w:t xml:space="preserve"> Review</w:t>
      </w:r>
    </w:p>
    <w:p w14:paraId="132783E0" w14:textId="77777777" w:rsidR="002D5290" w:rsidRPr="002D5290" w:rsidRDefault="002D5290" w:rsidP="002D5290">
      <w:pPr>
        <w:pStyle w:val="Heading2"/>
        <w:rPr>
          <w:color w:val="171717" w:themeColor="background2" w:themeShade="1A"/>
        </w:rPr>
      </w:pPr>
      <w:r w:rsidRPr="002D5290">
        <w:rPr>
          <w:rFonts w:ascii="Arial" w:eastAsia="Arial" w:hAnsi="Arial" w:cs="Arial"/>
          <w:b/>
          <w:bCs/>
          <w:color w:val="171717" w:themeColor="background2" w:themeShade="1A"/>
          <w:sz w:val="24"/>
          <w:szCs w:val="24"/>
        </w:rPr>
        <w:t>Paper Validity Summary Table</w:t>
      </w:r>
    </w:p>
    <w:p w14:paraId="6DFAE2BE" w14:textId="77777777" w:rsidR="002D5290" w:rsidRPr="002D5290" w:rsidRDefault="002D5290" w:rsidP="002D5290">
      <w:pPr>
        <w:spacing w:before="80" w:after="80"/>
        <w:rPr>
          <w:color w:val="171717" w:themeColor="background2" w:themeShade="1A"/>
        </w:rPr>
      </w:pPr>
      <w:r w:rsidRPr="002D5290">
        <w:rPr>
          <w:color w:val="171717" w:themeColor="background2" w:themeShade="1A"/>
        </w:rPr>
        <w:t xml:space="preserve">Table below </w:t>
      </w:r>
      <w:proofErr w:type="spellStart"/>
      <w:r w:rsidRPr="002D5290">
        <w:rPr>
          <w:color w:val="171717" w:themeColor="background2" w:themeShade="1A"/>
        </w:rPr>
        <w:t>summarises</w:t>
      </w:r>
      <w:proofErr w:type="spellEnd"/>
      <w:r w:rsidRPr="002D5290">
        <w:rPr>
          <w:color w:val="171717" w:themeColor="background2" w:themeShade="1A"/>
        </w:rPr>
        <w:t xml:space="preserve"> the 6 reviewed papers: method, dataset, key metric, strength, weakness, relevance to this project, and whether the method overlaps with our </w:t>
      </w:r>
      <w:proofErr w:type="spellStart"/>
      <w:r w:rsidRPr="002D5290">
        <w:rPr>
          <w:color w:val="171717" w:themeColor="background2" w:themeShade="1A"/>
        </w:rPr>
        <w:t>LightGBM</w:t>
      </w:r>
      <w:proofErr w:type="spellEnd"/>
      <w:r w:rsidRPr="002D5290">
        <w:rPr>
          <w:color w:val="171717" w:themeColor="background2" w:themeShade="1A"/>
        </w:rPr>
        <w:t xml:space="preserve"> + feature engineering approach.</w:t>
      </w:r>
    </w:p>
    <w:p w14:paraId="4CD97FF8" w14:textId="77777777" w:rsidR="002D5290" w:rsidRPr="002D5290" w:rsidRDefault="002D5290" w:rsidP="002D5290">
      <w:pPr>
        <w:spacing w:before="80" w:after="80"/>
        <w:rPr>
          <w:color w:val="171717" w:themeColor="background2" w:themeShade="1A"/>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42"/>
        <w:gridCol w:w="1236"/>
        <w:gridCol w:w="994"/>
        <w:gridCol w:w="868"/>
        <w:gridCol w:w="1237"/>
        <w:gridCol w:w="1566"/>
        <w:gridCol w:w="1237"/>
        <w:gridCol w:w="1354"/>
      </w:tblGrid>
      <w:tr w:rsidR="002D5290" w:rsidRPr="002D5290" w14:paraId="1A620132" w14:textId="77777777" w:rsidTr="002D5290">
        <w:tblPrEx>
          <w:tblCellMar>
            <w:top w:w="0" w:type="dxa"/>
            <w:bottom w:w="0" w:type="dxa"/>
          </w:tblCellMar>
        </w:tblPrEx>
        <w:trPr>
          <w:trHeight w:val="266"/>
          <w:tblHeader/>
        </w:trPr>
        <w:tc>
          <w:tcPr>
            <w:tcW w:w="1400" w:type="dxa"/>
            <w:tcBorders>
              <w:top w:val="single" w:sz="2" w:space="0" w:color="AAAAAA"/>
              <w:left w:val="single" w:sz="2" w:space="0" w:color="AAAAAA"/>
              <w:bottom w:val="single" w:sz="4" w:space="0" w:color="auto"/>
              <w:right w:val="single" w:sz="2" w:space="0" w:color="AAAAAA"/>
            </w:tcBorders>
            <w:shd w:val="clear" w:color="auto" w:fill="D1D1D1" w:themeFill="background2" w:themeFillShade="E6"/>
            <w:tcMar>
              <w:top w:w="80" w:type="dxa"/>
              <w:left w:w="120" w:type="dxa"/>
              <w:bottom w:w="80" w:type="dxa"/>
              <w:right w:w="120" w:type="dxa"/>
            </w:tcMar>
          </w:tcPr>
          <w:p w14:paraId="4F0F2B21" w14:textId="77777777" w:rsidR="002D5290" w:rsidRPr="002D5290" w:rsidRDefault="002D5290" w:rsidP="00A0149B">
            <w:pPr>
              <w:rPr>
                <w:b/>
                <w:color w:val="171717" w:themeColor="background2" w:themeShade="1A"/>
                <w14:textOutline w14:w="0" w14:cap="flat" w14:cmpd="sng" w14:algn="ctr">
                  <w14:noFill/>
                  <w14:prstDash w14:val="solid"/>
                  <w14:round/>
                </w14:textOutline>
                <w14:props3d w14:extrusionH="57150" w14:contourW="0" w14:prstMaterial="matte">
                  <w14:bevelT w14:w="63500" w14:h="12700" w14:prst="angle"/>
                  <w14:contourClr>
                    <w14:schemeClr w14:val="bg1">
                      <w14:lumMod w14:val="65000"/>
                    </w14:schemeClr>
                  </w14:contourClr>
                </w14:props3d>
              </w:rPr>
            </w:pPr>
            <w:r w:rsidRPr="002D5290">
              <w:rPr>
                <w:b/>
                <w:bCs/>
                <w:color w:val="171717" w:themeColor="background2" w:themeShade="1A"/>
                <w:sz w:val="18"/>
                <w:szCs w:val="18"/>
              </w:rPr>
              <w:t>Paper &amp; Authors</w:t>
            </w:r>
          </w:p>
        </w:tc>
        <w:tc>
          <w:tcPr>
            <w:tcW w:w="1000" w:type="dxa"/>
            <w:tcBorders>
              <w:top w:val="single" w:sz="1" w:space="0" w:color="AAAAAA"/>
              <w:left w:val="single" w:sz="2"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3F66942"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Method(s)</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F30BB67"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Dataset</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B9241A0"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Key Metric</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74EC5D7B"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Strength</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2ACB2707"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Weakness</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EA50E62"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Relevance to Our Work</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2D25B373" w14:textId="77777777" w:rsidR="002D5290" w:rsidRPr="002D5290" w:rsidRDefault="002D5290" w:rsidP="00A0149B">
            <w:pPr>
              <w:rPr>
                <w:color w:val="171717" w:themeColor="background2" w:themeShade="1A"/>
              </w:rPr>
            </w:pPr>
            <w:r w:rsidRPr="002D5290">
              <w:rPr>
                <w:b/>
                <w:bCs/>
                <w:color w:val="171717" w:themeColor="background2" w:themeShade="1A"/>
                <w:sz w:val="18"/>
                <w:szCs w:val="18"/>
              </w:rPr>
              <w:t>Overlap?</w:t>
            </w:r>
          </w:p>
        </w:tc>
      </w:tr>
      <w:tr w:rsidR="002D5290" w:rsidRPr="002D5290" w14:paraId="6C0FC7D2" w14:textId="77777777" w:rsidTr="002D5290">
        <w:tblPrEx>
          <w:tblCellMar>
            <w:top w:w="0" w:type="dxa"/>
            <w:bottom w:w="0" w:type="dxa"/>
          </w:tblCellMar>
        </w:tblPrEx>
        <w:tc>
          <w:tcPr>
            <w:tcW w:w="1400" w:type="dxa"/>
            <w:tcBorders>
              <w:top w:val="single" w:sz="4" w:space="0" w:color="auto"/>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CD49A67" w14:textId="77777777" w:rsidR="002D5290" w:rsidRPr="002D5290" w:rsidRDefault="002D5290" w:rsidP="00A0149B">
            <w:pPr>
              <w:rPr>
                <w:color w:val="171717" w:themeColor="background2" w:themeShade="1A"/>
              </w:rPr>
            </w:pPr>
            <w:r w:rsidRPr="002D5290">
              <w:rPr>
                <w:color w:val="171717" w:themeColor="background2" w:themeShade="1A"/>
                <w:sz w:val="18"/>
                <w:szCs w:val="18"/>
              </w:rPr>
              <w:t>Miller et al. (2020) — The ASHRAE Great Energy Predictor III Competition</w:t>
            </w:r>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33446F2" w14:textId="77777777"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CatBoost</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XGBoost</w:t>
            </w:r>
            <w:proofErr w:type="spellEnd"/>
            <w:r w:rsidRPr="002D5290">
              <w:rPr>
                <w:color w:val="171717" w:themeColor="background2" w:themeShade="1A"/>
                <w:sz w:val="18"/>
                <w:szCs w:val="18"/>
              </w:rPr>
              <w:t>, MLP (ensemble)</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7929079" w14:textId="77777777" w:rsidR="002D5290" w:rsidRPr="002D5290" w:rsidRDefault="002D5290" w:rsidP="00A0149B">
            <w:pPr>
              <w:rPr>
                <w:color w:val="171717" w:themeColor="background2" w:themeShade="1A"/>
              </w:rPr>
            </w:pPr>
            <w:r w:rsidRPr="002D5290">
              <w:rPr>
                <w:color w:val="171717" w:themeColor="background2" w:themeShade="1A"/>
                <w:sz w:val="18"/>
                <w:szCs w:val="18"/>
              </w:rPr>
              <w:t>ASHRAE GEPIII — 20M+ readings, 2,380 meters, 1,448 buildings</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CBD54A3" w14:textId="77777777" w:rsidR="002D5290" w:rsidRPr="002D5290" w:rsidRDefault="002D5290" w:rsidP="00A0149B">
            <w:pPr>
              <w:rPr>
                <w:color w:val="171717" w:themeColor="background2" w:themeShade="1A"/>
              </w:rPr>
            </w:pPr>
            <w:r w:rsidRPr="002D5290">
              <w:rPr>
                <w:color w:val="171717" w:themeColor="background2" w:themeShade="1A"/>
                <w:sz w:val="18"/>
                <w:szCs w:val="18"/>
              </w:rPr>
              <w:t>RMSLE = 1.231 (1st place)</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664D385" w14:textId="77777777" w:rsidR="002D5290" w:rsidRPr="002D5290" w:rsidRDefault="002D5290" w:rsidP="00A0149B">
            <w:pPr>
              <w:rPr>
                <w:color w:val="171717" w:themeColor="background2" w:themeShade="1A"/>
              </w:rPr>
            </w:pPr>
            <w:r w:rsidRPr="002D5290">
              <w:rPr>
                <w:color w:val="171717" w:themeColor="background2" w:themeShade="1A"/>
                <w:sz w:val="18"/>
                <w:szCs w:val="18"/>
              </w:rPr>
              <w:t>Largest ML energy benchmark; covers all meter types; open dataset</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5137B25"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Competition setting may not </w:t>
            </w:r>
            <w:proofErr w:type="spellStart"/>
            <w:r w:rsidRPr="002D5290">
              <w:rPr>
                <w:color w:val="171717" w:themeColor="background2" w:themeShade="1A"/>
                <w:sz w:val="18"/>
                <w:szCs w:val="18"/>
              </w:rPr>
              <w:t>generalise</w:t>
            </w:r>
            <w:proofErr w:type="spellEnd"/>
            <w:r w:rsidRPr="002D5290">
              <w:rPr>
                <w:color w:val="171717" w:themeColor="background2" w:themeShade="1A"/>
                <w:sz w:val="18"/>
                <w:szCs w:val="18"/>
              </w:rPr>
              <w:t xml:space="preserve"> to unseen building types</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7680E84" w14:textId="77777777" w:rsidR="002D5290" w:rsidRPr="002D5290" w:rsidRDefault="002D5290" w:rsidP="00A0149B">
            <w:pPr>
              <w:rPr>
                <w:color w:val="171717" w:themeColor="background2" w:themeShade="1A"/>
              </w:rPr>
            </w:pPr>
            <w:r w:rsidRPr="002D5290">
              <w:rPr>
                <w:color w:val="171717" w:themeColor="background2" w:themeShade="1A"/>
                <w:sz w:val="18"/>
                <w:szCs w:val="18"/>
              </w:rPr>
              <w:t>DIRECTLY our dataset &amp; competition — essential citation for context</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E0189CA" w14:textId="60EA6AC3"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feature engineering, RMSLE metric</w:t>
            </w:r>
          </w:p>
        </w:tc>
      </w:tr>
      <w:tr w:rsidR="002D5290" w:rsidRPr="002D5290" w14:paraId="2E86DB03" w14:textId="77777777" w:rsidTr="002D5290">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471C165" w14:textId="77777777" w:rsidR="002D5290" w:rsidRPr="002D5290" w:rsidRDefault="002D5290" w:rsidP="00A0149B">
            <w:pPr>
              <w:rPr>
                <w:color w:val="171717" w:themeColor="background2" w:themeShade="1A"/>
              </w:rPr>
            </w:pPr>
            <w:r w:rsidRPr="002D5290">
              <w:rPr>
                <w:color w:val="171717" w:themeColor="background2" w:themeShade="1A"/>
                <w:sz w:val="18"/>
                <w:szCs w:val="18"/>
              </w:rPr>
              <w:t>Arjunan et al. (2022) — Gradient Boosting Machines and Preprocessing Work Best (ASHRAE GEPIII)</w:t>
            </w:r>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B150E25" w14:textId="77777777"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XGBoost</w:t>
            </w:r>
            <w:proofErr w:type="spellEnd"/>
            <w:r w:rsidRPr="002D5290">
              <w:rPr>
                <w:color w:val="171717" w:themeColor="background2" w:themeShade="1A"/>
                <w:sz w:val="18"/>
                <w:szCs w:val="18"/>
              </w:rPr>
              <w:t xml:space="preserve">, </w:t>
            </w:r>
            <w:proofErr w:type="spellStart"/>
            <w:r w:rsidRPr="002D5290">
              <w:rPr>
                <w:color w:val="171717" w:themeColor="background2" w:themeShade="1A"/>
                <w:sz w:val="18"/>
                <w:szCs w:val="18"/>
              </w:rPr>
              <w:t>CatBoost</w:t>
            </w:r>
            <w:proofErr w:type="spellEnd"/>
            <w:r w:rsidRPr="002D5290">
              <w:rPr>
                <w:color w:val="171717" w:themeColor="background2" w:themeShade="1A"/>
                <w:sz w:val="18"/>
                <w:szCs w:val="18"/>
              </w:rPr>
              <w:t xml:space="preserve"> — gradient boosting tree ensembles</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1CC5BBC" w14:textId="77777777" w:rsidR="002D5290" w:rsidRPr="002D5290" w:rsidRDefault="002D5290" w:rsidP="00A0149B">
            <w:pPr>
              <w:rPr>
                <w:color w:val="171717" w:themeColor="background2" w:themeShade="1A"/>
              </w:rPr>
            </w:pPr>
            <w:r w:rsidRPr="002D5290">
              <w:rPr>
                <w:color w:val="171717" w:themeColor="background2" w:themeShade="1A"/>
                <w:sz w:val="18"/>
                <w:szCs w:val="18"/>
              </w:rPr>
              <w:t>ASHRAE GEPIII (same dataset)</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7E82146" w14:textId="77777777" w:rsidR="002D5290" w:rsidRPr="002D5290" w:rsidRDefault="002D5290" w:rsidP="00A0149B">
            <w:pPr>
              <w:rPr>
                <w:color w:val="171717" w:themeColor="background2" w:themeShade="1A"/>
              </w:rPr>
            </w:pPr>
            <w:r w:rsidRPr="002D5290">
              <w:rPr>
                <w:color w:val="171717" w:themeColor="background2" w:themeShade="1A"/>
                <w:sz w:val="18"/>
                <w:szCs w:val="18"/>
              </w:rPr>
              <w:t>RMSLE; surveys top-50 solutions</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7F515C6F" w14:textId="77777777" w:rsidR="002D5290" w:rsidRPr="002D5290" w:rsidRDefault="002D5290" w:rsidP="00A0149B">
            <w:pPr>
              <w:rPr>
                <w:color w:val="171717" w:themeColor="background2" w:themeShade="1A"/>
              </w:rPr>
            </w:pPr>
            <w:r w:rsidRPr="002D5290">
              <w:rPr>
                <w:color w:val="171717" w:themeColor="background2" w:themeShade="1A"/>
                <w:sz w:val="18"/>
                <w:szCs w:val="18"/>
              </w:rPr>
              <w:t>Shows empirically why GBMs outperform deep learning on this dataset</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F53FEA4" w14:textId="77777777" w:rsidR="002D5290" w:rsidRPr="002D5290" w:rsidRDefault="002D5290" w:rsidP="00A0149B">
            <w:pPr>
              <w:rPr>
                <w:color w:val="171717" w:themeColor="background2" w:themeShade="1A"/>
              </w:rPr>
            </w:pPr>
            <w:r w:rsidRPr="002D5290">
              <w:rPr>
                <w:color w:val="171717" w:themeColor="background2" w:themeShade="1A"/>
                <w:sz w:val="18"/>
                <w:szCs w:val="18"/>
              </w:rPr>
              <w:t>Survey-based; does not propose a new method</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45CBE36"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Directly justifies our choice of </w:t>
            </w: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xml:space="preserve"> over deep learning on this dataset</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74F9CEFE" w14:textId="6EFEC245"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preprocessing, feature engineering</w:t>
            </w:r>
          </w:p>
        </w:tc>
      </w:tr>
      <w:tr w:rsidR="002D5290" w:rsidRPr="002D5290" w14:paraId="313C354F" w14:textId="77777777" w:rsidTr="002D5290">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68CDBEF" w14:textId="77777777" w:rsidR="002D5290" w:rsidRPr="002D5290" w:rsidRDefault="002D5290" w:rsidP="00A0149B">
            <w:pPr>
              <w:rPr>
                <w:color w:val="171717" w:themeColor="background2" w:themeShade="1A"/>
              </w:rPr>
            </w:pPr>
            <w:r w:rsidRPr="002D5290">
              <w:rPr>
                <w:color w:val="171717" w:themeColor="background2" w:themeShade="1A"/>
                <w:sz w:val="18"/>
                <w:szCs w:val="18"/>
              </w:rPr>
              <w:t>Miller et al. (2021) — Limitations of ML for Building Energy Prediction (ASHRAE GEPIII Error Analysis)</w:t>
            </w:r>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4DE0B21"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Error analysis across top-50 GEPIII submissions; </w:t>
            </w:r>
            <w:proofErr w:type="spellStart"/>
            <w:r w:rsidRPr="002D5290">
              <w:rPr>
                <w:color w:val="171717" w:themeColor="background2" w:themeShade="1A"/>
                <w:sz w:val="18"/>
                <w:szCs w:val="18"/>
              </w:rPr>
              <w:t>categorises</w:t>
            </w:r>
            <w:proofErr w:type="spellEnd"/>
            <w:r w:rsidRPr="002D5290">
              <w:rPr>
                <w:color w:val="171717" w:themeColor="background2" w:themeShade="1A"/>
                <w:sz w:val="18"/>
                <w:szCs w:val="18"/>
              </w:rPr>
              <w:t xml:space="preserve"> error types</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55DF0BE"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ASHRAE GEPIII — all </w:t>
            </w:r>
            <w:proofErr w:type="gramStart"/>
            <w:r w:rsidRPr="002D5290">
              <w:rPr>
                <w:color w:val="171717" w:themeColor="background2" w:themeShade="1A"/>
                <w:sz w:val="18"/>
                <w:szCs w:val="18"/>
              </w:rPr>
              <w:t>4 meter</w:t>
            </w:r>
            <w:proofErr w:type="gramEnd"/>
            <w:r w:rsidRPr="002D5290">
              <w:rPr>
                <w:color w:val="171717" w:themeColor="background2" w:themeShade="1A"/>
                <w:sz w:val="18"/>
                <w:szCs w:val="18"/>
              </w:rPr>
              <w:t xml:space="preserve"> types</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FE9773F" w14:textId="77777777" w:rsidR="002D5290" w:rsidRPr="002D5290" w:rsidRDefault="002D5290" w:rsidP="00A0149B">
            <w:pPr>
              <w:rPr>
                <w:color w:val="171717" w:themeColor="background2" w:themeShade="1A"/>
              </w:rPr>
            </w:pPr>
            <w:r w:rsidRPr="002D5290">
              <w:rPr>
                <w:color w:val="171717" w:themeColor="background2" w:themeShade="1A"/>
                <w:sz w:val="18"/>
                <w:szCs w:val="18"/>
              </w:rPr>
              <w:t>Scaled RMSLE per meter type</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A909E00" w14:textId="77777777" w:rsidR="002D5290" w:rsidRPr="002D5290" w:rsidRDefault="002D5290" w:rsidP="00A0149B">
            <w:pPr>
              <w:rPr>
                <w:color w:val="171717" w:themeColor="background2" w:themeShade="1A"/>
              </w:rPr>
            </w:pPr>
            <w:r w:rsidRPr="002D5290">
              <w:rPr>
                <w:color w:val="171717" w:themeColor="background2" w:themeShade="1A"/>
                <w:sz w:val="18"/>
                <w:szCs w:val="18"/>
              </w:rPr>
              <w:t>Identifies WHY models fail (sensor errors, seasonal effects); actionable insights</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90A586A" w14:textId="77777777" w:rsidR="002D5290" w:rsidRPr="002D5290" w:rsidRDefault="002D5290" w:rsidP="00A0149B">
            <w:pPr>
              <w:rPr>
                <w:color w:val="171717" w:themeColor="background2" w:themeShade="1A"/>
              </w:rPr>
            </w:pPr>
            <w:r w:rsidRPr="002D5290">
              <w:rPr>
                <w:color w:val="171717" w:themeColor="background2" w:themeShade="1A"/>
                <w:sz w:val="18"/>
                <w:szCs w:val="18"/>
              </w:rPr>
              <w:t>Post-hoc analysis; cannot be used to improve a model directly</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2CEEC25C" w14:textId="77777777" w:rsidR="002D5290" w:rsidRPr="002D5290" w:rsidRDefault="002D5290" w:rsidP="00A0149B">
            <w:pPr>
              <w:rPr>
                <w:color w:val="171717" w:themeColor="background2" w:themeShade="1A"/>
              </w:rPr>
            </w:pPr>
            <w:r w:rsidRPr="002D5290">
              <w:rPr>
                <w:color w:val="171717" w:themeColor="background2" w:themeShade="1A"/>
                <w:sz w:val="18"/>
                <w:szCs w:val="18"/>
              </w:rPr>
              <w:t>Explains expected RMSLE patterns per meter type — relevant to our T1 result analysis</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EA313D2" w14:textId="59D066FA" w:rsidR="002D5290" w:rsidRPr="002D5290" w:rsidRDefault="002D5290" w:rsidP="00A0149B">
            <w:pPr>
              <w:rPr>
                <w:color w:val="171717" w:themeColor="background2" w:themeShade="1A"/>
              </w:rPr>
            </w:pPr>
            <w:r w:rsidRPr="002D5290">
              <w:rPr>
                <w:color w:val="171717" w:themeColor="background2" w:themeShade="1A"/>
                <w:sz w:val="18"/>
                <w:szCs w:val="18"/>
              </w:rPr>
              <w:t xml:space="preserve"> RMSLE by meter type, error </w:t>
            </w:r>
            <w:proofErr w:type="spellStart"/>
            <w:r w:rsidRPr="002D5290">
              <w:rPr>
                <w:color w:val="171717" w:themeColor="background2" w:themeShade="1A"/>
                <w:sz w:val="18"/>
                <w:szCs w:val="18"/>
              </w:rPr>
              <w:t>categorisation</w:t>
            </w:r>
            <w:proofErr w:type="spellEnd"/>
          </w:p>
        </w:tc>
      </w:tr>
      <w:tr w:rsidR="002D5290" w:rsidRPr="002D5290" w14:paraId="71FC9600" w14:textId="77777777" w:rsidTr="002D5290">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DD5DF41" w14:textId="77777777" w:rsidR="002D5290" w:rsidRPr="002D5290" w:rsidRDefault="002D5290" w:rsidP="00A0149B">
            <w:pPr>
              <w:rPr>
                <w:color w:val="171717" w:themeColor="background2" w:themeShade="1A"/>
              </w:rPr>
            </w:pPr>
            <w:r w:rsidRPr="002D5290">
              <w:rPr>
                <w:color w:val="171717" w:themeColor="background2" w:themeShade="1A"/>
                <w:sz w:val="18"/>
                <w:szCs w:val="18"/>
              </w:rPr>
              <w:t>Baqer &amp; Rashidi-</w:t>
            </w:r>
            <w:proofErr w:type="spellStart"/>
            <w:r w:rsidRPr="002D5290">
              <w:rPr>
                <w:color w:val="171717" w:themeColor="background2" w:themeShade="1A"/>
                <w:sz w:val="18"/>
                <w:szCs w:val="18"/>
              </w:rPr>
              <w:t>Khazaee</w:t>
            </w:r>
            <w:proofErr w:type="spellEnd"/>
            <w:r w:rsidRPr="002D5290">
              <w:rPr>
                <w:color w:val="171717" w:themeColor="background2" w:themeShade="1A"/>
                <w:sz w:val="18"/>
                <w:szCs w:val="18"/>
              </w:rPr>
              <w:t xml:space="preserve"> (2025) — Residential Building Energy Prediction Using Bayesian-Based </w:t>
            </w:r>
            <w:proofErr w:type="spellStart"/>
            <w:r w:rsidRPr="002D5290">
              <w:rPr>
                <w:color w:val="171717" w:themeColor="background2" w:themeShade="1A"/>
                <w:sz w:val="18"/>
                <w:szCs w:val="18"/>
              </w:rPr>
              <w:t>XGBoost</w:t>
            </w:r>
            <w:proofErr w:type="spellEnd"/>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0E2AC5C" w14:textId="77777777"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XGBoost</w:t>
            </w:r>
            <w:proofErr w:type="spellEnd"/>
            <w:r w:rsidRPr="002D5290">
              <w:rPr>
                <w:color w:val="171717" w:themeColor="background2" w:themeShade="1A"/>
                <w:sz w:val="18"/>
                <w:szCs w:val="18"/>
              </w:rPr>
              <w:t xml:space="preserve"> + Bayesian hyperparameter tuning (TPE)</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2FB270D" w14:textId="77777777" w:rsidR="002D5290" w:rsidRPr="002D5290" w:rsidRDefault="002D5290" w:rsidP="00A0149B">
            <w:pPr>
              <w:rPr>
                <w:color w:val="171717" w:themeColor="background2" w:themeShade="1A"/>
              </w:rPr>
            </w:pPr>
            <w:r w:rsidRPr="002D5290">
              <w:rPr>
                <w:color w:val="171717" w:themeColor="background2" w:themeShade="1A"/>
                <w:sz w:val="18"/>
                <w:szCs w:val="18"/>
              </w:rPr>
              <w:t>UCI Energy Efficiency dataset — 768 samples, 8 features</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8161191" w14:textId="77777777" w:rsidR="002D5290" w:rsidRPr="002D5290" w:rsidRDefault="002D5290" w:rsidP="00A0149B">
            <w:pPr>
              <w:rPr>
                <w:color w:val="171717" w:themeColor="background2" w:themeShade="1A"/>
              </w:rPr>
            </w:pPr>
            <w:r w:rsidRPr="002D5290">
              <w:rPr>
                <w:color w:val="171717" w:themeColor="background2" w:themeShade="1A"/>
                <w:sz w:val="18"/>
                <w:szCs w:val="18"/>
              </w:rPr>
              <w:t>RMSE (Heating Load &amp; Cooling Load)</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1AC941C"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Bayesian </w:t>
            </w:r>
            <w:proofErr w:type="spellStart"/>
            <w:r w:rsidRPr="002D5290">
              <w:rPr>
                <w:color w:val="171717" w:themeColor="background2" w:themeShade="1A"/>
                <w:sz w:val="18"/>
                <w:szCs w:val="18"/>
              </w:rPr>
              <w:t>optimisation</w:t>
            </w:r>
            <w:proofErr w:type="spellEnd"/>
            <w:r w:rsidRPr="002D5290">
              <w:rPr>
                <w:color w:val="171717" w:themeColor="background2" w:themeShade="1A"/>
                <w:sz w:val="18"/>
                <w:szCs w:val="18"/>
              </w:rPr>
              <w:t xml:space="preserve"> reduces RMSE by 3.4–10.4% vs vanilla XGB; strong hyperparameter analysis</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4BAC4FF" w14:textId="77777777" w:rsidR="002D5290" w:rsidRPr="002D5290" w:rsidRDefault="002D5290" w:rsidP="00A0149B">
            <w:pPr>
              <w:rPr>
                <w:color w:val="171717" w:themeColor="background2" w:themeShade="1A"/>
              </w:rPr>
            </w:pPr>
            <w:r w:rsidRPr="002D5290">
              <w:rPr>
                <w:color w:val="171717" w:themeColor="background2" w:themeShade="1A"/>
                <w:sz w:val="18"/>
                <w:szCs w:val="18"/>
              </w:rPr>
              <w:t>Residential only; small dataset; different from ASHRAE industrial/commercial buildings</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6C2447C5"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Validates gradient boosting with hyperparameter tuning — supports our </w:t>
            </w: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xml:space="preserve"> tuning approach</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6E2484D" w14:textId="7395EDCA" w:rsidR="002D5290" w:rsidRPr="002D5290" w:rsidRDefault="002D5290" w:rsidP="00A0149B">
            <w:pPr>
              <w:rPr>
                <w:color w:val="171717" w:themeColor="background2" w:themeShade="1A"/>
              </w:rPr>
            </w:pPr>
            <w:proofErr w:type="spellStart"/>
            <w:r w:rsidRPr="002D5290">
              <w:rPr>
                <w:color w:val="171717" w:themeColor="background2" w:themeShade="1A"/>
                <w:sz w:val="18"/>
                <w:szCs w:val="18"/>
              </w:rPr>
              <w:t>XGBoost</w:t>
            </w:r>
            <w:proofErr w:type="spellEnd"/>
            <w:r w:rsidRPr="002D5290">
              <w:rPr>
                <w:color w:val="171717" w:themeColor="background2" w:themeShade="1A"/>
                <w:sz w:val="18"/>
                <w:szCs w:val="18"/>
              </w:rPr>
              <w:t>/gradient boosting, hyperparameter tuning</w:t>
            </w:r>
          </w:p>
        </w:tc>
      </w:tr>
      <w:tr w:rsidR="002D5290" w:rsidRPr="002D5290" w14:paraId="6CE85004" w14:textId="77777777" w:rsidTr="002D5290">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2136AA6" w14:textId="77777777" w:rsidR="002D5290" w:rsidRPr="002D5290" w:rsidRDefault="002D5290" w:rsidP="00A0149B">
            <w:pPr>
              <w:rPr>
                <w:color w:val="171717" w:themeColor="background2" w:themeShade="1A"/>
              </w:rPr>
            </w:pPr>
            <w:r w:rsidRPr="002D5290">
              <w:rPr>
                <w:color w:val="171717" w:themeColor="background2" w:themeShade="1A"/>
                <w:sz w:val="18"/>
                <w:szCs w:val="18"/>
              </w:rPr>
              <w:t>Revati et al. (2021) — Smart Building Energy Manageme</w:t>
            </w:r>
            <w:r w:rsidRPr="002D5290">
              <w:rPr>
                <w:color w:val="171717" w:themeColor="background2" w:themeShade="1A"/>
                <w:sz w:val="18"/>
                <w:szCs w:val="18"/>
              </w:rPr>
              <w:lastRenderedPageBreak/>
              <w:t>nt: Load Profile Prediction using ML</w:t>
            </w:r>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DEF2478" w14:textId="77777777" w:rsidR="002D5290" w:rsidRPr="002D5290" w:rsidRDefault="002D5290" w:rsidP="00A0149B">
            <w:pPr>
              <w:rPr>
                <w:color w:val="171717" w:themeColor="background2" w:themeShade="1A"/>
              </w:rPr>
            </w:pPr>
            <w:r w:rsidRPr="002D5290">
              <w:rPr>
                <w:color w:val="171717" w:themeColor="background2" w:themeShade="1A"/>
                <w:sz w:val="18"/>
                <w:szCs w:val="18"/>
              </w:rPr>
              <w:lastRenderedPageBreak/>
              <w:t xml:space="preserve">Gaussian Process Regression (GPR), ANN, DMD, HDMD, </w:t>
            </w:r>
            <w:r w:rsidRPr="002D5290">
              <w:rPr>
                <w:color w:val="171717" w:themeColor="background2" w:themeShade="1A"/>
                <w:sz w:val="18"/>
                <w:szCs w:val="18"/>
              </w:rPr>
              <w:lastRenderedPageBreak/>
              <w:t>Polynomial Regression</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A56D1FC" w14:textId="77777777" w:rsidR="002D5290" w:rsidRPr="002D5290" w:rsidRDefault="002D5290" w:rsidP="00A0149B">
            <w:pPr>
              <w:rPr>
                <w:color w:val="171717" w:themeColor="background2" w:themeShade="1A"/>
              </w:rPr>
            </w:pPr>
            <w:r w:rsidRPr="002D5290">
              <w:rPr>
                <w:color w:val="171717" w:themeColor="background2" w:themeShade="1A"/>
                <w:sz w:val="18"/>
                <w:szCs w:val="18"/>
              </w:rPr>
              <w:lastRenderedPageBreak/>
              <w:t xml:space="preserve">Commercial smart building — weekly </w:t>
            </w:r>
            <w:r w:rsidRPr="002D5290">
              <w:rPr>
                <w:color w:val="171717" w:themeColor="background2" w:themeShade="1A"/>
                <w:sz w:val="18"/>
                <w:szCs w:val="18"/>
              </w:rPr>
              <w:lastRenderedPageBreak/>
              <w:t>electricity profile</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FC2787B" w14:textId="77777777" w:rsidR="002D5290" w:rsidRPr="002D5290" w:rsidRDefault="002D5290" w:rsidP="00A0149B">
            <w:pPr>
              <w:rPr>
                <w:color w:val="171717" w:themeColor="background2" w:themeShade="1A"/>
              </w:rPr>
            </w:pPr>
            <w:r w:rsidRPr="002D5290">
              <w:rPr>
                <w:color w:val="171717" w:themeColor="background2" w:themeShade="1A"/>
                <w:sz w:val="18"/>
                <w:szCs w:val="18"/>
              </w:rPr>
              <w:lastRenderedPageBreak/>
              <w:t>Prediction accuracy / visual fit</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3294C88C" w14:textId="77777777" w:rsidR="002D5290" w:rsidRPr="002D5290" w:rsidRDefault="002D5290" w:rsidP="00A0149B">
            <w:pPr>
              <w:rPr>
                <w:color w:val="171717" w:themeColor="background2" w:themeShade="1A"/>
              </w:rPr>
            </w:pPr>
            <w:r w:rsidRPr="002D5290">
              <w:rPr>
                <w:color w:val="171717" w:themeColor="background2" w:themeShade="1A"/>
                <w:sz w:val="18"/>
                <w:szCs w:val="18"/>
              </w:rPr>
              <w:t xml:space="preserve">Compares multiple model families; GPR provides </w:t>
            </w:r>
            <w:r w:rsidRPr="002D5290">
              <w:rPr>
                <w:color w:val="171717" w:themeColor="background2" w:themeShade="1A"/>
                <w:sz w:val="18"/>
                <w:szCs w:val="18"/>
              </w:rPr>
              <w:lastRenderedPageBreak/>
              <w:t>uncertainty bounds</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0DE6FBD" w14:textId="77777777" w:rsidR="002D5290" w:rsidRPr="002D5290" w:rsidRDefault="002D5290" w:rsidP="00A0149B">
            <w:pPr>
              <w:rPr>
                <w:color w:val="171717" w:themeColor="background2" w:themeShade="1A"/>
              </w:rPr>
            </w:pPr>
            <w:r w:rsidRPr="002D5290">
              <w:rPr>
                <w:color w:val="171717" w:themeColor="background2" w:themeShade="1A"/>
                <w:sz w:val="18"/>
                <w:szCs w:val="18"/>
              </w:rPr>
              <w:lastRenderedPageBreak/>
              <w:t>Very small dataset (single building); no RMSLE metric; not reproducible at scale</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0716713" w14:textId="77777777" w:rsidR="002D5290" w:rsidRPr="002D5290" w:rsidRDefault="002D5290" w:rsidP="00A0149B">
            <w:pPr>
              <w:rPr>
                <w:color w:val="171717" w:themeColor="background2" w:themeShade="1A"/>
              </w:rPr>
            </w:pPr>
            <w:r w:rsidRPr="002D5290">
              <w:rPr>
                <w:color w:val="171717" w:themeColor="background2" w:themeShade="1A"/>
                <w:sz w:val="18"/>
                <w:szCs w:val="18"/>
              </w:rPr>
              <w:t>Useful baseline comparison — shows why ANN/traditio</w:t>
            </w:r>
            <w:r w:rsidRPr="002D5290">
              <w:rPr>
                <w:color w:val="171717" w:themeColor="background2" w:themeShade="1A"/>
                <w:sz w:val="18"/>
                <w:szCs w:val="18"/>
              </w:rPr>
              <w:lastRenderedPageBreak/>
              <w:t>nal models under-perform vs GBMs</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98C0D55" w14:textId="1C0EAAA3" w:rsidR="002D5290" w:rsidRPr="002D5290" w:rsidRDefault="002D5290" w:rsidP="00A0149B">
            <w:pPr>
              <w:rPr>
                <w:color w:val="171717" w:themeColor="background2" w:themeShade="1A"/>
              </w:rPr>
            </w:pPr>
            <w:r w:rsidRPr="002D5290">
              <w:rPr>
                <w:color w:val="171717" w:themeColor="background2" w:themeShade="1A"/>
                <w:sz w:val="18"/>
                <w:szCs w:val="18"/>
              </w:rPr>
              <w:lastRenderedPageBreak/>
              <w:t xml:space="preserve"> Partial — ANN comparison only; different dataset scale</w:t>
            </w:r>
          </w:p>
        </w:tc>
      </w:tr>
      <w:tr w:rsidR="002D5290" w:rsidRPr="002D5290" w14:paraId="1F590D45" w14:textId="77777777" w:rsidTr="002D5290">
        <w:tblPrEx>
          <w:tblCellMar>
            <w:top w:w="0" w:type="dxa"/>
            <w:bottom w:w="0" w:type="dxa"/>
          </w:tblCellMar>
        </w:tblPrEx>
        <w:tc>
          <w:tcPr>
            <w:tcW w:w="14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27529700" w14:textId="77777777" w:rsidR="002D5290" w:rsidRPr="002D5290" w:rsidRDefault="002D5290" w:rsidP="00A0149B">
            <w:pPr>
              <w:rPr>
                <w:color w:val="171717" w:themeColor="background2" w:themeShade="1A"/>
              </w:rPr>
            </w:pPr>
            <w:r w:rsidRPr="002D5290">
              <w:rPr>
                <w:color w:val="171717" w:themeColor="background2" w:themeShade="1A"/>
                <w:sz w:val="18"/>
                <w:szCs w:val="18"/>
              </w:rPr>
              <w:lastRenderedPageBreak/>
              <w:t>Deep Learning Approaches for Building Energy Consumption Prediction (2020+)</w:t>
            </w:r>
          </w:p>
        </w:tc>
        <w:tc>
          <w:tcPr>
            <w:tcW w:w="10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2677A40F" w14:textId="77777777" w:rsidR="002D5290" w:rsidRPr="002D5290" w:rsidRDefault="002D5290" w:rsidP="00A0149B">
            <w:pPr>
              <w:rPr>
                <w:color w:val="171717" w:themeColor="background2" w:themeShade="1A"/>
              </w:rPr>
            </w:pPr>
            <w:r w:rsidRPr="002D5290">
              <w:rPr>
                <w:color w:val="171717" w:themeColor="background2" w:themeShade="1A"/>
                <w:sz w:val="18"/>
                <w:szCs w:val="18"/>
              </w:rPr>
              <w:t>LSTM, CNN, Transformer / deep learning approaches</w:t>
            </w:r>
          </w:p>
        </w:tc>
        <w:tc>
          <w:tcPr>
            <w:tcW w:w="9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6DD8ABF" w14:textId="77777777" w:rsidR="002D5290" w:rsidRPr="002D5290" w:rsidRDefault="002D5290" w:rsidP="00A0149B">
            <w:pPr>
              <w:rPr>
                <w:color w:val="171717" w:themeColor="background2" w:themeShade="1A"/>
              </w:rPr>
            </w:pPr>
            <w:r w:rsidRPr="002D5290">
              <w:rPr>
                <w:color w:val="171717" w:themeColor="background2" w:themeShade="1A"/>
                <w:sz w:val="18"/>
                <w:szCs w:val="18"/>
              </w:rPr>
              <w:t>Various building energy datasets</w:t>
            </w:r>
          </w:p>
        </w:tc>
        <w:tc>
          <w:tcPr>
            <w:tcW w:w="11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C209D2D" w14:textId="77777777" w:rsidR="002D5290" w:rsidRPr="002D5290" w:rsidRDefault="002D5290" w:rsidP="00A0149B">
            <w:pPr>
              <w:rPr>
                <w:color w:val="171717" w:themeColor="background2" w:themeShade="1A"/>
              </w:rPr>
            </w:pPr>
            <w:r w:rsidRPr="002D5290">
              <w:rPr>
                <w:color w:val="171717" w:themeColor="background2" w:themeShade="1A"/>
                <w:sz w:val="18"/>
                <w:szCs w:val="18"/>
              </w:rPr>
              <w:t>RMSE / MAE / MAPE</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5A3A8E61" w14:textId="77777777" w:rsidR="002D5290" w:rsidRPr="002D5290" w:rsidRDefault="002D5290" w:rsidP="00A0149B">
            <w:pPr>
              <w:rPr>
                <w:color w:val="171717" w:themeColor="background2" w:themeShade="1A"/>
              </w:rPr>
            </w:pPr>
            <w:r w:rsidRPr="002D5290">
              <w:rPr>
                <w:color w:val="171717" w:themeColor="background2" w:themeShade="1A"/>
                <w:sz w:val="18"/>
                <w:szCs w:val="18"/>
              </w:rPr>
              <w:t>Captures temporal patterns well in long sequences; good for single-building scenarios</w:t>
            </w:r>
          </w:p>
        </w:tc>
        <w:tc>
          <w:tcPr>
            <w:tcW w:w="15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13750093" w14:textId="77777777" w:rsidR="002D5290" w:rsidRPr="002D5290" w:rsidRDefault="002D5290" w:rsidP="00A0149B">
            <w:pPr>
              <w:rPr>
                <w:color w:val="171717" w:themeColor="background2" w:themeShade="1A"/>
              </w:rPr>
            </w:pPr>
            <w:r w:rsidRPr="002D5290">
              <w:rPr>
                <w:color w:val="171717" w:themeColor="background2" w:themeShade="1A"/>
                <w:sz w:val="18"/>
                <w:szCs w:val="18"/>
              </w:rPr>
              <w:t>Requires large data per building; less interpretable; slower to train than GBMs</w:t>
            </w:r>
          </w:p>
        </w:tc>
        <w:tc>
          <w:tcPr>
            <w:tcW w:w="120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0AA3B902" w14:textId="77777777" w:rsidR="002D5290" w:rsidRPr="002D5290" w:rsidRDefault="002D5290" w:rsidP="00A0149B">
            <w:pPr>
              <w:rPr>
                <w:color w:val="171717" w:themeColor="background2" w:themeShade="1A"/>
              </w:rPr>
            </w:pPr>
            <w:r w:rsidRPr="002D5290">
              <w:rPr>
                <w:color w:val="171717" w:themeColor="background2" w:themeShade="1A"/>
                <w:sz w:val="18"/>
                <w:szCs w:val="18"/>
              </w:rPr>
              <w:t>Justifies why we did NOT choose deep learning for this competition dataset</w:t>
            </w:r>
          </w:p>
        </w:tc>
        <w:tc>
          <w:tcPr>
            <w:tcW w:w="760" w:type="dxa"/>
            <w:tcBorders>
              <w:top w:val="single" w:sz="1" w:space="0" w:color="AAAAAA"/>
              <w:left w:val="single" w:sz="1" w:space="0" w:color="AAAAAA"/>
              <w:bottom w:val="single" w:sz="1" w:space="0" w:color="AAAAAA"/>
              <w:right w:val="single" w:sz="1" w:space="0" w:color="AAAAAA"/>
            </w:tcBorders>
            <w:shd w:val="clear" w:color="auto" w:fill="D1D1D1" w:themeFill="background2" w:themeFillShade="E6"/>
            <w:tcMar>
              <w:top w:w="80" w:type="dxa"/>
              <w:left w:w="120" w:type="dxa"/>
              <w:bottom w:w="80" w:type="dxa"/>
              <w:right w:w="120" w:type="dxa"/>
            </w:tcMar>
          </w:tcPr>
          <w:p w14:paraId="45FD3EA5" w14:textId="79B4E2FD" w:rsidR="002D5290" w:rsidRPr="002D5290" w:rsidRDefault="002D5290" w:rsidP="00A0149B">
            <w:pPr>
              <w:rPr>
                <w:color w:val="171717" w:themeColor="background2" w:themeShade="1A"/>
              </w:rPr>
            </w:pPr>
            <w:r w:rsidRPr="002D5290">
              <w:rPr>
                <w:color w:val="171717" w:themeColor="background2" w:themeShade="1A"/>
                <w:sz w:val="18"/>
                <w:szCs w:val="18"/>
              </w:rPr>
              <w:t xml:space="preserve"> Justifies </w:t>
            </w:r>
            <w:proofErr w:type="spellStart"/>
            <w:r w:rsidRPr="002D5290">
              <w:rPr>
                <w:color w:val="171717" w:themeColor="background2" w:themeShade="1A"/>
                <w:sz w:val="18"/>
                <w:szCs w:val="18"/>
              </w:rPr>
              <w:t>LightGBM</w:t>
            </w:r>
            <w:proofErr w:type="spellEnd"/>
            <w:r w:rsidRPr="002D5290">
              <w:rPr>
                <w:color w:val="171717" w:themeColor="background2" w:themeShade="1A"/>
                <w:sz w:val="18"/>
                <w:szCs w:val="18"/>
              </w:rPr>
              <w:t xml:space="preserve"> over DL for medium-sized tabular data</w:t>
            </w:r>
          </w:p>
        </w:tc>
      </w:tr>
    </w:tbl>
    <w:p w14:paraId="365ED4ED" w14:textId="77777777" w:rsidR="002D5290" w:rsidRPr="002D5290" w:rsidRDefault="002D5290" w:rsidP="002D5290">
      <w:pPr>
        <w:spacing w:before="80" w:after="80"/>
        <w:rPr>
          <w:color w:val="171717" w:themeColor="background2" w:themeShade="1A"/>
        </w:rPr>
      </w:pPr>
    </w:p>
    <w:p w14:paraId="6F1B5F29" w14:textId="77777777" w:rsidR="002D5290" w:rsidRPr="002D5290" w:rsidRDefault="002D5290" w:rsidP="002D5290">
      <w:pPr>
        <w:spacing w:before="80" w:after="80"/>
        <w:rPr>
          <w:color w:val="171717" w:themeColor="background2" w:themeShade="1A"/>
        </w:rPr>
      </w:pPr>
      <w:r w:rsidRPr="002D5290">
        <w:rPr>
          <w:i/>
          <w:iCs/>
          <w:color w:val="171717" w:themeColor="background2" w:themeShade="1A"/>
          <w:sz w:val="18"/>
          <w:szCs w:val="18"/>
        </w:rPr>
        <w:t>Table 1: Summary of reviewed literature. Papers 1–3 use the exact ASHRAE GEPIII dataset. Papers 4–6 use related energy datasets and provide methodological context.</w:t>
      </w:r>
    </w:p>
    <w:p w14:paraId="081EAAA6" w14:textId="77777777" w:rsidR="002D5290" w:rsidRPr="002D5290" w:rsidRDefault="002D5290" w:rsidP="002D5290">
      <w:pPr>
        <w:spacing w:before="80" w:after="80"/>
        <w:rPr>
          <w:color w:val="171717" w:themeColor="background2" w:themeShade="1A"/>
        </w:rPr>
      </w:pPr>
    </w:p>
    <w:p w14:paraId="1B85546F" w14:textId="77777777" w:rsidR="002D5290" w:rsidRPr="002D5290" w:rsidRDefault="002D5290" w:rsidP="002D5290">
      <w:pPr>
        <w:pStyle w:val="Heading2"/>
        <w:rPr>
          <w:color w:val="171717" w:themeColor="background2" w:themeShade="1A"/>
        </w:rPr>
      </w:pPr>
      <w:r w:rsidRPr="002D5290">
        <w:rPr>
          <w:rFonts w:ascii="Arial" w:eastAsia="Arial" w:hAnsi="Arial" w:cs="Arial"/>
          <w:b/>
          <w:bCs/>
          <w:color w:val="171717" w:themeColor="background2" w:themeShade="1A"/>
          <w:sz w:val="24"/>
          <w:szCs w:val="24"/>
        </w:rPr>
        <w:t xml:space="preserve">Written Literature Review </w:t>
      </w:r>
      <w:r w:rsidRPr="00E41AC9">
        <w:rPr>
          <w:rFonts w:ascii="Arial" w:eastAsia="Arial" w:hAnsi="Arial" w:cs="Arial"/>
          <w:b/>
          <w:bCs/>
          <w:color w:val="171717" w:themeColor="background2" w:themeShade="1A"/>
          <w:sz w:val="20"/>
          <w:szCs w:val="20"/>
        </w:rPr>
        <w:t>(~400 words)</w:t>
      </w:r>
    </w:p>
    <w:p w14:paraId="6504EDA7" w14:textId="77777777" w:rsidR="002D5290" w:rsidRPr="002D5290" w:rsidRDefault="002D5290" w:rsidP="002D5290">
      <w:pPr>
        <w:spacing w:before="80" w:after="80"/>
        <w:rPr>
          <w:color w:val="171717" w:themeColor="background2" w:themeShade="1A"/>
        </w:rPr>
      </w:pPr>
      <w:r w:rsidRPr="002D5290">
        <w:rPr>
          <w:color w:val="171717" w:themeColor="background2" w:themeShade="1A"/>
        </w:rPr>
        <w:t xml:space="preserve">The selection of an appropriate machine learning method for building energy prediction has been extensively studied, particularly following the ASHRAE Great Energy Predictor III (GEPIII) competition (Miller et al., 2020). This review </w:t>
      </w:r>
      <w:proofErr w:type="spellStart"/>
      <w:r w:rsidRPr="002D5290">
        <w:rPr>
          <w:color w:val="171717" w:themeColor="background2" w:themeShade="1A"/>
        </w:rPr>
        <w:t>synthesises</w:t>
      </w:r>
      <w:proofErr w:type="spellEnd"/>
      <w:r w:rsidRPr="002D5290">
        <w:rPr>
          <w:color w:val="171717" w:themeColor="background2" w:themeShade="1A"/>
        </w:rPr>
        <w:t xml:space="preserve"> six papers published between 2020 and 2025, assessing their methodological approaches and relevance to our group project, which applies gradient boosting models to the ASHRAE GEPIII dataset.</w:t>
      </w:r>
    </w:p>
    <w:p w14:paraId="091E1CE0" w14:textId="77777777" w:rsidR="002D5290" w:rsidRPr="002D5290" w:rsidRDefault="002D5290" w:rsidP="002D5290">
      <w:pPr>
        <w:spacing w:before="80" w:after="80"/>
        <w:rPr>
          <w:color w:val="171717" w:themeColor="background2" w:themeShade="1A"/>
        </w:rPr>
      </w:pPr>
    </w:p>
    <w:p w14:paraId="634684DB" w14:textId="77777777" w:rsidR="002D5290" w:rsidRPr="002D5290" w:rsidRDefault="002D5290" w:rsidP="002D5290">
      <w:pPr>
        <w:spacing w:before="80" w:after="80"/>
        <w:rPr>
          <w:color w:val="171717" w:themeColor="background2" w:themeShade="1A"/>
        </w:rPr>
      </w:pPr>
      <w:r w:rsidRPr="002D5290">
        <w:rPr>
          <w:b/>
          <w:bCs/>
          <w:color w:val="171717" w:themeColor="background2" w:themeShade="1A"/>
        </w:rPr>
        <w:t>Gradient Boosting as the Dominant Approach</w:t>
      </w:r>
    </w:p>
    <w:p w14:paraId="2363AA57" w14:textId="77777777" w:rsidR="002D5290" w:rsidRPr="002D5290" w:rsidRDefault="002D5290" w:rsidP="002D5290">
      <w:pPr>
        <w:spacing w:before="80" w:after="80"/>
        <w:rPr>
          <w:color w:val="171717" w:themeColor="background2" w:themeShade="1A"/>
        </w:rPr>
      </w:pPr>
      <w:r w:rsidRPr="002D5290">
        <w:rPr>
          <w:color w:val="171717" w:themeColor="background2" w:themeShade="1A"/>
        </w:rPr>
        <w:t xml:space="preserve">Miller et al. (2020) provide the authoritative overview of the GEPIII competition, showing that gradient boosting tree models — primarily </w:t>
      </w:r>
      <w:proofErr w:type="spellStart"/>
      <w:r w:rsidRPr="002D5290">
        <w:rPr>
          <w:color w:val="171717" w:themeColor="background2" w:themeShade="1A"/>
        </w:rPr>
        <w:t>LightGBM</w:t>
      </w:r>
      <w:proofErr w:type="spellEnd"/>
      <w:r w:rsidRPr="002D5290">
        <w:rPr>
          <w:color w:val="171717" w:themeColor="background2" w:themeShade="1A"/>
        </w:rPr>
        <w:t xml:space="preserve"> — dominated all top submissions, with the winning team achieving an RMSLE of 1.231 using an ensemble of </w:t>
      </w:r>
      <w:proofErr w:type="spellStart"/>
      <w:r w:rsidRPr="002D5290">
        <w:rPr>
          <w:color w:val="171717" w:themeColor="background2" w:themeShade="1A"/>
        </w:rPr>
        <w:t>LightGBM</w:t>
      </w:r>
      <w:proofErr w:type="spellEnd"/>
      <w:r w:rsidRPr="002D5290">
        <w:rPr>
          <w:color w:val="171717" w:themeColor="background2" w:themeShade="1A"/>
        </w:rPr>
        <w:t xml:space="preserve">, </w:t>
      </w:r>
      <w:proofErr w:type="spellStart"/>
      <w:r w:rsidRPr="002D5290">
        <w:rPr>
          <w:color w:val="171717" w:themeColor="background2" w:themeShade="1A"/>
        </w:rPr>
        <w:t>CatBoost</w:t>
      </w:r>
      <w:proofErr w:type="spellEnd"/>
      <w:r w:rsidRPr="002D5290">
        <w:rPr>
          <w:color w:val="171717" w:themeColor="background2" w:themeShade="1A"/>
        </w:rPr>
        <w:t xml:space="preserve"> and MLP models. Arjunan et al. (2022) extend this analysis across the top-50 public submissions, confirming that gradient boosting machines outperformed all other model families on this medium-sized tabular dataset (~700 MB). Crucially, both studies found that preprocessing and feature engineering were at least as important as model choice. These findings directly support our group's decision to adopt </w:t>
      </w:r>
      <w:proofErr w:type="spellStart"/>
      <w:r w:rsidRPr="002D5290">
        <w:rPr>
          <w:color w:val="171717" w:themeColor="background2" w:themeShade="1A"/>
        </w:rPr>
        <w:t>LightGBM</w:t>
      </w:r>
      <w:proofErr w:type="spellEnd"/>
      <w:r w:rsidRPr="002D5290">
        <w:rPr>
          <w:color w:val="171717" w:themeColor="background2" w:themeShade="1A"/>
        </w:rPr>
        <w:t xml:space="preserve"> as the primary model.</w:t>
      </w:r>
    </w:p>
    <w:p w14:paraId="418A8AD8" w14:textId="77777777" w:rsidR="002D5290" w:rsidRPr="002D5290" w:rsidRDefault="002D5290" w:rsidP="002D5290">
      <w:pPr>
        <w:spacing w:before="80" w:after="80"/>
        <w:rPr>
          <w:color w:val="171717" w:themeColor="background2" w:themeShade="1A"/>
        </w:rPr>
      </w:pPr>
    </w:p>
    <w:p w14:paraId="7AFD65FE" w14:textId="77777777" w:rsidR="002D5290" w:rsidRPr="002D5290" w:rsidRDefault="002D5290" w:rsidP="002D5290">
      <w:pPr>
        <w:spacing w:before="80" w:after="80"/>
        <w:rPr>
          <w:color w:val="171717" w:themeColor="background2" w:themeShade="1A"/>
        </w:rPr>
      </w:pPr>
      <w:r w:rsidRPr="002D5290">
        <w:rPr>
          <w:b/>
          <w:bCs/>
          <w:color w:val="171717" w:themeColor="background2" w:themeShade="1A"/>
        </w:rPr>
        <w:t>Understanding Model Limitations by Meter Type</w:t>
      </w:r>
    </w:p>
    <w:p w14:paraId="663EC632" w14:textId="77777777" w:rsidR="002D5290" w:rsidRPr="002D5290" w:rsidRDefault="002D5290" w:rsidP="002D5290">
      <w:pPr>
        <w:spacing w:before="80" w:after="80"/>
        <w:rPr>
          <w:color w:val="171717" w:themeColor="background2" w:themeShade="1A"/>
        </w:rPr>
      </w:pPr>
      <w:r w:rsidRPr="002D5290">
        <w:rPr>
          <w:color w:val="171717" w:themeColor="background2" w:themeShade="1A"/>
        </w:rPr>
        <w:t xml:space="preserve">Miller et al. (2021) present an error analysis of the top-50 GEPIII submissions, </w:t>
      </w:r>
      <w:proofErr w:type="spellStart"/>
      <w:r w:rsidRPr="002D5290">
        <w:rPr>
          <w:color w:val="171717" w:themeColor="background2" w:themeShade="1A"/>
        </w:rPr>
        <w:t>categorising</w:t>
      </w:r>
      <w:proofErr w:type="spellEnd"/>
      <w:r w:rsidRPr="002D5290">
        <w:rPr>
          <w:color w:val="171717" w:themeColor="background2" w:themeShade="1A"/>
        </w:rPr>
        <w:t xml:space="preserve"> residual errors by magnitude, reach, and temporal </w:t>
      </w:r>
      <w:proofErr w:type="spellStart"/>
      <w:r w:rsidRPr="002D5290">
        <w:rPr>
          <w:color w:val="171717" w:themeColor="background2" w:themeShade="1A"/>
        </w:rPr>
        <w:t>behaviour</w:t>
      </w:r>
      <w:proofErr w:type="spellEnd"/>
      <w:r w:rsidRPr="002D5290">
        <w:rPr>
          <w:color w:val="171717" w:themeColor="background2" w:themeShade="1A"/>
        </w:rPr>
        <w:t>. Their results show that hot water and steam meters have consistently higher RMSLE values (median 0.14 and 0.06 respectively compared with 0.02 for electricity), attributed to seasonal effects and sensor failures not captured in the training data. This analysis is directly relevant to our T1-2 result analysis section, as it provides an evidence-based explanation for variation in model performance across meter types.</w:t>
      </w:r>
    </w:p>
    <w:p w14:paraId="11464EFF" w14:textId="77777777" w:rsidR="002D5290" w:rsidRPr="002D5290" w:rsidRDefault="002D5290" w:rsidP="002D5290">
      <w:pPr>
        <w:spacing w:before="80" w:after="80"/>
        <w:rPr>
          <w:color w:val="171717" w:themeColor="background2" w:themeShade="1A"/>
        </w:rPr>
      </w:pPr>
    </w:p>
    <w:p w14:paraId="51515684" w14:textId="77777777" w:rsidR="002D5290" w:rsidRPr="002D5290" w:rsidRDefault="002D5290" w:rsidP="002D5290">
      <w:pPr>
        <w:spacing w:before="80" w:after="80"/>
        <w:rPr>
          <w:color w:val="171717" w:themeColor="background2" w:themeShade="1A"/>
        </w:rPr>
      </w:pPr>
      <w:r w:rsidRPr="002D5290">
        <w:rPr>
          <w:b/>
          <w:bCs/>
          <w:color w:val="171717" w:themeColor="background2" w:themeShade="1A"/>
        </w:rPr>
        <w:t>Hyperparameter Tuning and Gradient Boosting Variants</w:t>
      </w:r>
    </w:p>
    <w:p w14:paraId="3870E38A" w14:textId="77777777" w:rsidR="002D5290" w:rsidRPr="002D5290" w:rsidRDefault="002D5290" w:rsidP="002D5290">
      <w:pPr>
        <w:spacing w:before="80" w:after="80"/>
        <w:rPr>
          <w:color w:val="171717" w:themeColor="background2" w:themeShade="1A"/>
        </w:rPr>
      </w:pPr>
      <w:r w:rsidRPr="002D5290">
        <w:rPr>
          <w:color w:val="171717" w:themeColor="background2" w:themeShade="1A"/>
        </w:rPr>
        <w:t>Baqer and Rashidi-</w:t>
      </w:r>
      <w:proofErr w:type="spellStart"/>
      <w:r w:rsidRPr="002D5290">
        <w:rPr>
          <w:color w:val="171717" w:themeColor="background2" w:themeShade="1A"/>
        </w:rPr>
        <w:t>Khazaee</w:t>
      </w:r>
      <w:proofErr w:type="spellEnd"/>
      <w:r w:rsidRPr="002D5290">
        <w:rPr>
          <w:color w:val="171717" w:themeColor="background2" w:themeShade="1A"/>
        </w:rPr>
        <w:t xml:space="preserve"> (2025) demonstrate that Bayesian hyperparameter </w:t>
      </w:r>
      <w:proofErr w:type="spellStart"/>
      <w:r w:rsidRPr="002D5290">
        <w:rPr>
          <w:color w:val="171717" w:themeColor="background2" w:themeShade="1A"/>
        </w:rPr>
        <w:t>optimisation</w:t>
      </w:r>
      <w:proofErr w:type="spellEnd"/>
      <w:r w:rsidRPr="002D5290">
        <w:rPr>
          <w:color w:val="171717" w:themeColor="background2" w:themeShade="1A"/>
        </w:rPr>
        <w:t xml:space="preserve"> using Tree-Structured Parzen Estimation (TPE) improves </w:t>
      </w:r>
      <w:proofErr w:type="spellStart"/>
      <w:r w:rsidRPr="002D5290">
        <w:rPr>
          <w:color w:val="171717" w:themeColor="background2" w:themeShade="1A"/>
        </w:rPr>
        <w:t>XGBoost</w:t>
      </w:r>
      <w:proofErr w:type="spellEnd"/>
      <w:r w:rsidRPr="002D5290">
        <w:rPr>
          <w:color w:val="171717" w:themeColor="background2" w:themeShade="1A"/>
        </w:rPr>
        <w:t xml:space="preserve"> performance for building energy prediction by 3.4–10.4% over the vanilla model. While their dataset (residential UCI Energy Efficiency) differs from ASHRAE's multi-building scenario, the principle of systematic hyperparameter tuning is broadly applicable and supports our approach of tuning </w:t>
      </w:r>
      <w:proofErr w:type="spellStart"/>
      <w:r w:rsidRPr="002D5290">
        <w:rPr>
          <w:color w:val="171717" w:themeColor="background2" w:themeShade="1A"/>
        </w:rPr>
        <w:t>LightGBM</w:t>
      </w:r>
      <w:proofErr w:type="spellEnd"/>
      <w:r w:rsidRPr="002D5290">
        <w:rPr>
          <w:color w:val="171717" w:themeColor="background2" w:themeShade="1A"/>
        </w:rPr>
        <w:t xml:space="preserve"> parameters.</w:t>
      </w:r>
    </w:p>
    <w:p w14:paraId="5DD5F9F3" w14:textId="77777777" w:rsidR="002D5290" w:rsidRPr="002D5290" w:rsidRDefault="002D5290" w:rsidP="002D5290">
      <w:pPr>
        <w:spacing w:before="80" w:after="80"/>
        <w:rPr>
          <w:color w:val="171717" w:themeColor="background2" w:themeShade="1A"/>
        </w:rPr>
      </w:pPr>
    </w:p>
    <w:p w14:paraId="74E2D0CA" w14:textId="77777777" w:rsidR="002D5290" w:rsidRPr="002D5290" w:rsidRDefault="002D5290" w:rsidP="002D5290">
      <w:pPr>
        <w:spacing w:before="80" w:after="80"/>
        <w:rPr>
          <w:color w:val="171717" w:themeColor="background2" w:themeShade="1A"/>
        </w:rPr>
      </w:pPr>
      <w:r w:rsidRPr="002D5290">
        <w:rPr>
          <w:b/>
          <w:bCs/>
          <w:color w:val="171717" w:themeColor="background2" w:themeShade="1A"/>
        </w:rPr>
        <w:t>Why Not Deep Learning?</w:t>
      </w:r>
    </w:p>
    <w:p w14:paraId="3C70DCB4" w14:textId="77777777" w:rsidR="002D5290" w:rsidRPr="002D5290" w:rsidRDefault="002D5290" w:rsidP="002D5290">
      <w:pPr>
        <w:spacing w:before="80" w:after="80"/>
        <w:rPr>
          <w:color w:val="171717" w:themeColor="background2" w:themeShade="1A"/>
        </w:rPr>
      </w:pPr>
      <w:r w:rsidRPr="002D5290">
        <w:rPr>
          <w:color w:val="171717" w:themeColor="background2" w:themeShade="1A"/>
        </w:rPr>
        <w:t>Two papers specifically address deep learning alternatives. Revati et al. (2021) compare ANN, Gaussian Process Regression, Dynamic Mode Decomposition and polynomial regression for a single commercial building, finding that GPR and HDMD provide the most reliable load profile predictions. However, the single-</w:t>
      </w:r>
      <w:r w:rsidRPr="002D5290">
        <w:rPr>
          <w:color w:val="171717" w:themeColor="background2" w:themeShade="1A"/>
        </w:rPr>
        <w:lastRenderedPageBreak/>
        <w:t xml:space="preserve">building scope and small dataset size limit </w:t>
      </w:r>
      <w:proofErr w:type="spellStart"/>
      <w:r w:rsidRPr="002D5290">
        <w:rPr>
          <w:color w:val="171717" w:themeColor="background2" w:themeShade="1A"/>
        </w:rPr>
        <w:t>generalisability</w:t>
      </w:r>
      <w:proofErr w:type="spellEnd"/>
      <w:r w:rsidRPr="002D5290">
        <w:rPr>
          <w:color w:val="171717" w:themeColor="background2" w:themeShade="1A"/>
        </w:rPr>
        <w:t>. The deep learning survey paper reviewed shows that LSTM and Transformer-based approaches excel for single-building temporal modelling but require substantially more data per building and are harder to interpret than gradient boosting trees. Arjunan et al. (2022) confirm that, on the ASHRAE dataset, GBMs outperformed neural networks even when neural models were included in ensembles. These findings collectively justify our decision not to pursue deep learning as the primary approach for this competition dataset.</w:t>
      </w:r>
    </w:p>
    <w:p w14:paraId="50CFC107" w14:textId="77777777" w:rsidR="002D5290" w:rsidRPr="002D5290" w:rsidRDefault="002D5290" w:rsidP="002D5290">
      <w:pPr>
        <w:spacing w:before="80" w:after="80"/>
        <w:rPr>
          <w:color w:val="171717" w:themeColor="background2" w:themeShade="1A"/>
        </w:rPr>
      </w:pPr>
    </w:p>
    <w:p w14:paraId="512628C8" w14:textId="77777777" w:rsidR="001D23D5" w:rsidRPr="002D5290" w:rsidRDefault="001D23D5" w:rsidP="002D5290">
      <w:pPr>
        <w:spacing w:before="80" w:after="80"/>
        <w:rPr>
          <w:color w:val="171717" w:themeColor="background2" w:themeShade="1A"/>
        </w:rPr>
      </w:pPr>
    </w:p>
    <w:p w14:paraId="652E7C89" w14:textId="3685DC09" w:rsidR="002D5290" w:rsidRPr="002D5290" w:rsidRDefault="002D5290" w:rsidP="001D23D5">
      <w:pPr>
        <w:rPr>
          <w:color w:val="171717" w:themeColor="background2" w:themeShade="1A"/>
        </w:rPr>
      </w:pPr>
      <w:r w:rsidRPr="002D5290">
        <w:rPr>
          <w:b/>
          <w:bCs/>
          <w:color w:val="171717" w:themeColor="background2" w:themeShade="1A"/>
          <w:sz w:val="30"/>
          <w:szCs w:val="30"/>
        </w:rPr>
        <w:t>References</w:t>
      </w:r>
    </w:p>
    <w:p w14:paraId="436C7973"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 xml:space="preserve">Miller, C., Arjunan, P., </w:t>
      </w:r>
      <w:proofErr w:type="spellStart"/>
      <w:r w:rsidRPr="002D5290">
        <w:rPr>
          <w:color w:val="171717" w:themeColor="background2" w:themeShade="1A"/>
          <w:sz w:val="18"/>
          <w:szCs w:val="18"/>
        </w:rPr>
        <w:t>Kathirgamanathan</w:t>
      </w:r>
      <w:proofErr w:type="spellEnd"/>
      <w:r w:rsidRPr="002D5290">
        <w:rPr>
          <w:color w:val="171717" w:themeColor="background2" w:themeShade="1A"/>
          <w:sz w:val="18"/>
          <w:szCs w:val="18"/>
        </w:rPr>
        <w:t>, A., Fu, C., Roth, J., Park, J.Y., ... &amp; Haberl, J. (2020). The ASHRAE Great Energy Predictor III competition: Overview and results. Science and Technology for the Built Environment, 26(9), 1427–1447.</w:t>
      </w:r>
    </w:p>
    <w:p w14:paraId="337BF6E9"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Arjunan, P., et al. (2022). Gradient boosting machines and careful preprocessing work best for the ASHRAE Great Energy Predictor III competition. Energy and Buildings.</w:t>
      </w:r>
    </w:p>
    <w:p w14:paraId="35BC2315"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 xml:space="preserve">Miller, C., Picchetti, B., Fu, C., &amp; </w:t>
      </w:r>
      <w:proofErr w:type="spellStart"/>
      <w:r w:rsidRPr="002D5290">
        <w:rPr>
          <w:color w:val="171717" w:themeColor="background2" w:themeShade="1A"/>
          <w:sz w:val="18"/>
          <w:szCs w:val="18"/>
        </w:rPr>
        <w:t>Pantelic</w:t>
      </w:r>
      <w:proofErr w:type="spellEnd"/>
      <w:r w:rsidRPr="002D5290">
        <w:rPr>
          <w:color w:val="171717" w:themeColor="background2" w:themeShade="1A"/>
          <w:sz w:val="18"/>
          <w:szCs w:val="18"/>
        </w:rPr>
        <w:t>, J. (2021). Limitations of machine learning for building energy prediction: ASHRAE great energy predictor III Kaggle competition error analysis. Energies, 14(8), 2244.</w:t>
      </w:r>
    </w:p>
    <w:p w14:paraId="0D9ABFB0"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Baqer, N.R., &amp; Rashidi-</w:t>
      </w:r>
      <w:proofErr w:type="spellStart"/>
      <w:r w:rsidRPr="002D5290">
        <w:rPr>
          <w:color w:val="171717" w:themeColor="background2" w:themeShade="1A"/>
          <w:sz w:val="18"/>
          <w:szCs w:val="18"/>
        </w:rPr>
        <w:t>Khazaee</w:t>
      </w:r>
      <w:proofErr w:type="spellEnd"/>
      <w:r w:rsidRPr="002D5290">
        <w:rPr>
          <w:color w:val="171717" w:themeColor="background2" w:themeShade="1A"/>
          <w:sz w:val="18"/>
          <w:szCs w:val="18"/>
        </w:rPr>
        <w:t xml:space="preserve">, P. (2025). Residential Building Energy Usage Prediction Using Bayesian-Based Optimized </w:t>
      </w:r>
      <w:proofErr w:type="spellStart"/>
      <w:r w:rsidRPr="002D5290">
        <w:rPr>
          <w:color w:val="171717" w:themeColor="background2" w:themeShade="1A"/>
          <w:sz w:val="18"/>
          <w:szCs w:val="18"/>
        </w:rPr>
        <w:t>XGBoost</w:t>
      </w:r>
      <w:proofErr w:type="spellEnd"/>
      <w:r w:rsidRPr="002D5290">
        <w:rPr>
          <w:color w:val="171717" w:themeColor="background2" w:themeShade="1A"/>
          <w:sz w:val="18"/>
          <w:szCs w:val="18"/>
        </w:rPr>
        <w:t xml:space="preserve"> Algorithm. IEEE Access, 13, 36036–36051.</w:t>
      </w:r>
    </w:p>
    <w:p w14:paraId="04B87B5D"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Revati, G., Hozefa, J., Shadab, S., Sheikh, A., Wagh, S.R., &amp; Singh, N.M. (2021). Smart Building Energy Management: Load Profile Prediction using Machine Learning. In 2021 29th Mediterranean Conference on Control and Automation (MED) (pp. 380–385). IEEE.</w:t>
      </w:r>
    </w:p>
    <w:p w14:paraId="346149A5" w14:textId="77777777" w:rsidR="002D5290" w:rsidRPr="002D5290" w:rsidRDefault="002D5290" w:rsidP="002D5290">
      <w:pPr>
        <w:spacing w:before="60" w:after="60"/>
        <w:ind w:left="360" w:hanging="360"/>
        <w:rPr>
          <w:color w:val="171717" w:themeColor="background2" w:themeShade="1A"/>
        </w:rPr>
      </w:pPr>
      <w:r w:rsidRPr="002D5290">
        <w:rPr>
          <w:color w:val="171717" w:themeColor="background2" w:themeShade="1A"/>
          <w:sz w:val="18"/>
          <w:szCs w:val="18"/>
        </w:rPr>
        <w:t>Deep Learning Approaches for Building Energy Consumption Prediction. (Author TBC — verify via Google Scholar and add full citation here).</w:t>
      </w:r>
    </w:p>
    <w:p w14:paraId="4789DBB3" w14:textId="77777777" w:rsidR="00AC319C" w:rsidRPr="002D5290" w:rsidRDefault="00AC319C">
      <w:pPr>
        <w:rPr>
          <w:color w:val="171717" w:themeColor="background2" w:themeShade="1A"/>
        </w:rPr>
      </w:pPr>
    </w:p>
    <w:sectPr w:rsidR="00AC319C" w:rsidRPr="002D5290" w:rsidSect="002D5290">
      <w:pgSz w:w="11906" w:h="16838"/>
      <w:pgMar w:top="1134" w:right="1134" w:bottom="1134" w:left="1134"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5290"/>
    <w:rsid w:val="00177DDD"/>
    <w:rsid w:val="001D23D5"/>
    <w:rsid w:val="002D5290"/>
    <w:rsid w:val="006E0AC4"/>
    <w:rsid w:val="00AC319C"/>
    <w:rsid w:val="00AC6E6D"/>
    <w:rsid w:val="00E41A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1BF4E3"/>
  <w15:chartTrackingRefBased/>
  <w15:docId w15:val="{4307AE10-50FF-4593-8795-7F703B81AF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290"/>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2D529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2D529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529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529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529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529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529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529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529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529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529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529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529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529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52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52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52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5290"/>
    <w:rPr>
      <w:rFonts w:eastAsiaTheme="majorEastAsia" w:cstheme="majorBidi"/>
      <w:color w:val="272727" w:themeColor="text1" w:themeTint="D8"/>
    </w:rPr>
  </w:style>
  <w:style w:type="paragraph" w:styleId="Title">
    <w:name w:val="Title"/>
    <w:basedOn w:val="Normal"/>
    <w:next w:val="Normal"/>
    <w:link w:val="TitleChar"/>
    <w:uiPriority w:val="10"/>
    <w:qFormat/>
    <w:rsid w:val="002D529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52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52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52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5290"/>
    <w:pPr>
      <w:spacing w:before="160"/>
      <w:jc w:val="center"/>
    </w:pPr>
    <w:rPr>
      <w:i/>
      <w:iCs/>
      <w:color w:val="404040" w:themeColor="text1" w:themeTint="BF"/>
    </w:rPr>
  </w:style>
  <w:style w:type="character" w:customStyle="1" w:styleId="QuoteChar">
    <w:name w:val="Quote Char"/>
    <w:basedOn w:val="DefaultParagraphFont"/>
    <w:link w:val="Quote"/>
    <w:uiPriority w:val="29"/>
    <w:rsid w:val="002D5290"/>
    <w:rPr>
      <w:i/>
      <w:iCs/>
      <w:color w:val="404040" w:themeColor="text1" w:themeTint="BF"/>
    </w:rPr>
  </w:style>
  <w:style w:type="paragraph" w:styleId="ListParagraph">
    <w:name w:val="List Paragraph"/>
    <w:basedOn w:val="Normal"/>
    <w:uiPriority w:val="34"/>
    <w:qFormat/>
    <w:rsid w:val="002D5290"/>
    <w:pPr>
      <w:ind w:left="720"/>
      <w:contextualSpacing/>
    </w:pPr>
  </w:style>
  <w:style w:type="character" w:styleId="IntenseEmphasis">
    <w:name w:val="Intense Emphasis"/>
    <w:basedOn w:val="DefaultParagraphFont"/>
    <w:uiPriority w:val="21"/>
    <w:qFormat/>
    <w:rsid w:val="002D5290"/>
    <w:rPr>
      <w:i/>
      <w:iCs/>
      <w:color w:val="0F4761" w:themeColor="accent1" w:themeShade="BF"/>
    </w:rPr>
  </w:style>
  <w:style w:type="paragraph" w:styleId="IntenseQuote">
    <w:name w:val="Intense Quote"/>
    <w:basedOn w:val="Normal"/>
    <w:next w:val="Normal"/>
    <w:link w:val="IntenseQuoteChar"/>
    <w:uiPriority w:val="30"/>
    <w:qFormat/>
    <w:rsid w:val="002D529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5290"/>
    <w:rPr>
      <w:i/>
      <w:iCs/>
      <w:color w:val="0F4761" w:themeColor="accent1" w:themeShade="BF"/>
    </w:rPr>
  </w:style>
  <w:style w:type="character" w:styleId="IntenseReference">
    <w:name w:val="Intense Reference"/>
    <w:basedOn w:val="DefaultParagraphFont"/>
    <w:uiPriority w:val="32"/>
    <w:qFormat/>
    <w:rsid w:val="002D529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Pages>
  <Words>1197</Words>
  <Characters>6829</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Shriya Umesh Wagh</dc:creator>
  <cp:keywords/>
  <dc:description/>
  <cp:lastModifiedBy>Shriya Umesh Wagh</cp:lastModifiedBy>
  <cp:revision>1</cp:revision>
  <dcterms:created xsi:type="dcterms:W3CDTF">2026-04-29T18:30:00Z</dcterms:created>
  <dcterms:modified xsi:type="dcterms:W3CDTF">2026-04-29T18:58:00Z</dcterms:modified>
</cp:coreProperties>
</file>