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Result Analysis &amp; Discussion</w:t>
      </w:r>
    </w:p>
    <w:p>
      <w:pPr>
        <w:spacing w:after="100" w:before="160"/>
      </w:pPr>
      <w:r>
        <w:rPr>
          <w:rFonts w:ascii="Times New Roman" w:cs="Times New Roman" w:eastAsia="Times New Roman" w:hAnsi="Times New Roman"/>
          <w:b/>
          <w:bCs/>
          <w:sz w:val="22"/>
          <w:szCs w:val="22"/>
        </w:rPr>
        <w:t xml:space="preserve">1. Model Performance per Meter Type</w:t>
      </w:r>
    </w:p>
    <w:p>
      <w:pPr>
        <w:spacing w:after="120"/>
        <w:jc w:val="both"/>
      </w:pPr>
      <w:r>
        <w:rPr>
          <w:rFonts w:ascii="Times New Roman" w:cs="Times New Roman" w:eastAsia="Times New Roman" w:hAnsi="Times New Roman"/>
          <w:b w:val="false"/>
          <w:bCs w:val="false"/>
          <w:sz w:val="22"/>
          <w:szCs w:val="22"/>
        </w:rPr>
        <w:t xml:space="preserve">Across LightGBM, XGBoost, CatBoost and Random Forest, error was consistently lowest for </w:t>
      </w:r>
      <w:r>
        <w:rPr>
          <w:rFonts w:ascii="Times New Roman" w:cs="Times New Roman" w:eastAsia="Times New Roman" w:hAnsi="Times New Roman"/>
          <w:b/>
          <w:bCs/>
          <w:sz w:val="22"/>
          <w:szCs w:val="22"/>
        </w:rPr>
        <w:t xml:space="preserve">electricity (meter 0)</w:t>
      </w:r>
      <w:r>
        <w:rPr>
          <w:rFonts w:ascii="Times New Roman" w:cs="Times New Roman" w:eastAsia="Times New Roman" w:hAnsi="Times New Roman"/>
          <w:b w:val="false"/>
          <w:bCs w:val="false"/>
          <w:sz w:val="22"/>
          <w:szCs w:val="22"/>
        </w:rPr>
        <w:t xml:space="preserve"> with per-meter RMSLE near 0.45–0.55, followed by </w:t>
      </w:r>
      <w:r>
        <w:rPr>
          <w:rFonts w:ascii="Times New Roman" w:cs="Times New Roman" w:eastAsia="Times New Roman" w:hAnsi="Times New Roman"/>
          <w:b/>
          <w:bCs/>
          <w:sz w:val="22"/>
          <w:szCs w:val="22"/>
        </w:rPr>
        <w:t xml:space="preserve">chilled water (1)</w:t>
      </w:r>
      <w:r>
        <w:rPr>
          <w:rFonts w:ascii="Times New Roman" w:cs="Times New Roman" w:eastAsia="Times New Roman" w:hAnsi="Times New Roman"/>
          <w:b w:val="false"/>
          <w:bCs w:val="false"/>
          <w:sz w:val="22"/>
          <w:szCs w:val="22"/>
        </w:rPr>
        <w:t xml:space="preserve"> and </w:t>
      </w:r>
      <w:r>
        <w:rPr>
          <w:rFonts w:ascii="Times New Roman" w:cs="Times New Roman" w:eastAsia="Times New Roman" w:hAnsi="Times New Roman"/>
          <w:b/>
          <w:bCs/>
          <w:sz w:val="22"/>
          <w:szCs w:val="22"/>
        </w:rPr>
        <w:t xml:space="preserve">steam (2)</w:t>
      </w:r>
      <w:r>
        <w:rPr>
          <w:rFonts w:ascii="Times New Roman" w:cs="Times New Roman" w:eastAsia="Times New Roman" w:hAnsi="Times New Roman"/>
          <w:b w:val="false"/>
          <w:bCs w:val="false"/>
          <w:sz w:val="22"/>
          <w:szCs w:val="22"/>
        </w:rPr>
        <w:t xml:space="preserve"> in the 0.65–0.85 range, while </w:t>
      </w:r>
      <w:r>
        <w:rPr>
          <w:rFonts w:ascii="Times New Roman" w:cs="Times New Roman" w:eastAsia="Times New Roman" w:hAnsi="Times New Roman"/>
          <w:b/>
          <w:bCs/>
          <w:sz w:val="22"/>
          <w:szCs w:val="22"/>
        </w:rPr>
        <w:t xml:space="preserve">hot water (3)</w:t>
      </w:r>
      <w:r>
        <w:rPr>
          <w:rFonts w:ascii="Times New Roman" w:cs="Times New Roman" w:eastAsia="Times New Roman" w:hAnsi="Times New Roman"/>
          <w:b w:val="false"/>
          <w:bCs w:val="false"/>
          <w:sz w:val="22"/>
          <w:szCs w:val="22"/>
        </w:rPr>
        <w:t xml:space="preserve"> was the hardest at roughly 0.95–1.10. The same ranking held across all tree models, indicating the difficulty is data-driven rather than model-specific.</w:t>
      </w:r>
    </w:p>
    <w:p>
      <w:pPr>
        <w:spacing w:after="100" w:before="160"/>
      </w:pPr>
      <w:r>
        <w:rPr>
          <w:rFonts w:ascii="Times New Roman" w:cs="Times New Roman" w:eastAsia="Times New Roman" w:hAnsi="Times New Roman"/>
          <w:b/>
          <w:bCs/>
          <w:sz w:val="22"/>
          <w:szCs w:val="22"/>
        </w:rPr>
        <w:t xml:space="preserve">2. Why Electricity Was Easier Than Hot Water</w:t>
      </w:r>
    </w:p>
    <w:p>
      <w:pPr>
        <w:spacing w:after="120"/>
        <w:jc w:val="both"/>
      </w:pPr>
      <w:r>
        <w:rPr>
          <w:rFonts w:ascii="Times New Roman" w:cs="Times New Roman" w:eastAsia="Times New Roman" w:hAnsi="Times New Roman"/>
          <w:b w:val="false"/>
          <w:bCs w:val="false"/>
          <w:sz w:val="22"/>
          <w:szCs w:val="22"/>
        </w:rPr>
        <w:t xml:space="preserve">Electricity is metered in every building and follows highly regular daily and weekly occupancy cycles, giving the boosted trees strong, repeatable signals from </w:t>
      </w:r>
      <w:r>
        <w:rPr>
          <w:rFonts w:ascii="Times New Roman" w:cs="Times New Roman" w:eastAsia="Times New Roman" w:hAnsi="Times New Roman"/>
          <w:b/>
          <w:bCs/>
          <w:sz w:val="22"/>
          <w:szCs w:val="22"/>
        </w:rPr>
        <w:t xml:space="preserve">hour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is_business_hours</w:t>
      </w:r>
      <w:r>
        <w:rPr>
          <w:rFonts w:ascii="Times New Roman" w:cs="Times New Roman" w:eastAsia="Times New Roman" w:hAnsi="Times New Roman"/>
          <w:b w:val="false"/>
          <w:bCs w:val="false"/>
          <w:sz w:val="22"/>
          <w:szCs w:val="22"/>
        </w:rPr>
        <w:t xml:space="preserve"> and the lag features. Hot water, in contrast, is installed in far fewer buildings, is dominated by intermittent and weather-driven demand, contains long zero-streaks, and shows abrupt seasonal switching, all of which weaken temporal regularity and inflate log-scale errors.</w:t>
      </w:r>
    </w:p>
    <w:p>
      <w:pPr>
        <w:spacing w:after="100" w:before="160"/>
      </w:pPr>
      <w:r>
        <w:rPr>
          <w:rFonts w:ascii="Times New Roman" w:cs="Times New Roman" w:eastAsia="Times New Roman" w:hAnsi="Times New Roman"/>
          <w:b/>
          <w:bCs/>
          <w:sz w:val="22"/>
          <w:szCs w:val="22"/>
        </w:rPr>
        <w:t xml:space="preserve">3. Impact of Site 0 Anomaly Removal</w:t>
      </w:r>
    </w:p>
    <w:p>
      <w:pPr>
        <w:spacing w:after="120"/>
        <w:jc w:val="both"/>
      </w:pPr>
      <w:r>
        <w:rPr>
          <w:rFonts w:ascii="Times New Roman" w:cs="Times New Roman" w:eastAsia="Times New Roman" w:hAnsi="Times New Roman"/>
          <w:b w:val="false"/>
          <w:bCs w:val="false"/>
          <w:sz w:val="22"/>
          <w:szCs w:val="22"/>
        </w:rPr>
        <w:t xml:space="preserve">Removing Site 0 electricity readings before 2016-05-20 (kBTU vs kWh unit inconsistency) along with zero-streak and &gt;99.9th-percentile outliers produced the single largest validation gain. Before cleaning, Site 0 alone contributed disproportionately to squared log error; afterwards, validation RMSLE improved by approximately 0.10–0.15 and the per-site error distribution became markedly more uniform, confirming the anomaly was a label-quality issue rather than a modelling failure.</w:t>
      </w:r>
    </w:p>
    <w:p>
      <w:pPr>
        <w:spacing w:after="100" w:before="160"/>
      </w:pPr>
      <w:r>
        <w:rPr>
          <w:rFonts w:ascii="Times New Roman" w:cs="Times New Roman" w:eastAsia="Times New Roman" w:hAnsi="Times New Roman"/>
          <w:b/>
          <w:bCs/>
          <w:sz w:val="22"/>
          <w:szCs w:val="22"/>
        </w:rPr>
        <w:t xml:space="preserve">4. Where Lag Features Helped Most</w:t>
      </w:r>
    </w:p>
    <w:p>
      <w:pPr>
        <w:spacing w:after="120"/>
        <w:jc w:val="both"/>
      </w:pPr>
      <w:r>
        <w:rPr>
          <w:rFonts w:ascii="Times New Roman" w:cs="Times New Roman" w:eastAsia="Times New Roman" w:hAnsi="Times New Roman"/>
          <w:b w:val="false"/>
          <w:bCs w:val="false"/>
          <w:sz w:val="22"/>
          <w:szCs w:val="22"/>
        </w:rPr>
        <w:t xml:space="preserve">The </w:t>
      </w:r>
      <w:r>
        <w:rPr>
          <w:rFonts w:ascii="Times New Roman" w:cs="Times New Roman" w:eastAsia="Times New Roman" w:hAnsi="Times New Roman"/>
          <w:b/>
          <w:bCs/>
          <w:sz w:val="22"/>
          <w:szCs w:val="22"/>
        </w:rPr>
        <w:t xml:space="preserve">lag_24h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lag_168h</w:t>
      </w:r>
      <w:r>
        <w:rPr>
          <w:rFonts w:ascii="Times New Roman" w:cs="Times New Roman" w:eastAsia="Times New Roman" w:hAnsi="Times New Roman"/>
          <w:b w:val="false"/>
          <w:bCs w:val="false"/>
          <w:sz w:val="22"/>
          <w:szCs w:val="22"/>
        </w:rPr>
        <w:t xml:space="preserve"> and </w:t>
      </w:r>
      <w:r>
        <w:rPr>
          <w:rFonts w:ascii="Times New Roman" w:cs="Times New Roman" w:eastAsia="Times New Roman" w:hAnsi="Times New Roman"/>
          <w:b/>
          <w:bCs/>
          <w:sz w:val="22"/>
          <w:szCs w:val="22"/>
        </w:rPr>
        <w:t xml:space="preserve">rolling_mean_24h</w:t>
      </w:r>
      <w:r>
        <w:rPr>
          <w:rFonts w:ascii="Times New Roman" w:cs="Times New Roman" w:eastAsia="Times New Roman" w:hAnsi="Times New Roman"/>
          <w:b w:val="false"/>
          <w:bCs w:val="false"/>
          <w:sz w:val="22"/>
          <w:szCs w:val="22"/>
        </w:rPr>
        <w:t xml:space="preserve"> features ranked among the top-five LightGBM and XGBoost importances. Their benefit was greatest for electricity and chilled water, where consumption is strongly auto-correlated on daily and weekly cycles. Gains were smaller for steam and hot water, whose readings are sparser and more weather-shock driven, so recent history is a weaker predictor of the next hour.</w:t>
      </w:r>
    </w:p>
    <w:p>
      <w:pPr>
        <w:spacing w:after="100" w:before="160"/>
      </w:pPr>
      <w:r>
        <w:rPr>
          <w:rFonts w:ascii="Times New Roman" w:cs="Times New Roman" w:eastAsia="Times New Roman" w:hAnsi="Times New Roman"/>
          <w:b/>
          <w:bCs/>
          <w:sz w:val="22"/>
          <w:szCs w:val="22"/>
        </w:rPr>
        <w:t xml:space="preserve">5. Comparison to Baseline Linear Regression</w:t>
      </w:r>
    </w:p>
    <w:p>
      <w:pPr>
        <w:spacing w:after="120"/>
        <w:jc w:val="both"/>
      </w:pPr>
      <w:r>
        <w:rPr>
          <w:rFonts w:ascii="Times New Roman" w:cs="Times New Roman" w:eastAsia="Times New Roman" w:hAnsi="Times New Roman"/>
          <w:b w:val="false"/>
          <w:bCs w:val="false"/>
          <w:sz w:val="22"/>
          <w:szCs w:val="22"/>
        </w:rPr>
        <w:t xml:space="preserve">Linear Regression achieved a validation RMSLE of </w:t>
      </w:r>
      <w:r>
        <w:rPr>
          <w:rFonts w:ascii="Times New Roman" w:cs="Times New Roman" w:eastAsia="Times New Roman" w:hAnsi="Times New Roman"/>
          <w:b/>
          <w:bCs/>
          <w:sz w:val="22"/>
          <w:szCs w:val="22"/>
        </w:rPr>
        <w:t xml:space="preserve">1.5989</w:t>
      </w:r>
      <w:r>
        <w:rPr>
          <w:rFonts w:ascii="Times New Roman" w:cs="Times New Roman" w:eastAsia="Times New Roman" w:hAnsi="Times New Roman"/>
          <w:b w:val="false"/>
          <w:bCs w:val="false"/>
          <w:sz w:val="22"/>
          <w:szCs w:val="22"/>
        </w:rPr>
        <w:t xml:space="preserve"> and the median baseline 1.3254, whereas the best individual model (XGBoost) reached </w:t>
      </w:r>
      <w:r>
        <w:rPr>
          <w:rFonts w:ascii="Times New Roman" w:cs="Times New Roman" w:eastAsia="Times New Roman" w:hAnsi="Times New Roman"/>
          <w:b/>
          <w:bCs/>
          <w:sz w:val="22"/>
          <w:szCs w:val="22"/>
        </w:rPr>
        <w:t xml:space="preserve">0.5207</w:t>
      </w:r>
      <w:r>
        <w:rPr>
          <w:rFonts w:ascii="Times New Roman" w:cs="Times New Roman" w:eastAsia="Times New Roman" w:hAnsi="Times New Roman"/>
          <w:b w:val="false"/>
          <w:bCs w:val="false"/>
          <w:sz w:val="22"/>
          <w:szCs w:val="22"/>
        </w:rPr>
        <w:t xml:space="preserve"> and the soft-voting ensemble improved further. This represents a </w:t>
      </w:r>
      <w:r>
        <w:rPr>
          <w:rFonts w:ascii="Times New Roman" w:cs="Times New Roman" w:eastAsia="Times New Roman" w:hAnsi="Times New Roman"/>
          <w:b/>
          <w:bCs/>
          <w:sz w:val="22"/>
          <w:szCs w:val="22"/>
        </w:rPr>
        <w:t xml:space="preserve">~67% reduction</w:t>
      </w:r>
      <w:r>
        <w:rPr>
          <w:rFonts w:ascii="Times New Roman" w:cs="Times New Roman" w:eastAsia="Times New Roman" w:hAnsi="Times New Roman"/>
          <w:b w:val="false"/>
          <w:bCs w:val="false"/>
          <w:sz w:val="22"/>
          <w:szCs w:val="22"/>
        </w:rPr>
        <w:t xml:space="preserve"> in RMSLE over linear regression, demonstrating that the meter–weather–calendar relationship is strongly non-linear and interaction-heavy, which gradient-boosted trees capture but a linear model cannot.</w:t>
      </w:r>
    </w:p>
    <w:p>
      <w:pPr>
        <w:spacing w:after="100" w:before="160"/>
      </w:pPr>
      <w:r>
        <w:rPr>
          <w:rFonts w:ascii="Times New Roman" w:cs="Times New Roman" w:eastAsia="Times New Roman" w:hAnsi="Times New Roman"/>
          <w:b/>
          <w:bCs/>
          <w:sz w:val="22"/>
          <w:szCs w:val="22"/>
        </w:rPr>
        <w:t xml:space="preserve">6. Error Analysis</w:t>
      </w:r>
    </w:p>
    <w:p>
      <w:pPr>
        <w:spacing w:after="120"/>
        <w:jc w:val="both"/>
      </w:pPr>
      <w:r>
        <w:rPr>
          <w:rFonts w:ascii="Times New Roman" w:cs="Times New Roman" w:eastAsia="Times New Roman" w:hAnsi="Times New Roman"/>
          <w:b w:val="false"/>
          <w:bCs w:val="false"/>
          <w:sz w:val="22"/>
          <w:szCs w:val="22"/>
        </w:rPr>
        <w:t xml:space="preserve">Residual inspection showed errors are not uniformly distributed: the largest log-residuals concentrate on (i) very low or zero readings that the model slightly over-predicts, (ii) extreme summer-peak steam and hot-water spikes that are under-predicted, and (iii) buildings with short training history. RMSLE also penalises under-prediction more heavily than over-prediction, which amplifies the visible error on peak hot-water hours. Errors were near-zero-mean per building but heavy-tailed, consistent with sensor noise and unmodelled occupancy events.</w:t>
      </w:r>
    </w:p>
    <w:p>
      <w:pPr>
        <w:spacing w:after="100" w:before="160"/>
      </w:pPr>
      <w:r>
        <w:rPr>
          <w:rFonts w:ascii="Times New Roman" w:cs="Times New Roman" w:eastAsia="Times New Roman" w:hAnsi="Times New Roman"/>
          <w:b/>
          <w:bCs/>
          <w:sz w:val="22"/>
          <w:szCs w:val="22"/>
        </w:rPr>
        <w:t xml:space="preserve">7. Hardest Meter Type and Why</w:t>
      </w:r>
    </w:p>
    <w:p>
      <w:pPr>
        <w:spacing w:after="120"/>
        <w:jc w:val="both"/>
      </w:pPr>
      <w:r>
        <w:rPr>
          <w:rFonts w:ascii="Times New Roman" w:cs="Times New Roman" w:eastAsia="Times New Roman" w:hAnsi="Times New Roman"/>
          <w:b w:val="false"/>
          <w:bCs w:val="false"/>
          <w:sz w:val="22"/>
          <w:szCs w:val="22"/>
        </w:rPr>
        <w:t xml:space="preserve">Hot water was the hardest meter to predict. It combines the smallest sample size, the highest proportion of zero and missing readings, strong seasonality with abrupt on/off behaviour, and high sensitivity to unobserved occupant behaviour (e.g., showers, kitchen use) that no weather or calendar feature can fully explain. Together these factors limit the achievable RMSLE for meter 3 regardless of model family.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2026-05-02T19:12:01.229Z</dcterms:created>
  <dcterms:modified xsi:type="dcterms:W3CDTF">2026-05-02T19:12:01.229Z</dcterms:modified>
</cp:coreProperties>
</file>

<file path=docProps/custom.xml><?xml version="1.0" encoding="utf-8"?>
<Properties xmlns="http://schemas.openxmlformats.org/officeDocument/2006/custom-properties" xmlns:vt="http://schemas.openxmlformats.org/officeDocument/2006/docPropsVTypes"/>
</file>