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65F22" w:rsidR="00B836FC" w:rsidP="0022563E" w:rsidRDefault="00B836FC" w14:paraId="43BC8187" w14:textId="154D64A0">
      <w:pPr>
        <w:spacing w:line="276" w:lineRule="auto"/>
        <w:jc w:val="both"/>
        <w:rPr>
          <w:rFonts w:ascii="Times New Roman" w:hAnsi="Times New Roman" w:cs="Times New Roman"/>
          <w:b w:val="1"/>
          <w:bCs w:val="1"/>
        </w:rPr>
      </w:pPr>
      <w:r w:rsidRPr="4CE0017C" w:rsidR="350914BE">
        <w:rPr>
          <w:rFonts w:ascii="Times New Roman" w:hAnsi="Times New Roman" w:cs="Times New Roman"/>
          <w:b w:val="1"/>
          <w:bCs w:val="1"/>
        </w:rPr>
        <w:t>Literature Review</w:t>
      </w:r>
    </w:p>
    <w:p w:rsidRPr="00B836FC" w:rsidR="00B836FC" w:rsidP="0022563E" w:rsidRDefault="00B836FC" w14:paraId="31C1E85E" w14:textId="77777777">
      <w:pPr>
        <w:spacing w:line="276" w:lineRule="auto"/>
        <w:jc w:val="both"/>
        <w:rPr>
          <w:rFonts w:ascii="Times New Roman" w:hAnsi="Times New Roman" w:cs="Times New Roman"/>
        </w:rPr>
      </w:pPr>
    </w:p>
    <w:p w:rsidRPr="00B836FC" w:rsidR="00B836FC" w:rsidP="0022563E" w:rsidRDefault="00B836FC" w14:paraId="76FC2D32" w14:textId="77777777">
      <w:pPr>
        <w:spacing w:line="276" w:lineRule="auto"/>
        <w:jc w:val="both"/>
        <w:rPr>
          <w:rFonts w:ascii="Times New Roman" w:hAnsi="Times New Roman" w:cs="Times New Roman"/>
        </w:rPr>
      </w:pPr>
      <w:r w:rsidRPr="00B836FC">
        <w:rPr>
          <w:rFonts w:ascii="Times New Roman" w:hAnsi="Times New Roman" w:cs="Times New Roman"/>
        </w:rPr>
        <w:t xml:space="preserve">Recent building energy prediction literature shows that traditional machine learning, especially tree-based ensemble models, is more common than standalone deep learning for structured tabular datasets. The ASHRAE Great Energy Predictor III overview paper reports a large real-world dataset with 1,448 buildings, 2,380 meters and over 20 million training records, evaluated using RMSLE [1]. The top Kaggle solutions also support this direction. The first-ranked team, Matthew Motoki and Isamu Yamashita, used </w:t>
      </w:r>
      <w:proofErr w:type="spellStart"/>
      <w:r w:rsidRPr="00B836FC">
        <w:rPr>
          <w:rFonts w:ascii="Times New Roman" w:hAnsi="Times New Roman" w:cs="Times New Roman"/>
        </w:rPr>
        <w:t>LightGBM</w:t>
      </w:r>
      <w:proofErr w:type="spellEnd"/>
      <w:r w:rsidRPr="00B836FC">
        <w:rPr>
          <w:rFonts w:ascii="Times New Roman" w:hAnsi="Times New Roman" w:cs="Times New Roman"/>
        </w:rPr>
        <w:t xml:space="preserve">, </w:t>
      </w:r>
      <w:proofErr w:type="spellStart"/>
      <w:r w:rsidRPr="00B836FC">
        <w:rPr>
          <w:rFonts w:ascii="Times New Roman" w:hAnsi="Times New Roman" w:cs="Times New Roman"/>
        </w:rPr>
        <w:t>CatBoost</w:t>
      </w:r>
      <w:proofErr w:type="spellEnd"/>
      <w:r w:rsidRPr="00B836FC">
        <w:rPr>
          <w:rFonts w:ascii="Times New Roman" w:hAnsi="Times New Roman" w:cs="Times New Roman"/>
        </w:rPr>
        <w:t xml:space="preserve"> and MLP ensembles. The second-ranked team, Rohan Rao, Anton Isakin, </w:t>
      </w:r>
      <w:proofErr w:type="spellStart"/>
      <w:r w:rsidRPr="00B836FC">
        <w:rPr>
          <w:rFonts w:ascii="Times New Roman" w:hAnsi="Times New Roman" w:cs="Times New Roman"/>
        </w:rPr>
        <w:t>Yangguang</w:t>
      </w:r>
      <w:proofErr w:type="spellEnd"/>
      <w:r w:rsidRPr="00B836FC">
        <w:rPr>
          <w:rFonts w:ascii="Times New Roman" w:hAnsi="Times New Roman" w:cs="Times New Roman"/>
        </w:rPr>
        <w:t xml:space="preserve"> Zang and Oleg Knaub, used </w:t>
      </w:r>
      <w:proofErr w:type="spellStart"/>
      <w:r w:rsidRPr="00B836FC">
        <w:rPr>
          <w:rFonts w:ascii="Times New Roman" w:hAnsi="Times New Roman" w:cs="Times New Roman"/>
        </w:rPr>
        <w:t>XGBoost</w:t>
      </w:r>
      <w:proofErr w:type="spellEnd"/>
      <w:r w:rsidRPr="00B836FC">
        <w:rPr>
          <w:rFonts w:ascii="Times New Roman" w:hAnsi="Times New Roman" w:cs="Times New Roman"/>
        </w:rPr>
        <w:t xml:space="preserve">, </w:t>
      </w:r>
      <w:proofErr w:type="spellStart"/>
      <w:r w:rsidRPr="00B836FC">
        <w:rPr>
          <w:rFonts w:ascii="Times New Roman" w:hAnsi="Times New Roman" w:cs="Times New Roman"/>
        </w:rPr>
        <w:t>LightGBM</w:t>
      </w:r>
      <w:proofErr w:type="spellEnd"/>
      <w:r w:rsidRPr="00B836FC">
        <w:rPr>
          <w:rFonts w:ascii="Times New Roman" w:hAnsi="Times New Roman" w:cs="Times New Roman"/>
        </w:rPr>
        <w:t xml:space="preserve">, </w:t>
      </w:r>
      <w:proofErr w:type="spellStart"/>
      <w:r w:rsidRPr="00B836FC">
        <w:rPr>
          <w:rFonts w:ascii="Times New Roman" w:hAnsi="Times New Roman" w:cs="Times New Roman"/>
        </w:rPr>
        <w:t>CatBoost</w:t>
      </w:r>
      <w:proofErr w:type="spellEnd"/>
      <w:r w:rsidRPr="00B836FC">
        <w:rPr>
          <w:rFonts w:ascii="Times New Roman" w:hAnsi="Times New Roman" w:cs="Times New Roman"/>
        </w:rPr>
        <w:t xml:space="preserve"> and feed-forward neural networks. The third-ranked solution by Xavier </w:t>
      </w:r>
      <w:proofErr w:type="spellStart"/>
      <w:r w:rsidRPr="00B836FC">
        <w:rPr>
          <w:rFonts w:ascii="Times New Roman" w:hAnsi="Times New Roman" w:cs="Times New Roman"/>
        </w:rPr>
        <w:t>Capdepon</w:t>
      </w:r>
      <w:proofErr w:type="spellEnd"/>
      <w:r w:rsidRPr="00B836FC">
        <w:rPr>
          <w:rFonts w:ascii="Times New Roman" w:hAnsi="Times New Roman" w:cs="Times New Roman"/>
        </w:rPr>
        <w:t xml:space="preserve"> combined </w:t>
      </w:r>
      <w:proofErr w:type="spellStart"/>
      <w:r w:rsidRPr="00B836FC">
        <w:rPr>
          <w:rFonts w:ascii="Times New Roman" w:hAnsi="Times New Roman" w:cs="Times New Roman"/>
        </w:rPr>
        <w:t>Keras</w:t>
      </w:r>
      <w:proofErr w:type="spellEnd"/>
      <w:r w:rsidRPr="00B836FC">
        <w:rPr>
          <w:rFonts w:ascii="Times New Roman" w:hAnsi="Times New Roman" w:cs="Times New Roman"/>
        </w:rPr>
        <w:t xml:space="preserve"> CNN, </w:t>
      </w:r>
      <w:proofErr w:type="spellStart"/>
      <w:r w:rsidRPr="00B836FC">
        <w:rPr>
          <w:rFonts w:ascii="Times New Roman" w:hAnsi="Times New Roman" w:cs="Times New Roman"/>
        </w:rPr>
        <w:t>LightGBM</w:t>
      </w:r>
      <w:proofErr w:type="spellEnd"/>
      <w:r w:rsidRPr="00B836FC">
        <w:rPr>
          <w:rFonts w:ascii="Times New Roman" w:hAnsi="Times New Roman" w:cs="Times New Roman"/>
        </w:rPr>
        <w:t xml:space="preserve"> and </w:t>
      </w:r>
      <w:proofErr w:type="spellStart"/>
      <w:r w:rsidRPr="00B836FC">
        <w:rPr>
          <w:rFonts w:ascii="Times New Roman" w:hAnsi="Times New Roman" w:cs="Times New Roman"/>
        </w:rPr>
        <w:t>CatBoost</w:t>
      </w:r>
      <w:proofErr w:type="spellEnd"/>
      <w:r w:rsidRPr="00B836FC">
        <w:rPr>
          <w:rFonts w:ascii="Times New Roman" w:hAnsi="Times New Roman" w:cs="Times New Roman"/>
        </w:rPr>
        <w:t xml:space="preserve"> [2]. This shows that deep learning appeared in some ensembles, but boosting models were central.</w:t>
      </w:r>
    </w:p>
    <w:p w:rsidRPr="00B836FC" w:rsidR="00B836FC" w:rsidP="0022563E" w:rsidRDefault="00B836FC" w14:paraId="435EC934" w14:textId="77777777">
      <w:pPr>
        <w:spacing w:line="276" w:lineRule="auto"/>
        <w:jc w:val="both"/>
        <w:rPr>
          <w:rFonts w:ascii="Times New Roman" w:hAnsi="Times New Roman" w:cs="Times New Roman"/>
        </w:rPr>
      </w:pPr>
    </w:p>
    <w:p w:rsidRPr="00B836FC" w:rsidR="00B836FC" w:rsidP="0022563E" w:rsidRDefault="00B836FC" w14:paraId="2659BB6A" w14:textId="77777777">
      <w:pPr>
        <w:spacing w:line="276" w:lineRule="auto"/>
        <w:jc w:val="both"/>
        <w:rPr>
          <w:rFonts w:ascii="Times New Roman" w:hAnsi="Times New Roman" w:cs="Times New Roman"/>
        </w:rPr>
      </w:pPr>
      <w:r w:rsidRPr="00B836FC">
        <w:rPr>
          <w:rFonts w:ascii="Times New Roman" w:hAnsi="Times New Roman" w:cs="Times New Roman"/>
        </w:rPr>
        <w:t xml:space="preserve">Several papers confirm the strength of boosting methods. Miller et al. found that gradient boosting machines, especially </w:t>
      </w:r>
      <w:proofErr w:type="spellStart"/>
      <w:r w:rsidRPr="00B836FC">
        <w:rPr>
          <w:rFonts w:ascii="Times New Roman" w:hAnsi="Times New Roman" w:cs="Times New Roman"/>
        </w:rPr>
        <w:t>LightGBM</w:t>
      </w:r>
      <w:proofErr w:type="spellEnd"/>
      <w:r w:rsidRPr="00B836FC">
        <w:rPr>
          <w:rFonts w:ascii="Times New Roman" w:hAnsi="Times New Roman" w:cs="Times New Roman"/>
        </w:rPr>
        <w:t xml:space="preserve">, performed best in the ASHRAE competition when combined with preprocessing, imputation and outlier removal [3]. A comparison of </w:t>
      </w:r>
      <w:proofErr w:type="spellStart"/>
      <w:r w:rsidRPr="00B836FC">
        <w:rPr>
          <w:rFonts w:ascii="Times New Roman" w:hAnsi="Times New Roman" w:cs="Times New Roman"/>
        </w:rPr>
        <w:t>LightGBM</w:t>
      </w:r>
      <w:proofErr w:type="spellEnd"/>
      <w:r w:rsidRPr="00B836FC">
        <w:rPr>
          <w:rFonts w:ascii="Times New Roman" w:hAnsi="Times New Roman" w:cs="Times New Roman"/>
        </w:rPr>
        <w:t xml:space="preserve">, </w:t>
      </w:r>
      <w:proofErr w:type="spellStart"/>
      <w:r w:rsidRPr="00B836FC">
        <w:rPr>
          <w:rFonts w:ascii="Times New Roman" w:hAnsi="Times New Roman" w:cs="Times New Roman"/>
        </w:rPr>
        <w:t>XGBoost</w:t>
      </w:r>
      <w:proofErr w:type="spellEnd"/>
      <w:r w:rsidRPr="00B836FC">
        <w:rPr>
          <w:rFonts w:ascii="Times New Roman" w:hAnsi="Times New Roman" w:cs="Times New Roman"/>
        </w:rPr>
        <w:t xml:space="preserve"> and </w:t>
      </w:r>
      <w:proofErr w:type="spellStart"/>
      <w:r w:rsidRPr="00B836FC">
        <w:rPr>
          <w:rFonts w:ascii="Times New Roman" w:hAnsi="Times New Roman" w:cs="Times New Roman"/>
        </w:rPr>
        <w:t>CatBoost</w:t>
      </w:r>
      <w:proofErr w:type="spellEnd"/>
      <w:r w:rsidRPr="00B836FC">
        <w:rPr>
          <w:rFonts w:ascii="Times New Roman" w:hAnsi="Times New Roman" w:cs="Times New Roman"/>
        </w:rPr>
        <w:t xml:space="preserve"> also showed that boosting models capture nonlinear relationships between weather, building characteristics and energy use effectively [4]. Similarly, an </w:t>
      </w:r>
      <w:proofErr w:type="spellStart"/>
      <w:r w:rsidRPr="00B836FC">
        <w:rPr>
          <w:rFonts w:ascii="Times New Roman" w:hAnsi="Times New Roman" w:cs="Times New Roman"/>
        </w:rPr>
        <w:t>XGBoost</w:t>
      </w:r>
      <w:proofErr w:type="spellEnd"/>
      <w:r w:rsidRPr="00B836FC">
        <w:rPr>
          <w:rFonts w:ascii="Times New Roman" w:hAnsi="Times New Roman" w:cs="Times New Roman"/>
        </w:rPr>
        <w:t xml:space="preserve"> quantile regression study compared </w:t>
      </w:r>
      <w:proofErr w:type="spellStart"/>
      <w:r w:rsidRPr="00B836FC">
        <w:rPr>
          <w:rFonts w:ascii="Times New Roman" w:hAnsi="Times New Roman" w:cs="Times New Roman"/>
        </w:rPr>
        <w:t>XGBoost</w:t>
      </w:r>
      <w:proofErr w:type="spellEnd"/>
      <w:r w:rsidRPr="00B836FC">
        <w:rPr>
          <w:rFonts w:ascii="Times New Roman" w:hAnsi="Times New Roman" w:cs="Times New Roman"/>
        </w:rPr>
        <w:t xml:space="preserve"> with ANN, SVM and Random Forest, showing that boosting can provide strong accuracy and interpretability through feature-importance methods such as SHAP [5].</w:t>
      </w:r>
    </w:p>
    <w:p w:rsidRPr="00B836FC" w:rsidR="00B836FC" w:rsidP="0022563E" w:rsidRDefault="00B836FC" w14:paraId="5B779E15" w14:textId="77777777">
      <w:pPr>
        <w:spacing w:line="276" w:lineRule="auto"/>
        <w:jc w:val="both"/>
        <w:rPr>
          <w:rFonts w:ascii="Times New Roman" w:hAnsi="Times New Roman" w:cs="Times New Roman"/>
        </w:rPr>
      </w:pPr>
    </w:p>
    <w:p w:rsidRPr="00B836FC" w:rsidR="00B836FC" w:rsidP="0022563E" w:rsidRDefault="00B836FC" w14:paraId="16F87DE6" w14:textId="77777777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B836FC">
        <w:rPr>
          <w:rFonts w:ascii="Times New Roman" w:hAnsi="Times New Roman" w:cs="Times New Roman"/>
        </w:rPr>
        <w:t>CatBoost</w:t>
      </w:r>
      <w:proofErr w:type="spellEnd"/>
      <w:r w:rsidRPr="00B836FC">
        <w:rPr>
          <w:rFonts w:ascii="Times New Roman" w:hAnsi="Times New Roman" w:cs="Times New Roman"/>
        </w:rPr>
        <w:t xml:space="preserve">-specific studies further justify our final choice. A </w:t>
      </w:r>
      <w:proofErr w:type="spellStart"/>
      <w:r w:rsidRPr="00B836FC">
        <w:rPr>
          <w:rFonts w:ascii="Times New Roman" w:hAnsi="Times New Roman" w:cs="Times New Roman"/>
        </w:rPr>
        <w:t>CatBoost</w:t>
      </w:r>
      <w:proofErr w:type="spellEnd"/>
      <w:r w:rsidRPr="00B836FC">
        <w:rPr>
          <w:rFonts w:ascii="Times New Roman" w:hAnsi="Times New Roman" w:cs="Times New Roman"/>
        </w:rPr>
        <w:t xml:space="preserve"> model tuned using random search and Bayesian optimisation achieved very high accuracy for building energy prediction and outperformed several baseline models [6]. Another </w:t>
      </w:r>
      <w:proofErr w:type="spellStart"/>
      <w:r w:rsidRPr="00B836FC">
        <w:rPr>
          <w:rFonts w:ascii="Times New Roman" w:hAnsi="Times New Roman" w:cs="Times New Roman"/>
        </w:rPr>
        <w:t>CatBoost</w:t>
      </w:r>
      <w:proofErr w:type="spellEnd"/>
      <w:r w:rsidRPr="00B836FC">
        <w:rPr>
          <w:rFonts w:ascii="Times New Roman" w:hAnsi="Times New Roman" w:cs="Times New Roman"/>
        </w:rPr>
        <w:t xml:space="preserve"> study using meta-heuristic optimisation also showed strong performance on feature-based energy data, although optimisation increased computational cost [7]. Therefore, our approach follows the literature by testing Random Forest, </w:t>
      </w:r>
      <w:proofErr w:type="spellStart"/>
      <w:r w:rsidRPr="00B836FC">
        <w:rPr>
          <w:rFonts w:ascii="Times New Roman" w:hAnsi="Times New Roman" w:cs="Times New Roman"/>
        </w:rPr>
        <w:t>LightGBM</w:t>
      </w:r>
      <w:proofErr w:type="spellEnd"/>
      <w:r w:rsidRPr="00B836FC">
        <w:rPr>
          <w:rFonts w:ascii="Times New Roman" w:hAnsi="Times New Roman" w:cs="Times New Roman"/>
        </w:rPr>
        <w:t xml:space="preserve">, </w:t>
      </w:r>
      <w:proofErr w:type="spellStart"/>
      <w:r w:rsidRPr="00B836FC">
        <w:rPr>
          <w:rFonts w:ascii="Times New Roman" w:hAnsi="Times New Roman" w:cs="Times New Roman"/>
        </w:rPr>
        <w:t>XGBoost</w:t>
      </w:r>
      <w:proofErr w:type="spellEnd"/>
      <w:r w:rsidRPr="00B836FC">
        <w:rPr>
          <w:rFonts w:ascii="Times New Roman" w:hAnsi="Times New Roman" w:cs="Times New Roman"/>
        </w:rPr>
        <w:t xml:space="preserve"> and </w:t>
      </w:r>
      <w:proofErr w:type="spellStart"/>
      <w:r w:rsidRPr="00B836FC">
        <w:rPr>
          <w:rFonts w:ascii="Times New Roman" w:hAnsi="Times New Roman" w:cs="Times New Roman"/>
        </w:rPr>
        <w:t>CatBoost</w:t>
      </w:r>
      <w:proofErr w:type="spellEnd"/>
      <w:r w:rsidRPr="00B836FC">
        <w:rPr>
          <w:rFonts w:ascii="Times New Roman" w:hAnsi="Times New Roman" w:cs="Times New Roman"/>
        </w:rPr>
        <w:t xml:space="preserve"> with engineered weather, building and time features. </w:t>
      </w:r>
      <w:proofErr w:type="spellStart"/>
      <w:r w:rsidRPr="00B836FC">
        <w:rPr>
          <w:rFonts w:ascii="Times New Roman" w:hAnsi="Times New Roman" w:cs="Times New Roman"/>
        </w:rPr>
        <w:t>CatBoost</w:t>
      </w:r>
      <w:proofErr w:type="spellEnd"/>
      <w:r w:rsidRPr="00B836FC">
        <w:rPr>
          <w:rFonts w:ascii="Times New Roman" w:hAnsi="Times New Roman" w:cs="Times New Roman"/>
        </w:rPr>
        <w:t xml:space="preserve"> was selected as the final model because it suits tabular data, models nonlinear feature interactions, and achieved our best validation result: RMSLE 0.5085, compared with Random Forest depth 20 at 0.5267 and the median baseline at 1.3254.</w:t>
      </w:r>
    </w:p>
    <w:p w:rsidRPr="00B836FC" w:rsidR="00B836FC" w:rsidP="0022563E" w:rsidRDefault="00B836FC" w14:paraId="5602941B" w14:textId="77777777">
      <w:pPr>
        <w:spacing w:line="276" w:lineRule="auto"/>
        <w:jc w:val="both"/>
        <w:rPr>
          <w:rFonts w:ascii="Times New Roman" w:hAnsi="Times New Roman" w:cs="Times New Roman"/>
        </w:rPr>
      </w:pPr>
    </w:p>
    <w:p w:rsidRPr="00B836FC" w:rsidR="00B836FC" w:rsidP="0022563E" w:rsidRDefault="00B836FC" w14:paraId="3BF8A873" w14:textId="4A3FAF3D">
      <w:pPr>
        <w:spacing w:line="276" w:lineRule="auto"/>
        <w:jc w:val="both"/>
        <w:rPr>
          <w:rFonts w:ascii="Times New Roman" w:hAnsi="Times New Roman" w:cs="Times New Roman"/>
        </w:rPr>
      </w:pPr>
      <w:r w:rsidRPr="4CE0017C" w:rsidR="4E42C7B9">
        <w:rPr>
          <w:rFonts w:ascii="Times New Roman" w:hAnsi="Times New Roman" w:cs="Times New Roman"/>
          <w:b w:val="1"/>
          <w:bCs w:val="1"/>
        </w:rPr>
        <w:t>IEEE-style references</w:t>
      </w:r>
    </w:p>
    <w:p w:rsidRPr="00B836FC" w:rsidR="00B836FC" w:rsidP="0022563E" w:rsidRDefault="00B836FC" w14:paraId="4D63190C" w14:textId="77777777">
      <w:pPr>
        <w:spacing w:line="276" w:lineRule="auto"/>
        <w:jc w:val="both"/>
        <w:rPr>
          <w:rFonts w:ascii="Times New Roman" w:hAnsi="Times New Roman" w:cs="Times New Roman"/>
        </w:rPr>
      </w:pPr>
    </w:p>
    <w:p w:rsidRPr="00B836FC" w:rsidR="00B836FC" w:rsidP="0022563E" w:rsidRDefault="00B836FC" w14:paraId="6DC4AFF5" w14:textId="77777777">
      <w:pPr>
        <w:spacing w:line="276" w:lineRule="auto"/>
        <w:jc w:val="both"/>
        <w:rPr>
          <w:rFonts w:ascii="Times New Roman" w:hAnsi="Times New Roman" w:cs="Times New Roman"/>
        </w:rPr>
      </w:pPr>
      <w:r w:rsidRPr="00B836FC">
        <w:rPr>
          <w:rFonts w:ascii="Times New Roman" w:hAnsi="Times New Roman" w:cs="Times New Roman"/>
        </w:rPr>
        <w:t xml:space="preserve">[1] C. Miller *et al.*, “The ASHRAE Great Energy Predictor III competition: Overview and results,” *Science and Technology for the Built Environment*, vol. 26, no. 10, pp. 1427-1447, 2020.  </w:t>
      </w:r>
    </w:p>
    <w:p w:rsidRPr="00B836FC" w:rsidR="00B836FC" w:rsidP="0022563E" w:rsidRDefault="00B836FC" w14:paraId="2D9F3899" w14:textId="77777777">
      <w:pPr>
        <w:spacing w:line="276" w:lineRule="auto"/>
        <w:jc w:val="both"/>
        <w:rPr>
          <w:rFonts w:ascii="Times New Roman" w:hAnsi="Times New Roman" w:cs="Times New Roman"/>
        </w:rPr>
      </w:pPr>
      <w:r w:rsidRPr="00B836FC">
        <w:rPr>
          <w:rFonts w:ascii="Times New Roman" w:hAnsi="Times New Roman" w:cs="Times New Roman"/>
        </w:rPr>
        <w:t xml:space="preserve">[2] BUDS Lab, “ASHRAE Great Energy Predictor III - Top 5 Winning Solutions Explained,” GitHub.  </w:t>
      </w:r>
    </w:p>
    <w:p w:rsidRPr="00B836FC" w:rsidR="00B836FC" w:rsidP="0022563E" w:rsidRDefault="00B836FC" w14:paraId="504B2351" w14:textId="77777777">
      <w:pPr>
        <w:spacing w:line="276" w:lineRule="auto"/>
        <w:jc w:val="both"/>
        <w:rPr>
          <w:rFonts w:ascii="Times New Roman" w:hAnsi="Times New Roman" w:cs="Times New Roman"/>
        </w:rPr>
      </w:pPr>
      <w:r w:rsidRPr="00B836FC">
        <w:rPr>
          <w:rFonts w:ascii="Times New Roman" w:hAnsi="Times New Roman" w:cs="Times New Roman"/>
        </w:rPr>
        <w:t xml:space="preserve">[3] C. Miller, H. Liu, and C. Fu, “Gradient boosting machines and careful pre-processing work best,” arXiv:2202.02898, 2022.  </w:t>
      </w:r>
    </w:p>
    <w:p w:rsidRPr="00B836FC" w:rsidR="00B836FC" w:rsidP="0022563E" w:rsidRDefault="00B836FC" w14:paraId="6D96BD2E" w14:textId="77777777">
      <w:pPr>
        <w:spacing w:line="276" w:lineRule="auto"/>
        <w:jc w:val="both"/>
        <w:rPr>
          <w:rFonts w:ascii="Times New Roman" w:hAnsi="Times New Roman" w:cs="Times New Roman"/>
        </w:rPr>
      </w:pPr>
      <w:r w:rsidRPr="00B836FC">
        <w:rPr>
          <w:rFonts w:ascii="Times New Roman" w:hAnsi="Times New Roman" w:cs="Times New Roman"/>
        </w:rPr>
        <w:t xml:space="preserve">[4] “Building Energy Consumption Forecasting: A Comparison of Gradient Boosting Models,” *Proc. Int. Conf. Advances in Information Technology*.  </w:t>
      </w:r>
    </w:p>
    <w:p w:rsidRPr="00B836FC" w:rsidR="00B836FC" w:rsidP="0022563E" w:rsidRDefault="00B836FC" w14:paraId="4AE476FC" w14:textId="77777777">
      <w:pPr>
        <w:spacing w:line="276" w:lineRule="auto"/>
        <w:jc w:val="both"/>
        <w:rPr>
          <w:rFonts w:ascii="Times New Roman" w:hAnsi="Times New Roman" w:cs="Times New Roman"/>
        </w:rPr>
      </w:pPr>
      <w:r w:rsidRPr="00B836FC">
        <w:rPr>
          <w:rFonts w:ascii="Times New Roman" w:hAnsi="Times New Roman" w:cs="Times New Roman"/>
        </w:rPr>
        <w:lastRenderedPageBreak/>
        <w:t xml:space="preserve">[5] “Interpretable building energy performance prediction using </w:t>
      </w:r>
      <w:proofErr w:type="spellStart"/>
      <w:r w:rsidRPr="00B836FC">
        <w:rPr>
          <w:rFonts w:ascii="Times New Roman" w:hAnsi="Times New Roman" w:cs="Times New Roman"/>
        </w:rPr>
        <w:t>XGBoost</w:t>
      </w:r>
      <w:proofErr w:type="spellEnd"/>
      <w:r w:rsidRPr="00B836FC">
        <w:rPr>
          <w:rFonts w:ascii="Times New Roman" w:hAnsi="Times New Roman" w:cs="Times New Roman"/>
        </w:rPr>
        <w:t xml:space="preserve"> Quantile Regression,” *ScienceDirect*.  </w:t>
      </w:r>
    </w:p>
    <w:p w:rsidRPr="00B836FC" w:rsidR="00B836FC" w:rsidP="0022563E" w:rsidRDefault="00B836FC" w14:paraId="39B58354" w14:textId="77777777">
      <w:pPr>
        <w:spacing w:line="276" w:lineRule="auto"/>
        <w:jc w:val="both"/>
        <w:rPr>
          <w:rFonts w:ascii="Times New Roman" w:hAnsi="Times New Roman" w:cs="Times New Roman"/>
        </w:rPr>
      </w:pPr>
      <w:r w:rsidRPr="00B836FC">
        <w:rPr>
          <w:rFonts w:ascii="Times New Roman" w:hAnsi="Times New Roman" w:cs="Times New Roman"/>
        </w:rPr>
        <w:t xml:space="preserve">[6] “Building Energy Consumption Prediction Using </w:t>
      </w:r>
      <w:proofErr w:type="spellStart"/>
      <w:r w:rsidRPr="00B836FC">
        <w:rPr>
          <w:rFonts w:ascii="Times New Roman" w:hAnsi="Times New Roman" w:cs="Times New Roman"/>
        </w:rPr>
        <w:t>CatBoost</w:t>
      </w:r>
      <w:proofErr w:type="spellEnd"/>
      <w:r w:rsidRPr="00B836FC">
        <w:rPr>
          <w:rFonts w:ascii="Times New Roman" w:hAnsi="Times New Roman" w:cs="Times New Roman"/>
        </w:rPr>
        <w:t xml:space="preserve"> </w:t>
      </w:r>
      <w:proofErr w:type="gramStart"/>
      <w:r w:rsidRPr="00B836FC">
        <w:rPr>
          <w:rFonts w:ascii="Times New Roman" w:hAnsi="Times New Roman" w:cs="Times New Roman"/>
        </w:rPr>
        <w:t>With</w:t>
      </w:r>
      <w:proofErr w:type="gramEnd"/>
      <w:r w:rsidRPr="00B836FC">
        <w:rPr>
          <w:rFonts w:ascii="Times New Roman" w:hAnsi="Times New Roman" w:cs="Times New Roman"/>
        </w:rPr>
        <w:t xml:space="preserve"> Hybrid Random Search and Bayesian Optimization,” *IEEE Xplore*.  </w:t>
      </w:r>
    </w:p>
    <w:p w:rsidRPr="007339B2" w:rsidR="00C95102" w:rsidP="0022563E" w:rsidRDefault="00B836FC" w14:paraId="4CE6FF73" w14:textId="037C08EF">
      <w:pPr>
        <w:spacing w:line="276" w:lineRule="auto"/>
        <w:jc w:val="both"/>
        <w:rPr>
          <w:rFonts w:ascii="Times New Roman" w:hAnsi="Times New Roman" w:cs="Times New Roman"/>
        </w:rPr>
      </w:pPr>
      <w:r w:rsidRPr="00B836FC">
        <w:rPr>
          <w:rFonts w:ascii="Times New Roman" w:hAnsi="Times New Roman" w:cs="Times New Roman"/>
        </w:rPr>
        <w:t xml:space="preserve">[7] X. Qu and Z. Liu, “Forecasting total building energy using </w:t>
      </w:r>
      <w:proofErr w:type="spellStart"/>
      <w:r w:rsidRPr="00B836FC">
        <w:rPr>
          <w:rFonts w:ascii="Times New Roman" w:hAnsi="Times New Roman" w:cs="Times New Roman"/>
        </w:rPr>
        <w:t>CatBoost</w:t>
      </w:r>
      <w:proofErr w:type="spellEnd"/>
      <w:r w:rsidRPr="00B836FC">
        <w:rPr>
          <w:rFonts w:ascii="Times New Roman" w:hAnsi="Times New Roman" w:cs="Times New Roman"/>
        </w:rPr>
        <w:t xml:space="preserve"> and meta-heuristic algorithms,” 2026.</w:t>
      </w:r>
    </w:p>
    <w:sectPr w:rsidRPr="007339B2" w:rsidR="00C9510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B2"/>
    <w:rsid w:val="00132C47"/>
    <w:rsid w:val="0022563E"/>
    <w:rsid w:val="005116E7"/>
    <w:rsid w:val="005C573D"/>
    <w:rsid w:val="007339B2"/>
    <w:rsid w:val="00765F22"/>
    <w:rsid w:val="00A27AC7"/>
    <w:rsid w:val="00B836FC"/>
    <w:rsid w:val="00BC0413"/>
    <w:rsid w:val="00C95102"/>
    <w:rsid w:val="350914BE"/>
    <w:rsid w:val="39437514"/>
    <w:rsid w:val="4CE0017C"/>
    <w:rsid w:val="4E42C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A02A1"/>
  <w15:chartTrackingRefBased/>
  <w15:docId w15:val="{8E93DBF6-98D4-4256-BAF5-B4F42886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9B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9B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339B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339B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339B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339B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339B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339B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339B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339B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33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9B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339B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33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9B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33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9B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33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Tanisha Dutta</dc:creator>
  <keywords/>
  <dc:description/>
  <lastModifiedBy>Tanisha Dutta</lastModifiedBy>
  <revision>5</revision>
  <dcterms:created xsi:type="dcterms:W3CDTF">2026-05-01T22:42:00.0000000Z</dcterms:created>
  <dcterms:modified xsi:type="dcterms:W3CDTF">2026-05-02T20:46:26.5114848Z</dcterms:modified>
</coreProperties>
</file>