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EEF8" w14:textId="5EF56A57" w:rsidR="00445F6D" w:rsidRDefault="00000000">
      <w:pPr>
        <w:pStyle w:val="Heading1"/>
      </w:pPr>
      <w:r>
        <w:t>Abstract, Introduction and Conclusion</w:t>
      </w:r>
    </w:p>
    <w:p w14:paraId="72ED4C60" w14:textId="77777777" w:rsidR="00445F6D" w:rsidRDefault="00000000">
      <w:pPr>
        <w:pStyle w:val="Heading2"/>
      </w:pPr>
      <w:r>
        <w:t>Abstract</w:t>
      </w:r>
    </w:p>
    <w:p w14:paraId="1497E621" w14:textId="77777777" w:rsidR="00445F6D" w:rsidRDefault="00000000">
      <w:r>
        <w:t>The ASHRAE Great Energy Predictor III data set covers 20,216,100 hourly meter readings from 1,449 non-residential buildings at sixteen sites, across four meter types: electricity, chilled water, steam and hot water. We treat the prediction problem as tabular time-series regression on log1p(meter_reading) and report Root Mean Squared Logarithmic Error (RMSLE). Joining train.csv, building_metadata.csv and weather_train.csv preserved every one of the 1,449 building identifiers. Two cleaning rules then removed 2,726,295 rows, or 13.49% of the merged training table: the Site 0 electricity calibration window before 20 May 2016, and any building-meter pair carrying a zero-reading streak longer than 168 hours. Sparse building metadata was imputed at the primary-use level. Weather gaps were closed at the station level before the merge, since one missing reading would otherwise be duplicated across every building at that site. Calendar, lag, rolling and weather-derivative features were then engineered. November and December 2016 were held back as a chronological validation window, mirroring the temporal structure of the 2017 to 2018 test set. XGBoost gave the strongest single result at RMSLE = 0.5207. A soft-voting ensemble of XGBoost, LightGBM, CatBoost and Random Forest, weighted by 1/RMSLE^2, improved this to 0.5174.</w:t>
      </w:r>
    </w:p>
    <w:p w14:paraId="22644A8B" w14:textId="77777777" w:rsidR="00445F6D" w:rsidRDefault="00000000">
      <w:pPr>
        <w:pStyle w:val="Heading2"/>
      </w:pPr>
      <w:r>
        <w:t>Introduction</w:t>
      </w:r>
    </w:p>
    <w:p w14:paraId="7C8C8611" w14:textId="77777777" w:rsidR="00445F6D" w:rsidRDefault="00000000">
      <w:r>
        <w:t>Energy efficiency claims are usually settled by comparison rather than by direct measurement. The saving attributed to a retrofit is the difference between observed consumption and the consumption a baseline model would have predicted under the same weather, calendar and operating conditions (Miller et al., 2020). The ASHRAE Great Energy Predictor III data set, released for the 2019 Kaggle competition, was assembled with that kind of counterfactual estimation in mind. It pairs hourly meter readings for electricity, chilled water, steam and hot water with static building metadata and with contemporaneous weather observations recorded at sixteen sites.</w:t>
      </w:r>
    </w:p>
    <w:p w14:paraId="360036A2" w14:textId="77777777" w:rsidR="00445F6D" w:rsidRDefault="00000000">
      <w:r>
        <w:t>Modelling these meters is harder than the size of the data alone suggests. Demand depends on building use, gross floor area, hour of day, day of week, season, and recent consumption history, and the interactions between those factors are non-linear. Outdoor temperature has a piecewise effect: a one-degree shift inside the comfort band moves load very little, but the same shift in a heating- or cooling-dominated period changes load substantially. The data themselves carry several documented artefacts. Roughly 60% of year_built and 83% of floor_count are missing in the metadata. The weather table has station-specific gaps in cloud cover, precipitation, sea-level pressure and wind direction. Site 0 records implausibly low electricity readings before 20 May 2016, and a non-trivial fraction of building-meter pairs show long zero-reading runs that look more like outages than genuine zero load.</w:t>
      </w:r>
    </w:p>
    <w:p w14:paraId="413CB374" w14:textId="77777777" w:rsidR="00445F6D" w:rsidRDefault="00000000">
      <w:r>
        <w:t>The target variable is heavily right-skewed. All models were fitted on log1p(meter_reading) and assessed with RMSLE, since proportional rather than absolute error is the only criterion that places a small office and a large hospital on a comparable footing when consumption volumes span several orders of magnitude.</w:t>
      </w:r>
    </w:p>
    <w:p w14:paraId="50BD315F" w14:textId="77777777" w:rsidR="00445F6D" w:rsidRDefault="00000000">
      <w:r>
        <w:t>What follows develops three threads in turn. The ingestion stage joins train.csv, building_metadata.csv and weather_train.csv into a single 20,216,100-row table, with every one of the 1,449 building identifiers preserved. The cleaning stage translates the Sprint 1 audit findings into explicit rules on the merged table: invalid meter records are removed, metadata is imputed at the primary-use level, weather gaps are closed station-by-station before the join, and a coherent set of calendar, lag, rolling, weather-derivative and building-derivative features is engineered. The modelling stage then compares five families (XGBoost, LightGBM, CatBoost, Random Forest and Linear Regression) under a strictly chronological split. January to October 2016 is used for training and November to December 2016 is held out for validation, so that the short-range temporal autocorrelation of meter readings cannot be exploited by a random split.</w:t>
      </w:r>
    </w:p>
    <w:p w14:paraId="051BE740" w14:textId="77777777" w:rsidR="00445F6D" w:rsidRDefault="00000000">
      <w:pPr>
        <w:pStyle w:val="Heading2"/>
      </w:pPr>
      <w:r>
        <w:lastRenderedPageBreak/>
        <w:t>Conclusion</w:t>
      </w:r>
    </w:p>
    <w:p w14:paraId="1A833EA5" w14:textId="77777777" w:rsidR="00445F6D" w:rsidRDefault="00000000">
      <w:r>
        <w:t>Most of the variation between final RMSLE figures was settled before any model was fitted. Of the 20,216,100 rows in the merged training table, 2,726,295 (13.49%) were removed under explicitly documented rules, and the remaining 17,489,805 records carried the modelling. Two operations did the bulk of the work: removing the Site 0 electricity calibration window before 20 May 2016, and dropping every building-meter pair with a zero-reading streak longer than 168 hours. Had either subset been retained, the target distribution would have been pushed downwards for reasons unrelated to real consumption, and the learners would have been rewarded for fitting sensor or recording faults.</w:t>
      </w:r>
    </w:p>
    <w:p w14:paraId="380702DA" w14:textId="77777777" w:rsidR="00445F6D" w:rsidRDefault="00000000">
      <w:r>
        <w:t>Once cleaning and feature engineering were complete, the four tree-based learners ended up clustered tightly. XGBoost was best at RMSLE = 0.5207, then LightGBM at 0.5231, CatBoost at 0.5234 and Random Forest at 0.5267. The narrowness of that band is instructive. It implies that the engineered calendar, weather, lag and rolling features carried most of the recoverable signal, and that the choice of boosting library mattered considerably less than the inputs the learners were given. Linear regression returned an RMSLE of 1.5989, worse than the median baseline at 1.3254. The relationship between consumption and its drivers in this data set is plainly not additive.</w:t>
      </w:r>
    </w:p>
    <w:p w14:paraId="000546E8" w14:textId="77777777" w:rsidR="00445F6D" w:rsidRDefault="00000000">
      <w:r>
        <w:t>The best score came from a soft-voting ensemble of the four tree models, with weights set proportional to 1/RMSLE^2. At RMSLE = 0.5174 the gain over XGBoost alone is small in absolute terms, yet it survives because the four contributing models are comparably reliable and their residuals are not perfectly correlated. Adding linear regression to the ensemble cut accuracy. That is consistent with the wider observation that voting yields a benefit only when none of the components is materially weaker than the rest.</w:t>
      </w:r>
    </w:p>
    <w:p w14:paraId="657DE05C" w14:textId="77777777" w:rsidR="00445F6D" w:rsidRDefault="00000000">
      <w:r>
        <w:t>Two qualifications are worth stating. The chronological hold-out covers only November and December 2016, and so cannot speak to the longer distributional drift expected through 2017 and 2018. The lag and rolling features are powerful enough that any deviation from event-time shifting risks leakage. Future work should report errors disaggregated by meter type and site, and should test stacking on out-of-fold predictions.</w:t>
      </w:r>
    </w:p>
    <w:p w14:paraId="29151E77" w14:textId="297C63C8" w:rsidR="00445F6D" w:rsidRDefault="00000000">
      <w:pPr>
        <w:pStyle w:val="Heading1"/>
      </w:pPr>
      <w:r>
        <w:t>Weather Preprocessing Subsection</w:t>
      </w:r>
    </w:p>
    <w:p w14:paraId="2A3E71EE" w14:textId="77777777" w:rsidR="00445F6D" w:rsidRDefault="00000000">
      <w:pPr>
        <w:pStyle w:val="Heading2"/>
      </w:pPr>
      <w:r>
        <w:t>Weather Preprocessing</w:t>
      </w:r>
    </w:p>
    <w:p w14:paraId="38A581DE" w14:textId="77777777" w:rsidR="00445F6D" w:rsidRDefault="00000000">
      <w:r>
        <w:t>Each weather observation is keyed by site_id and timestamp rather than by building, which means that one station-hour reading appears against every building at that site after the join. Any imputation performed downstream of the merge would therefore inflate a single missing reading into many duplicated nulls and bias the resulting statistics. The weather files were instead processed at the station level before the join. weather_train.csv and weather_test.csv were sorted by site_id and timestamp, run through the same function, and only then merged back into the corresponding meter tables. The 2016 and 2017 to 2018 halves of the year were treated identically as a result.</w:t>
      </w:r>
    </w:p>
    <w:p w14:paraId="4073E349" w14:textId="77777777" w:rsidR="00445F6D" w:rsidRDefault="00000000">
      <w:r>
        <w:t>The merge preserved every one of the 20,216,100 training rows, which ruled out the join itself as a source of missingness. The gaps lived in five weather columns. cloud_coverage was missing in 8,825,365 rows (approximately 44%), precip_depth_1_hr in 3,749,023 (approximately 19%), wind_direction in 1,449,048 (approximately 7%) and sea_level_pressure in 1,231,669 (approximately 6%). air_temperature, dew_temperature and wind_speed all sat below 1%. No single rule fits all five columns, so each was treated according to how it actually behaves.</w:t>
      </w:r>
    </w:p>
    <w:p w14:paraId="38E345DB" w14:textId="77777777" w:rsidR="00445F6D" w:rsidRDefault="00000000">
      <w:r>
        <w:t>For air_temperature and dew_temperature, both of which change gradually from one hour to the next and rarely have long gaps, linear interpolation was applied within site_id in both directions. Cross-site averaging was rejected on physical grounds: the sites correspond to genuinely different climates, and a nearby reading from the same station is a far safer proxy than a contemporaneous reading from a different region. cloud_coverage required heavier handling, since its gaps were both larger and more block-structured. It was forward- and backward-filled within site, then completed with a site-</w:t>
      </w:r>
      <w:r>
        <w:lastRenderedPageBreak/>
        <w:t>median and finally a global-median fallback. This kept the variable usable as a predictor without pretending that sky cover could be reconstructed precisely.</w:t>
      </w:r>
    </w:p>
    <w:p w14:paraId="01FBB057" w14:textId="77777777" w:rsidR="00445F6D" w:rsidRDefault="00000000">
      <w:r>
        <w:t>precip_depth_1_hr was filled with zero, with a precip_was_missing flag added in parallel. Rainfall is intermittent, so zero is frequently the correct value, yet the flag preserves the distinction between an observed dry hour and an imputed one. sea_level_pressure and wind_direction were filled with a 24-hour rolling median within site, with a site-median fallback for any residual gaps. Once the data were re-merged, the small number of remaining nulls (chiefly wind_speed values and station timestamps absent from the weather files) were closed by a final site-level forward and backward fill and median fallback. The post-imputation null count for the engineered weather block was zero.</w:t>
      </w:r>
    </w:p>
    <w:p w14:paraId="2FA89B8D" w14:textId="77777777" w:rsidR="00445F6D" w:rsidRDefault="00000000">
      <w:r>
        <w:t>Two derived features then completed the block. relative_humidity was computed from air_temperature and dew_temperature using the Magnus-form approximation and clipped to the physically admissible 0–100% range. temp_diff_from_comfort was defined as |air_temperature − 21|, which gives the learners a direct heating- and cooling-pressure signal where raw temperature alone would force them to fit a bent response. Every processed floating-point weather column was finally cast to float32 before the large joins. The test merge spans 41,697,600 rows, and float64 precision was simply unnecessary for tree-based regression at that volume.</w:t>
      </w:r>
    </w:p>
    <w:p w14:paraId="72642E90" w14:textId="77777777" w:rsidR="00445F6D" w:rsidRDefault="00000000">
      <w:pPr>
        <w:pStyle w:val="Heading2"/>
      </w:pPr>
      <w:r>
        <w:t>Bridge to the Shared T2-1 Section</w:t>
      </w:r>
    </w:p>
    <w:p w14:paraId="085B3FF4" w14:textId="77777777" w:rsidR="00445F6D" w:rsidRDefault="00000000">
      <w:r>
        <w:t>After the weather, building and meter cleaning streams were combined, the merged training table contained 17,489,805 rows. All 2,726,295 records that had been removed (13.49% of the original) fell under documented rules. The chronological split allocated 14,529,655 rows from January to October 2016 to training and 2,960,150 rows from November to December 2016 to validation. A random split would have placed neighbouring hours from the same building-meter pair into both partitions, and the models would then have benefited from short-range autocorrelation that simply will not be available at test time. The time-based split removes that route and matches the structure of the 2017 to 2018 test set, where every prediction sits outside the temporal envelope of the training data.</w:t>
      </w:r>
    </w:p>
    <w:p w14:paraId="2FB12E03" w14:textId="77777777" w:rsidR="00445F6D" w:rsidRDefault="00000000">
      <w:pPr>
        <w:pStyle w:val="Heading2"/>
      </w:pPr>
      <w:r>
        <w:t>Weather Rows for the T2-1 Decisions Table</w:t>
      </w:r>
    </w:p>
    <w:tbl>
      <w:tblPr>
        <w:tblStyle w:val="TableGrid"/>
        <w:tblW w:w="0" w:type="auto"/>
        <w:jc w:val="center"/>
        <w:tblLook w:val="04A0" w:firstRow="1" w:lastRow="0" w:firstColumn="1" w:lastColumn="0" w:noHBand="0" w:noVBand="1"/>
      </w:tblPr>
      <w:tblGrid>
        <w:gridCol w:w="2493"/>
        <w:gridCol w:w="2493"/>
        <w:gridCol w:w="2493"/>
        <w:gridCol w:w="2493"/>
      </w:tblGrid>
      <w:tr w:rsidR="00445F6D" w14:paraId="563B3F2C" w14:textId="77777777">
        <w:trPr>
          <w:jc w:val="center"/>
        </w:trPr>
        <w:tc>
          <w:tcPr>
            <w:tcW w:w="2493" w:type="dxa"/>
          </w:tcPr>
          <w:p w14:paraId="3B3EEFAC" w14:textId="77777777" w:rsidR="00445F6D" w:rsidRDefault="00000000">
            <w:r>
              <w:rPr>
                <w:b/>
                <w:sz w:val="17"/>
              </w:rPr>
              <w:t>Column / Stage</w:t>
            </w:r>
          </w:p>
        </w:tc>
        <w:tc>
          <w:tcPr>
            <w:tcW w:w="2493" w:type="dxa"/>
          </w:tcPr>
          <w:p w14:paraId="787D775E" w14:textId="77777777" w:rsidR="00445F6D" w:rsidRDefault="00000000">
            <w:r>
              <w:rPr>
                <w:b/>
                <w:sz w:val="17"/>
              </w:rPr>
              <w:t>Issue identified</w:t>
            </w:r>
          </w:p>
        </w:tc>
        <w:tc>
          <w:tcPr>
            <w:tcW w:w="2493" w:type="dxa"/>
          </w:tcPr>
          <w:p w14:paraId="005941D8" w14:textId="77777777" w:rsidR="00445F6D" w:rsidRDefault="00000000">
            <w:r>
              <w:rPr>
                <w:b/>
                <w:sz w:val="17"/>
              </w:rPr>
              <w:t>Preprocessing decision</w:t>
            </w:r>
          </w:p>
        </w:tc>
        <w:tc>
          <w:tcPr>
            <w:tcW w:w="2493" w:type="dxa"/>
          </w:tcPr>
          <w:p w14:paraId="7B3FB622" w14:textId="77777777" w:rsidR="00445F6D" w:rsidRDefault="00000000">
            <w:r>
              <w:rPr>
                <w:b/>
                <w:sz w:val="17"/>
              </w:rPr>
              <w:t>Justification</w:t>
            </w:r>
          </w:p>
        </w:tc>
      </w:tr>
      <w:tr w:rsidR="00445F6D" w14:paraId="4F53538E" w14:textId="77777777">
        <w:trPr>
          <w:jc w:val="center"/>
        </w:trPr>
        <w:tc>
          <w:tcPr>
            <w:tcW w:w="2493" w:type="dxa"/>
          </w:tcPr>
          <w:p w14:paraId="39F356C6" w14:textId="77777777" w:rsidR="00445F6D" w:rsidRDefault="00000000">
            <w:r>
              <w:rPr>
                <w:sz w:val="17"/>
              </w:rPr>
              <w:t>Weather merge order</w:t>
            </w:r>
          </w:p>
        </w:tc>
        <w:tc>
          <w:tcPr>
            <w:tcW w:w="2493" w:type="dxa"/>
          </w:tcPr>
          <w:p w14:paraId="4754B0F6" w14:textId="77777777" w:rsidR="00445F6D" w:rsidRDefault="00000000">
            <w:r>
              <w:rPr>
                <w:sz w:val="17"/>
              </w:rPr>
              <w:t>One station-hour reading is repeated across every building at that site after the join</w:t>
            </w:r>
          </w:p>
        </w:tc>
        <w:tc>
          <w:tcPr>
            <w:tcW w:w="2493" w:type="dxa"/>
          </w:tcPr>
          <w:p w14:paraId="1715AEB4" w14:textId="77777777" w:rsidR="00445F6D" w:rsidRDefault="00000000">
            <w:r>
              <w:rPr>
                <w:sz w:val="17"/>
              </w:rPr>
              <w:t>Impute weather_train.csv and weather_test.csv station-by-station before joining to meter rows</w:t>
            </w:r>
          </w:p>
        </w:tc>
        <w:tc>
          <w:tcPr>
            <w:tcW w:w="2493" w:type="dxa"/>
          </w:tcPr>
          <w:p w14:paraId="35DBE0FE" w14:textId="77777777" w:rsidR="00445F6D" w:rsidRDefault="00000000">
            <w:r>
              <w:rPr>
                <w:sz w:val="17"/>
              </w:rPr>
              <w:t>Treats the weather station as the unit of evidence and prevents duplicated building rows from biasing the imputation</w:t>
            </w:r>
          </w:p>
        </w:tc>
      </w:tr>
      <w:tr w:rsidR="00445F6D" w14:paraId="56EFCC10" w14:textId="77777777">
        <w:trPr>
          <w:jc w:val="center"/>
        </w:trPr>
        <w:tc>
          <w:tcPr>
            <w:tcW w:w="2493" w:type="dxa"/>
          </w:tcPr>
          <w:p w14:paraId="4AB93BE9" w14:textId="77777777" w:rsidR="00445F6D" w:rsidRDefault="00000000">
            <w:r>
              <w:rPr>
                <w:sz w:val="17"/>
              </w:rPr>
              <w:t>air_temperature, dew_temperature</w:t>
            </w:r>
          </w:p>
        </w:tc>
        <w:tc>
          <w:tcPr>
            <w:tcW w:w="2493" w:type="dxa"/>
          </w:tcPr>
          <w:p w14:paraId="3F3C44DE" w14:textId="77777777" w:rsidR="00445F6D" w:rsidRDefault="00000000">
            <w:r>
              <w:rPr>
                <w:sz w:val="17"/>
              </w:rPr>
              <w:t>Low overall missingness (below 1%) with gradual hour-to-hour change</w:t>
            </w:r>
          </w:p>
        </w:tc>
        <w:tc>
          <w:tcPr>
            <w:tcW w:w="2493" w:type="dxa"/>
          </w:tcPr>
          <w:p w14:paraId="062ACFB8" w14:textId="77777777" w:rsidR="00445F6D" w:rsidRDefault="00000000">
            <w:r>
              <w:rPr>
                <w:sz w:val="17"/>
              </w:rPr>
              <w:t>Linear interpolation within each site_id, applied in both directions</w:t>
            </w:r>
          </w:p>
        </w:tc>
        <w:tc>
          <w:tcPr>
            <w:tcW w:w="2493" w:type="dxa"/>
          </w:tcPr>
          <w:p w14:paraId="336F7BDE" w14:textId="77777777" w:rsidR="00445F6D" w:rsidRDefault="00000000">
            <w:r>
              <w:rPr>
                <w:sz w:val="17"/>
              </w:rPr>
              <w:t>Nearby readings from the same station are a safer proxy than averages drawn from unrelated weather regimes</w:t>
            </w:r>
          </w:p>
        </w:tc>
      </w:tr>
      <w:tr w:rsidR="00445F6D" w14:paraId="7CA40680" w14:textId="77777777">
        <w:trPr>
          <w:jc w:val="center"/>
        </w:trPr>
        <w:tc>
          <w:tcPr>
            <w:tcW w:w="2493" w:type="dxa"/>
          </w:tcPr>
          <w:p w14:paraId="4874688A" w14:textId="77777777" w:rsidR="00445F6D" w:rsidRDefault="00000000">
            <w:r>
              <w:rPr>
                <w:sz w:val="17"/>
              </w:rPr>
              <w:t>cloud_coverage</w:t>
            </w:r>
          </w:p>
        </w:tc>
        <w:tc>
          <w:tcPr>
            <w:tcW w:w="2493" w:type="dxa"/>
          </w:tcPr>
          <w:p w14:paraId="34DB5119" w14:textId="77777777" w:rsidR="00445F6D" w:rsidRDefault="00000000">
            <w:r>
              <w:rPr>
                <w:sz w:val="17"/>
              </w:rPr>
              <w:t>8,825,365 missing merged training rows (approximately 44%); gaps are large and block-structured</w:t>
            </w:r>
          </w:p>
        </w:tc>
        <w:tc>
          <w:tcPr>
            <w:tcW w:w="2493" w:type="dxa"/>
          </w:tcPr>
          <w:p w14:paraId="5CC2F330" w14:textId="77777777" w:rsidR="00445F6D" w:rsidRDefault="00000000">
            <w:r>
              <w:rPr>
                <w:sz w:val="17"/>
              </w:rPr>
              <w:t>Forward and backward fill within site, then site-median, then global-median fallback</w:t>
            </w:r>
          </w:p>
        </w:tc>
        <w:tc>
          <w:tcPr>
            <w:tcW w:w="2493" w:type="dxa"/>
          </w:tcPr>
          <w:p w14:paraId="3DF860BD" w14:textId="77777777" w:rsidR="00445F6D" w:rsidRDefault="00000000">
            <w:r>
              <w:rPr>
                <w:sz w:val="17"/>
              </w:rPr>
              <w:t>Keeps a useful predictor in the table without claiming a precision the underlying station record cannot support</w:t>
            </w:r>
          </w:p>
        </w:tc>
      </w:tr>
      <w:tr w:rsidR="00445F6D" w14:paraId="200D3F66" w14:textId="77777777">
        <w:trPr>
          <w:jc w:val="center"/>
        </w:trPr>
        <w:tc>
          <w:tcPr>
            <w:tcW w:w="2493" w:type="dxa"/>
          </w:tcPr>
          <w:p w14:paraId="3B9A6685" w14:textId="77777777" w:rsidR="00445F6D" w:rsidRDefault="00000000">
            <w:r>
              <w:rPr>
                <w:sz w:val="17"/>
              </w:rPr>
              <w:t>precip_depth_1_hr</w:t>
            </w:r>
          </w:p>
        </w:tc>
        <w:tc>
          <w:tcPr>
            <w:tcW w:w="2493" w:type="dxa"/>
          </w:tcPr>
          <w:p w14:paraId="2D5BC646" w14:textId="77777777" w:rsidR="00445F6D" w:rsidRDefault="00000000">
            <w:r>
              <w:rPr>
                <w:sz w:val="17"/>
              </w:rPr>
              <w:t>3,749,023 missing merged training rows (approximately 19%); rainfall is intermittent in nature</w:t>
            </w:r>
          </w:p>
        </w:tc>
        <w:tc>
          <w:tcPr>
            <w:tcW w:w="2493" w:type="dxa"/>
          </w:tcPr>
          <w:p w14:paraId="34D2299F" w14:textId="77777777" w:rsidR="00445F6D" w:rsidRDefault="00000000">
            <w:r>
              <w:rPr>
                <w:sz w:val="17"/>
              </w:rPr>
              <w:t>Fill with 0 and create a precip_was_missing indicator</w:t>
            </w:r>
          </w:p>
        </w:tc>
        <w:tc>
          <w:tcPr>
            <w:tcW w:w="2493" w:type="dxa"/>
          </w:tcPr>
          <w:p w14:paraId="7D938975" w14:textId="77777777" w:rsidR="00445F6D" w:rsidRDefault="00000000">
            <w:r>
              <w:rPr>
                <w:sz w:val="17"/>
              </w:rPr>
              <w:t>Zero is often the correct value; the flag preserves the distinction between an observed dry hour and an imputed one</w:t>
            </w:r>
          </w:p>
        </w:tc>
      </w:tr>
      <w:tr w:rsidR="00445F6D" w14:paraId="1077E672" w14:textId="77777777">
        <w:trPr>
          <w:jc w:val="center"/>
        </w:trPr>
        <w:tc>
          <w:tcPr>
            <w:tcW w:w="2493" w:type="dxa"/>
          </w:tcPr>
          <w:p w14:paraId="3745E321" w14:textId="77777777" w:rsidR="00445F6D" w:rsidRDefault="00000000">
            <w:r>
              <w:rPr>
                <w:sz w:val="17"/>
              </w:rPr>
              <w:t>sea_level_pressure, wind_direction</w:t>
            </w:r>
          </w:p>
        </w:tc>
        <w:tc>
          <w:tcPr>
            <w:tcW w:w="2493" w:type="dxa"/>
          </w:tcPr>
          <w:p w14:paraId="0F272FE0" w14:textId="77777777" w:rsidR="00445F6D" w:rsidRDefault="00000000">
            <w:r>
              <w:rPr>
                <w:sz w:val="17"/>
              </w:rPr>
              <w:t>Station gaps that retain local temporal structure (approximately 6 to 7% missing)</w:t>
            </w:r>
          </w:p>
        </w:tc>
        <w:tc>
          <w:tcPr>
            <w:tcW w:w="2493" w:type="dxa"/>
          </w:tcPr>
          <w:p w14:paraId="6D645168" w14:textId="77777777" w:rsidR="00445F6D" w:rsidRDefault="00000000">
            <w:r>
              <w:rPr>
                <w:sz w:val="17"/>
              </w:rPr>
              <w:t>24-hour rolling median within site, with a site-median fallback for residual gaps</w:t>
            </w:r>
          </w:p>
        </w:tc>
        <w:tc>
          <w:tcPr>
            <w:tcW w:w="2493" w:type="dxa"/>
          </w:tcPr>
          <w:p w14:paraId="3C93E2FD" w14:textId="77777777" w:rsidR="00445F6D" w:rsidRDefault="00000000">
            <w:r>
              <w:rPr>
                <w:sz w:val="17"/>
              </w:rPr>
              <w:t>Exploits local meteorological continuity rather than importing pressure or wind patterns from another site</w:t>
            </w:r>
          </w:p>
        </w:tc>
      </w:tr>
      <w:tr w:rsidR="00445F6D" w14:paraId="6A0390E6" w14:textId="77777777">
        <w:trPr>
          <w:jc w:val="center"/>
        </w:trPr>
        <w:tc>
          <w:tcPr>
            <w:tcW w:w="2493" w:type="dxa"/>
          </w:tcPr>
          <w:p w14:paraId="62D0516B" w14:textId="77777777" w:rsidR="00445F6D" w:rsidRDefault="00000000">
            <w:r>
              <w:rPr>
                <w:sz w:val="17"/>
              </w:rPr>
              <w:t>wind_speed and residual weather nulls</w:t>
            </w:r>
          </w:p>
        </w:tc>
        <w:tc>
          <w:tcPr>
            <w:tcW w:w="2493" w:type="dxa"/>
          </w:tcPr>
          <w:p w14:paraId="6CD063F0" w14:textId="77777777" w:rsidR="00445F6D" w:rsidRDefault="00000000">
            <w:r>
              <w:rPr>
                <w:sz w:val="17"/>
              </w:rPr>
              <w:t>Some nulls remained after re-merge, including station timestamps absent from the weather files</w:t>
            </w:r>
          </w:p>
        </w:tc>
        <w:tc>
          <w:tcPr>
            <w:tcW w:w="2493" w:type="dxa"/>
          </w:tcPr>
          <w:p w14:paraId="1196E7E0" w14:textId="77777777" w:rsidR="00445F6D" w:rsidRDefault="00000000">
            <w:r>
              <w:rPr>
                <w:sz w:val="17"/>
              </w:rPr>
              <w:t>Final site-level forward and backward fill, followed by site-median and global-median fallback</w:t>
            </w:r>
          </w:p>
        </w:tc>
        <w:tc>
          <w:tcPr>
            <w:tcW w:w="2493" w:type="dxa"/>
          </w:tcPr>
          <w:p w14:paraId="654A2F40" w14:textId="77777777" w:rsidR="00445F6D" w:rsidRDefault="00000000">
            <w:r>
              <w:rPr>
                <w:sz w:val="17"/>
              </w:rPr>
              <w:t>Yields a fully populated weather block with no remaining nulls, as required by tree-based learners</w:t>
            </w:r>
          </w:p>
        </w:tc>
      </w:tr>
      <w:tr w:rsidR="00445F6D" w14:paraId="128ED34D" w14:textId="77777777">
        <w:trPr>
          <w:jc w:val="center"/>
        </w:trPr>
        <w:tc>
          <w:tcPr>
            <w:tcW w:w="2493" w:type="dxa"/>
          </w:tcPr>
          <w:p w14:paraId="25DAC1EA" w14:textId="77777777" w:rsidR="00445F6D" w:rsidRDefault="00000000">
            <w:r>
              <w:rPr>
                <w:sz w:val="17"/>
              </w:rPr>
              <w:t>relative_humidity (engineered)</w:t>
            </w:r>
          </w:p>
        </w:tc>
        <w:tc>
          <w:tcPr>
            <w:tcW w:w="2493" w:type="dxa"/>
          </w:tcPr>
          <w:p w14:paraId="544DF93C" w14:textId="77777777" w:rsidR="00445F6D" w:rsidRDefault="00000000">
            <w:r>
              <w:rPr>
                <w:sz w:val="17"/>
              </w:rPr>
              <w:t xml:space="preserve">Dew temperature alone is a less interpretable proxy for atmospheric moisture in energy </w:t>
            </w:r>
            <w:r>
              <w:rPr>
                <w:sz w:val="17"/>
              </w:rPr>
              <w:lastRenderedPageBreak/>
              <w:t>contexts</w:t>
            </w:r>
          </w:p>
        </w:tc>
        <w:tc>
          <w:tcPr>
            <w:tcW w:w="2493" w:type="dxa"/>
          </w:tcPr>
          <w:p w14:paraId="4E5F5AB9" w14:textId="77777777" w:rsidR="00445F6D" w:rsidRDefault="00000000">
            <w:r>
              <w:rPr>
                <w:sz w:val="17"/>
              </w:rPr>
              <w:lastRenderedPageBreak/>
              <w:t xml:space="preserve">Compute from air_temperature and dew_temperature using the Magnus-form approximation, </w:t>
            </w:r>
            <w:r>
              <w:rPr>
                <w:sz w:val="17"/>
              </w:rPr>
              <w:lastRenderedPageBreak/>
              <w:t>clipped to 0–100%</w:t>
            </w:r>
          </w:p>
        </w:tc>
        <w:tc>
          <w:tcPr>
            <w:tcW w:w="2493" w:type="dxa"/>
          </w:tcPr>
          <w:p w14:paraId="3B284293" w14:textId="77777777" w:rsidR="00445F6D" w:rsidRDefault="00000000">
            <w:r>
              <w:rPr>
                <w:sz w:val="17"/>
              </w:rPr>
              <w:lastRenderedPageBreak/>
              <w:t xml:space="preserve">Provides a direct, physically bounded humidity feature linked to comfort and </w:t>
            </w:r>
            <w:r>
              <w:rPr>
                <w:sz w:val="17"/>
              </w:rPr>
              <w:lastRenderedPageBreak/>
              <w:t>condensation regimes</w:t>
            </w:r>
          </w:p>
        </w:tc>
      </w:tr>
      <w:tr w:rsidR="00445F6D" w14:paraId="3C708110" w14:textId="77777777">
        <w:trPr>
          <w:jc w:val="center"/>
        </w:trPr>
        <w:tc>
          <w:tcPr>
            <w:tcW w:w="2493" w:type="dxa"/>
          </w:tcPr>
          <w:p w14:paraId="0C4CF8E8" w14:textId="77777777" w:rsidR="00445F6D" w:rsidRDefault="00000000">
            <w:r>
              <w:rPr>
                <w:sz w:val="17"/>
              </w:rPr>
              <w:lastRenderedPageBreak/>
              <w:t>temp_diff_from_comfort (engineered)</w:t>
            </w:r>
          </w:p>
        </w:tc>
        <w:tc>
          <w:tcPr>
            <w:tcW w:w="2493" w:type="dxa"/>
          </w:tcPr>
          <w:p w14:paraId="7FF59E24" w14:textId="77777777" w:rsidR="00445F6D" w:rsidRDefault="00000000">
            <w:r>
              <w:rPr>
                <w:sz w:val="17"/>
              </w:rPr>
              <w:t>Raw temperature does not directly express distance from a likely comfort range</w:t>
            </w:r>
          </w:p>
        </w:tc>
        <w:tc>
          <w:tcPr>
            <w:tcW w:w="2493" w:type="dxa"/>
          </w:tcPr>
          <w:p w14:paraId="0CC0BE52" w14:textId="77777777" w:rsidR="00445F6D" w:rsidRDefault="00000000">
            <w:r>
              <w:rPr>
                <w:sz w:val="17"/>
              </w:rPr>
              <w:t>Compute |air_temperature − 21| (degrees Celsius)</w:t>
            </w:r>
          </w:p>
        </w:tc>
        <w:tc>
          <w:tcPr>
            <w:tcW w:w="2493" w:type="dxa"/>
          </w:tcPr>
          <w:p w14:paraId="5952115A" w14:textId="77777777" w:rsidR="00445F6D" w:rsidRDefault="00000000">
            <w:r>
              <w:rPr>
                <w:sz w:val="17"/>
              </w:rPr>
              <w:t>Captures heating- and cooling-pressure as outdoor temperature departs from a typical 21 °C indoor reference</w:t>
            </w:r>
          </w:p>
        </w:tc>
      </w:tr>
      <w:tr w:rsidR="00445F6D" w14:paraId="4D1096CB" w14:textId="77777777">
        <w:trPr>
          <w:jc w:val="center"/>
        </w:trPr>
        <w:tc>
          <w:tcPr>
            <w:tcW w:w="2493" w:type="dxa"/>
          </w:tcPr>
          <w:p w14:paraId="431414B6" w14:textId="77777777" w:rsidR="00445F6D" w:rsidRDefault="00000000">
            <w:r>
              <w:rPr>
                <w:sz w:val="17"/>
              </w:rPr>
              <w:t>Weather numeric types</w:t>
            </w:r>
          </w:p>
        </w:tc>
        <w:tc>
          <w:tcPr>
            <w:tcW w:w="2493" w:type="dxa"/>
          </w:tcPr>
          <w:p w14:paraId="746B520C" w14:textId="77777777" w:rsidR="00445F6D" w:rsidRDefault="00000000">
            <w:r>
              <w:rPr>
                <w:sz w:val="17"/>
              </w:rPr>
              <w:t>The 41,697,600-row test merge was memory-intensive at default float64 precision</w:t>
            </w:r>
          </w:p>
        </w:tc>
        <w:tc>
          <w:tcPr>
            <w:tcW w:w="2493" w:type="dxa"/>
          </w:tcPr>
          <w:p w14:paraId="54377E95" w14:textId="77777777" w:rsidR="00445F6D" w:rsidRDefault="00000000">
            <w:r>
              <w:rPr>
                <w:sz w:val="17"/>
              </w:rPr>
              <w:t>Cast all processed floating-point weather columns to float32 prior to the join</w:t>
            </w:r>
          </w:p>
        </w:tc>
        <w:tc>
          <w:tcPr>
            <w:tcW w:w="2493" w:type="dxa"/>
          </w:tcPr>
          <w:p w14:paraId="70000D71" w14:textId="77777777" w:rsidR="00445F6D" w:rsidRDefault="00000000">
            <w:r>
              <w:rPr>
                <w:sz w:val="17"/>
              </w:rPr>
              <w:t>Reduces memory pressure while preserving precision sufficient for tree-based regression at that volume</w:t>
            </w:r>
          </w:p>
        </w:tc>
      </w:tr>
    </w:tbl>
    <w:p w14:paraId="1075D592" w14:textId="77777777" w:rsidR="00445F6D" w:rsidRDefault="00000000">
      <w:pPr>
        <w:pStyle w:val="Heading1"/>
      </w:pPr>
      <w:r>
        <w:t>References</w:t>
      </w:r>
    </w:p>
    <w:p w14:paraId="138F0421" w14:textId="77777777" w:rsidR="00445F6D" w:rsidRDefault="00000000">
      <w:r>
        <w:t>Miller, C., Arjunan, P., Kathirgamanathan, A., Fu, C., Roth, J., Park, J. Y., Balbach, C., Gowri, K., Nagy, Z., Fontanini, A. D. and Haberl, J. (2020). The ASHRAE Great Energy Predictor III competition: Overview and results. Science and Technology for the Built Environment, 26(10), 1427–1447. Liang, X. (2020). Top-1 solution: ASHRAE Great Energy Predictor III. Kaggle competition write-up. Internal evidence is documented in Zahra_Data_Merging.ipynb (Sprint 1 audit and Sprint 2 cleaning rules).</w:t>
      </w:r>
    </w:p>
    <w:sectPr w:rsidR="00445F6D"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166670">
    <w:abstractNumId w:val="8"/>
  </w:num>
  <w:num w:numId="2" w16cid:durableId="1508212540">
    <w:abstractNumId w:val="6"/>
  </w:num>
  <w:num w:numId="3" w16cid:durableId="1758819283">
    <w:abstractNumId w:val="5"/>
  </w:num>
  <w:num w:numId="4" w16cid:durableId="1724526119">
    <w:abstractNumId w:val="4"/>
  </w:num>
  <w:num w:numId="5" w16cid:durableId="1075275991">
    <w:abstractNumId w:val="7"/>
  </w:num>
  <w:num w:numId="6" w16cid:durableId="502403542">
    <w:abstractNumId w:val="3"/>
  </w:num>
  <w:num w:numId="7" w16cid:durableId="404914006">
    <w:abstractNumId w:val="2"/>
  </w:num>
  <w:num w:numId="8" w16cid:durableId="759764001">
    <w:abstractNumId w:val="1"/>
  </w:num>
  <w:num w:numId="9" w16cid:durableId="10076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F6D"/>
    <w:rsid w:val="004B054C"/>
    <w:rsid w:val="008A60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6E87D"/>
  <w14:defaultImageDpi w14:val="300"/>
  <w15:docId w15:val="{60F8D426-F538-42AC-BCAE-32A8984E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2093</Words>
  <Characters>11935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Ctrl Zi</cp:lastModifiedBy>
  <cp:revision>2</cp:revision>
  <dcterms:created xsi:type="dcterms:W3CDTF">2013-12-23T23:15:00Z</dcterms:created>
  <dcterms:modified xsi:type="dcterms:W3CDTF">2026-05-02T18:17:00Z</dcterms:modified>
  <cp:category/>
</cp:coreProperties>
</file>