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EEF8" w14:textId="5EF56A57" w:rsidR="00445F6D" w:rsidRDefault="00000000">
      <w:pPr>
        <w:pStyle w:val="Heading1"/>
      </w:pPr>
      <w:r>
        <w:t>Abstract, Introduction and Conclusion</w:t>
      </w:r>
    </w:p>
    <w:p w14:paraId="72ED4C60" w14:textId="77777777" w:rsidR="00445F6D" w:rsidRDefault="00000000">
      <w:pPr>
        <w:pStyle w:val="Heading2"/>
      </w:pPr>
      <w:r>
        <w:t>Abstract</w:t>
      </w:r>
    </w:p>
    <w:p w14:paraId="1497E621" w14:textId="77777777" w:rsidR="00445F6D" w:rsidRDefault="00000000">
      <w:r>
        <w:t>The ASHRAE Great Energy Predictor III data set covers 20,216,100 hourly meter readings from 1,449 non-residential buildings at sixteen sites, across four meter types: electricity, chilled water, steam and hot water. We treat the prediction problem as tabular time-series regression on log1p(meter_reading) and report Root Mean Squared Logarithmic Error (RMSLE). Joining train.csv, building_metadata.csv and weather_train.csv preserved every one of the 1,449 building identifiers. Two cleaning rules then removed 2,726,295 rows, or 13.49% of the merged training table: the Site 0 electricity calibration window before 20 May 2016, and any building-meter pair carrying a zero-reading streak longer than 168 hours. Sparse building metadata was imputed at the primary-use level. Weather gaps were closed at the station level before the merge, since one missing reading would otherwise be duplicated across every building at that site. Calendar, lag, rolling and weather-derivative features were then engineered. November and December 2016 were held back as a chronological validation window, mirroring the temporal structure of the 2017 to 2018 test set. XGBoost gave the strongest single result at RMSLE = 0.5207. A soft-voting ensemble of XGBoost, LightGBM, CatBoost and Random Forest, weighted by 1/RMSLE^2, improved this to 0.5174.</w:t>
      </w:r>
    </w:p>
    <w:p w14:paraId="22644A8B" w14:textId="77777777" w:rsidR="00445F6D" w:rsidRDefault="00000000">
      <w:pPr>
        <w:pStyle w:val="Heading2"/>
      </w:pPr>
      <w:r>
        <w:t>Introduction</w:t>
      </w:r>
    </w:p>
    <w:p w14:paraId="7C8C8611" w14:textId="77777777" w:rsidR="00445F6D" w:rsidRDefault="00000000">
      <w:r>
        <w:t>Energy efficiency claims are usually settled by comparison rather than by direct measurement. The saving attributed to a retrofit is the difference between observed consumption and the consumption a baseline model would have predicted under the same weather, calendar and operating conditions (Miller et al., 2020). The ASHRAE Great Energy Predictor III data set, released for the 2019 Kaggle competition, was assembled with that kind of counterfactual estimation in mind. It pairs hourly meter readings for electricity, chilled water, steam and hot water with static building metadata and with contemporaneous weather observations recorded at sixteen sites.</w:t>
      </w:r>
    </w:p>
    <w:p w14:paraId="360036A2" w14:textId="77777777" w:rsidR="00445F6D" w:rsidRDefault="00000000">
      <w:r>
        <w:t>Modelling these meters is harder than the size of the data alone suggests. Demand depends on building use, gross floor area, hour of day, day of week, season, and recent consumption history, and the interactions between those factors are non-linear. Outdoor temperature has a piecewise effect: a one-degree shift inside the comfort band moves load very little, but the same shift in a heating- or cooling-dominated period changes load substantially. The data themselves carry several documented artefacts. Roughly 60% of year_built and 83% of floor_count are missing in the metadata. The weather table has station-specific gaps in cloud cover, precipitation, sea-level pressure and wind direction. Site 0 records implausibly low electricity readings before 20 May 2016, and a non-trivial fraction of building-meter pairs show long zero-reading runs that look more like outages than genuine zero load.</w:t>
      </w:r>
    </w:p>
    <w:p w14:paraId="413CB374" w14:textId="77777777" w:rsidR="00445F6D" w:rsidRDefault="00000000">
      <w:r>
        <w:t>The target variable is heavily right-skewed. All models were fitted on log1p(meter_reading) and assessed with RMSLE, since proportional rather than absolute error is the only criterion that places a small office and a large hospital on a comparable footing when consumption volumes span several orders of magnitude.</w:t>
      </w:r>
    </w:p>
    <w:p w14:paraId="50BD315F" w14:textId="77777777" w:rsidR="00445F6D" w:rsidRDefault="00000000">
      <w:r>
        <w:t>What follows develops three threads in turn. The ingestion stage joins train.csv, building_metadata.csv and weather_train.csv into a single 20,216,100-row table, with every one of the 1,449 building identifiers preserved. The cleaning stage translates the Sprint 1 audit findings into explicit rules on the merged table: invalid meter records are removed, metadata is imputed at the primary-use level, weather gaps are closed station-by-station before the join, and a coherent set of calendar, lag, rolling, weather-derivative and building-derivative features is engineered. The modelling stage then compares five families (XGBoost, LightGBM, CatBoost, Random Forest and Linear Regression) under a strictly chronological split. January to October 2016 is used for training and November to December 2016 is held out for validation, so that the short-range temporal autocorrelation of meter readings cannot be exploited by a random split.</w:t>
      </w:r>
    </w:p>
    <w:p w14:paraId="051BE740" w14:textId="77777777" w:rsidR="00445F6D" w:rsidRDefault="00000000">
      <w:pPr>
        <w:pStyle w:val="Heading2"/>
      </w:pPr>
      <w:r>
        <w:lastRenderedPageBreak/>
        <w:t>Conclusion</w:t>
      </w:r>
    </w:p>
    <w:p w14:paraId="1A833EA5" w14:textId="77777777" w:rsidR="00445F6D" w:rsidRDefault="00000000">
      <w:r>
        <w:t>Overall, the project shows that reliable energy prediction depends as much on careful preparation as on model choice. Joining the meter, building and weather data created a complete modelling table, while the main cleaning decisions removed known calibration and outage artefacts before feature engineering. Handling metadata and weather gaps consistently also made the inputs more comparable across buildings, sites and time.</w:t>
      </w:r>
    </w:p>
    <w:p w14:paraId="380702DA" w14:textId="77777777" w:rsidR="00445F6D" w:rsidRDefault="00000000">
      <w:r>
        <w:t>The strongest results came from tree-based methods, with a small additional gain from a weighted ensemble. This supports the use of flexible non-linear learners for hourly building-energy data, but it also shows that well-structured features and chronological validation are central to fair evaluation. Future work should test robustness over later periods, compare errors by site and meter type, and explore stacking only after data quality and leakage controls are secured.</w:t>
      </w:r>
    </w:p>
    <w:p w14:paraId="29151E77" w14:textId="297C63C8" w:rsidR="00445F6D" w:rsidRDefault="00000000">
      <w:pPr>
        <w:pStyle w:val="Heading1"/>
      </w:pPr>
      <w:r>
        <w:t>Weather Preprocessing Subsection</w:t>
      </w:r>
    </w:p>
    <w:p w14:paraId="2A3E71EE" w14:textId="77777777" w:rsidR="00445F6D" w:rsidRDefault="00000000">
      <w:pPr>
        <w:pStyle w:val="Heading2"/>
      </w:pPr>
      <w:r>
        <w:t>Weather Preprocessing</w:t>
      </w:r>
    </w:p>
    <w:p w14:paraId="38A581DE" w14:textId="77777777" w:rsidR="00445F6D" w:rsidRDefault="00000000">
      <w:r>
        <w:t>Weather data were cleaned before merging because each station-hour is shared by all buildings at the same site. Imputing after the join would duplicate one missing station reading across many building rows and distort fill statistics. Therefore, weather_train.csv and weather_test.csv were sorted by site_id and timestamp, processed with the same station-level function, and then joined to the meter data. The training merge kept all 20,216,100 rows, confirming that missingness came from the weather variables rather than from the join.</w:t>
      </w:r>
    </w:p>
    <w:p w14:paraId="4073E349" w14:textId="77777777" w:rsidR="00445F6D" w:rsidRDefault="00000000">
      <w:r>
        <w:t>The main gaps were in cloud_coverage (about 44%), precip_depth_1_hr (about 19%), wind_direction (about 7%) and sea_level_pressure (about 6%); temperature and wind speed were mostly complete. Gradual variables such as air_temperature and dew_temperature were linearly interpolated within each site. cloud_coverage was forward- and backward-filled, then completed with site and global medians. precip_depth_1_hr was filled with zero and paired with a missingness flag. sea_level_pressure, wind_direction and residual weather nulls were handled with local rolling or site-level medians and final forward/backward fills.</w:t>
      </w:r>
    </w:p>
    <w:p w14:paraId="38E345DB" w14:textId="77777777" w:rsidR="00445F6D" w:rsidRDefault="00000000">
      <w:r>
        <w:t>Two weather features were added after imputation: relative_humidity, computed from air and dew temperature and clipped to 0-100%, and temp_diff_from_comfort, the absolute distance from a 21 C reference point. Processed floating-point weather columns were cast to float32 before the large train and test joins to reduce memory use without affecting tree-based regression precision.</w:t>
      </w:r>
      <w:r/>
    </w:p>
    <w:p w14:paraId="72642E90" w14:textId="77777777" w:rsidR="00445F6D" w:rsidRDefault="00000000">
      <w:pPr>
        <w:pStyle w:val="Heading2"/>
      </w:pPr>
      <w:r>
        <w:t>Bridge to the Shared T2-1 Section</w:t>
      </w:r>
    </w:p>
    <w:p w14:paraId="085B3FF4" w14:textId="77777777" w:rsidR="00445F6D" w:rsidRDefault="00000000">
      <w:r>
        <w:t>After the cleaning streams were combined, the training table contained 17,489,805 usable rows. The chronological split used January to October 2016 for training and November to December 2016 for validation. This avoids placing adjacent readings from the same building-meter pair in both sets and better reflects the future-period structure of the test data.</w:t>
      </w:r>
    </w:p>
    <w:p w14:paraId="2FB12E03" w14:textId="77777777" w:rsidR="00445F6D" w:rsidRDefault="00000000">
      <w:pPr>
        <w:pStyle w:val="Heading2"/>
      </w:pPr>
      <w:r>
        <w:t>Weather Rows for the T2-1 Decisions Table</w:t>
      </w:r>
    </w:p>
    <w:tbl>
      <w:tblPr>
        <w:tblStyle w:val="TableGrid"/>
        <w:tblW w:w="0" w:type="auto"/>
        <w:jc w:val="center"/>
        <w:tblLook w:val="04A0" w:firstRow="1" w:lastRow="0" w:firstColumn="1" w:lastColumn="0" w:noHBand="0" w:noVBand="1"/>
      </w:tblPr>
      <w:tblGrid>
        <w:gridCol w:w="2493"/>
        <w:gridCol w:w="2493"/>
        <w:gridCol w:w="2493"/>
        <w:gridCol w:w="2493"/>
      </w:tblGrid>
      <w:tr w:rsidR="00445F6D" w14:paraId="563B3F2C" w14:textId="77777777">
        <w:trPr>
          <w:jc w:val="center"/>
        </w:trPr>
        <w:tc>
          <w:tcPr>
            <w:tcW w:w="2493" w:type="dxa"/>
          </w:tcPr>
          <w:p w14:paraId="3B3EEFAC" w14:textId="77777777" w:rsidR="00445F6D" w:rsidRDefault="00000000">
            <w:r>
              <w:rPr>
                <w:b/>
                <w:sz w:val="17"/>
              </w:rPr>
              <w:t>Column / Stage</w:t>
            </w:r>
          </w:p>
        </w:tc>
        <w:tc>
          <w:tcPr>
            <w:tcW w:w="2493" w:type="dxa"/>
          </w:tcPr>
          <w:p w14:paraId="787D775E" w14:textId="77777777" w:rsidR="00445F6D" w:rsidRDefault="00000000">
            <w:r>
              <w:rPr>
                <w:b/>
                <w:sz w:val="17"/>
              </w:rPr>
              <w:t>Issue identified</w:t>
            </w:r>
          </w:p>
        </w:tc>
        <w:tc>
          <w:tcPr>
            <w:tcW w:w="2493" w:type="dxa"/>
          </w:tcPr>
          <w:p w14:paraId="005941D8" w14:textId="77777777" w:rsidR="00445F6D" w:rsidRDefault="00000000">
            <w:r>
              <w:rPr>
                <w:b/>
                <w:sz w:val="17"/>
              </w:rPr>
              <w:t>Preprocessing decision</w:t>
            </w:r>
          </w:p>
        </w:tc>
        <w:tc>
          <w:tcPr>
            <w:tcW w:w="2493" w:type="dxa"/>
          </w:tcPr>
          <w:p w14:paraId="7B3FB622" w14:textId="77777777" w:rsidR="00445F6D" w:rsidRDefault="00000000">
            <w:r>
              <w:rPr>
                <w:b/>
                <w:sz w:val="17"/>
              </w:rPr>
              <w:t>Justification</w:t>
            </w:r>
          </w:p>
        </w:tc>
      </w:tr>
      <w:tr w:rsidR="00445F6D" w14:paraId="4F53538E" w14:textId="77777777">
        <w:trPr>
          <w:jc w:val="center"/>
        </w:trPr>
        <w:tc>
          <w:tcPr>
            <w:tcW w:w="2493" w:type="dxa"/>
          </w:tcPr>
          <w:p w14:paraId="39F356C6" w14:textId="77777777" w:rsidR="00445F6D" w:rsidRDefault="00000000">
            <w:r>
              <w:rPr>
                <w:sz w:val="17"/>
              </w:rPr>
              <w:t>Weather merge order</w:t>
            </w:r>
          </w:p>
        </w:tc>
        <w:tc>
          <w:tcPr>
            <w:tcW w:w="2493" w:type="dxa"/>
          </w:tcPr>
          <w:p w14:paraId="4754B0F6" w14:textId="77777777" w:rsidR="00445F6D" w:rsidRDefault="00000000">
            <w:r>
              <w:rPr>
                <w:sz w:val="17"/>
              </w:rPr>
              <w:t>Station-hour readings repeat for all buildings at a site after merging</w:t>
            </w:r>
          </w:p>
        </w:tc>
        <w:tc>
          <w:tcPr>
            <w:tcW w:w="2493" w:type="dxa"/>
          </w:tcPr>
          <w:p w14:paraId="1715AEB4" w14:textId="77777777" w:rsidR="00445F6D" w:rsidRDefault="00000000">
            <w:r>
              <w:rPr>
                <w:sz w:val="17"/>
              </w:rPr>
              <w:t>Impute weather_train.csv and weather_test.csv by site before joining</w:t>
            </w:r>
          </w:p>
        </w:tc>
        <w:tc>
          <w:tcPr>
            <w:tcW w:w="2493" w:type="dxa"/>
          </w:tcPr>
          <w:p w14:paraId="35DBE0FE" w14:textId="77777777" w:rsidR="00445F6D" w:rsidRDefault="00000000">
            <w:r>
              <w:rPr>
                <w:sz w:val="17"/>
              </w:rPr>
              <w:t>Prevents duplicated building rows from skewing imputation statistics</w:t>
            </w:r>
          </w:p>
        </w:tc>
      </w:tr>
      <w:tr w:rsidR="00445F6D" w14:paraId="56EFCC10" w14:textId="77777777">
        <w:trPr>
          <w:jc w:val="center"/>
        </w:trPr>
        <w:tc>
          <w:tcPr>
            <w:tcW w:w="2493" w:type="dxa"/>
          </w:tcPr>
          <w:p w14:paraId="4AB93BE9" w14:textId="77777777" w:rsidR="00445F6D" w:rsidRDefault="00000000">
            <w:r>
              <w:rPr>
                <w:sz w:val="17"/>
              </w:rPr>
              <w:t>air_temperature, dew_temperature</w:t>
            </w:r>
          </w:p>
        </w:tc>
        <w:tc>
          <w:tcPr>
            <w:tcW w:w="2493" w:type="dxa"/>
          </w:tcPr>
          <w:p w14:paraId="3F3C44DE" w14:textId="77777777" w:rsidR="00445F6D" w:rsidRDefault="00000000">
            <w:r>
              <w:rPr>
                <w:sz w:val="17"/>
              </w:rPr>
              <w:t>Low missingness and gradual hour-to-hour change</w:t>
            </w:r>
          </w:p>
        </w:tc>
        <w:tc>
          <w:tcPr>
            <w:tcW w:w="2493" w:type="dxa"/>
          </w:tcPr>
          <w:p w14:paraId="062ACFB8" w14:textId="77777777" w:rsidR="00445F6D" w:rsidRDefault="00000000">
            <w:r>
              <w:rPr>
                <w:sz w:val="17"/>
              </w:rPr>
              <w:t>Linear interpolation within each site_id in both directions</w:t>
            </w:r>
          </w:p>
        </w:tc>
        <w:tc>
          <w:tcPr>
            <w:tcW w:w="2493" w:type="dxa"/>
          </w:tcPr>
          <w:p w14:paraId="336F7BDE" w14:textId="77777777" w:rsidR="00445F6D" w:rsidRDefault="00000000">
            <w:r>
              <w:rPr>
                <w:sz w:val="17"/>
              </w:rPr>
              <w:t>Uses nearby readings from the same climate record</w:t>
            </w:r>
          </w:p>
        </w:tc>
      </w:tr>
      <w:tr w:rsidR="00445F6D" w14:paraId="7CA40680" w14:textId="77777777">
        <w:trPr>
          <w:jc w:val="center"/>
        </w:trPr>
        <w:tc>
          <w:tcPr>
            <w:tcW w:w="2493" w:type="dxa"/>
          </w:tcPr>
          <w:p w14:paraId="4874688A" w14:textId="77777777" w:rsidR="00445F6D" w:rsidRDefault="00000000">
            <w:r>
              <w:rPr>
                <w:sz w:val="17"/>
              </w:rPr>
              <w:t>cloud_coverage</w:t>
            </w:r>
          </w:p>
        </w:tc>
        <w:tc>
          <w:tcPr>
            <w:tcW w:w="2493" w:type="dxa"/>
          </w:tcPr>
          <w:p w14:paraId="34DB5119" w14:textId="77777777" w:rsidR="00445F6D" w:rsidRDefault="00000000">
            <w:r>
              <w:rPr>
                <w:sz w:val="17"/>
              </w:rPr>
              <w:t>High missingness (about 44%) with block-structured gaps</w:t>
            </w:r>
          </w:p>
        </w:tc>
        <w:tc>
          <w:tcPr>
            <w:tcW w:w="2493" w:type="dxa"/>
          </w:tcPr>
          <w:p w14:paraId="5CC2F330" w14:textId="77777777" w:rsidR="00445F6D" w:rsidRDefault="00000000">
            <w:r>
              <w:rPr>
                <w:sz w:val="17"/>
              </w:rPr>
              <w:t>Forward/backward fill within site, then site and global median fallback</w:t>
            </w:r>
          </w:p>
        </w:tc>
        <w:tc>
          <w:tcPr>
            <w:tcW w:w="2493" w:type="dxa"/>
          </w:tcPr>
          <w:p w14:paraId="3DF860BD" w14:textId="77777777" w:rsidR="00445F6D" w:rsidRDefault="00000000">
            <w:r>
              <w:rPr>
                <w:sz w:val="17"/>
              </w:rPr>
              <w:t>Keeps the predictor usable without overstating precision</w:t>
            </w:r>
          </w:p>
        </w:tc>
      </w:tr>
      <w:tr w:rsidR="00445F6D" w14:paraId="200D3F66" w14:textId="77777777">
        <w:trPr>
          <w:jc w:val="center"/>
        </w:trPr>
        <w:tc>
          <w:tcPr>
            <w:tcW w:w="2493" w:type="dxa"/>
          </w:tcPr>
          <w:p w14:paraId="3B9A6685" w14:textId="77777777" w:rsidR="00445F6D" w:rsidRDefault="00000000">
            <w:r>
              <w:rPr>
                <w:sz w:val="17"/>
              </w:rPr>
              <w:t>precip_depth_1_hr</w:t>
            </w:r>
          </w:p>
        </w:tc>
        <w:tc>
          <w:tcPr>
            <w:tcW w:w="2493" w:type="dxa"/>
          </w:tcPr>
          <w:p w14:paraId="2D5BC646" w14:textId="77777777" w:rsidR="00445F6D" w:rsidRDefault="00000000">
            <w:r>
              <w:rPr>
                <w:sz w:val="17"/>
              </w:rPr>
              <w:t>About 19% missing; rainfall is intermittent</w:t>
            </w:r>
          </w:p>
        </w:tc>
        <w:tc>
          <w:tcPr>
            <w:tcW w:w="2493" w:type="dxa"/>
          </w:tcPr>
          <w:p w14:paraId="34D2299F" w14:textId="77777777" w:rsidR="00445F6D" w:rsidRDefault="00000000">
            <w:r>
              <w:rPr>
                <w:sz w:val="17"/>
              </w:rPr>
              <w:t>Fill with 0 and add precip_was_missing</w:t>
            </w:r>
          </w:p>
        </w:tc>
        <w:tc>
          <w:tcPr>
            <w:tcW w:w="2493" w:type="dxa"/>
          </w:tcPr>
          <w:p w14:paraId="7D938975" w14:textId="77777777" w:rsidR="00445F6D" w:rsidRDefault="00000000">
            <w:r>
              <w:rPr>
                <w:sz w:val="17"/>
              </w:rPr>
              <w:t>Separates observed dry hours from imputed values</w:t>
            </w:r>
          </w:p>
        </w:tc>
      </w:tr>
      <w:tr w:rsidR="00445F6D" w14:paraId="1077E672" w14:textId="77777777">
        <w:trPr>
          <w:jc w:val="center"/>
        </w:trPr>
        <w:tc>
          <w:tcPr>
            <w:tcW w:w="2493" w:type="dxa"/>
          </w:tcPr>
          <w:p w14:paraId="3745E321" w14:textId="77777777" w:rsidR="00445F6D" w:rsidRDefault="00000000">
            <w:r>
              <w:rPr>
                <w:sz w:val="17"/>
              </w:rPr>
              <w:t>sea_level_pressure, wind_direction</w:t>
            </w:r>
          </w:p>
        </w:tc>
        <w:tc>
          <w:tcPr>
            <w:tcW w:w="2493" w:type="dxa"/>
          </w:tcPr>
          <w:p w14:paraId="0F272FE0" w14:textId="77777777" w:rsidR="00445F6D" w:rsidRDefault="00000000">
            <w:r>
              <w:rPr>
                <w:sz w:val="17"/>
              </w:rPr>
              <w:t>Local station gaps of about 6 to 7%</w:t>
            </w:r>
          </w:p>
        </w:tc>
        <w:tc>
          <w:tcPr>
            <w:tcW w:w="2493" w:type="dxa"/>
          </w:tcPr>
          <w:p w14:paraId="6D645168" w14:textId="77777777" w:rsidR="00445F6D" w:rsidRDefault="00000000">
            <w:r>
              <w:rPr>
                <w:sz w:val="17"/>
              </w:rPr>
              <w:t>24-hour rolling median within site, then site median fallback</w:t>
            </w:r>
          </w:p>
        </w:tc>
        <w:tc>
          <w:tcPr>
            <w:tcW w:w="2493" w:type="dxa"/>
          </w:tcPr>
          <w:p w14:paraId="3C93E2FD" w14:textId="77777777" w:rsidR="00445F6D" w:rsidRDefault="00000000">
            <w:r>
              <w:rPr>
                <w:sz w:val="17"/>
              </w:rPr>
              <w:t>Preserves local meteorological patterns</w:t>
            </w:r>
          </w:p>
        </w:tc>
      </w:tr>
      <w:tr w:rsidR="00445F6D" w14:paraId="6A0390E6" w14:textId="77777777">
        <w:trPr>
          <w:jc w:val="center"/>
        </w:trPr>
        <w:tc>
          <w:tcPr>
            <w:tcW w:w="2493" w:type="dxa"/>
          </w:tcPr>
          <w:p w14:paraId="62D0516B" w14:textId="77777777" w:rsidR="00445F6D" w:rsidRDefault="00000000">
            <w:r>
              <w:rPr>
                <w:sz w:val="17"/>
              </w:rPr>
              <w:t>wind_speed and residual weather nulls</w:t>
            </w:r>
          </w:p>
        </w:tc>
        <w:tc>
          <w:tcPr>
            <w:tcW w:w="2493" w:type="dxa"/>
          </w:tcPr>
          <w:p w14:paraId="6CD063F0" w14:textId="77777777" w:rsidR="00445F6D" w:rsidRDefault="00000000">
            <w:r>
              <w:rPr>
                <w:sz w:val="17"/>
              </w:rPr>
              <w:t>Residual gaps after re-merge</w:t>
            </w:r>
          </w:p>
        </w:tc>
        <w:tc>
          <w:tcPr>
            <w:tcW w:w="2493" w:type="dxa"/>
          </w:tcPr>
          <w:p w14:paraId="1196E7E0" w14:textId="77777777" w:rsidR="00445F6D" w:rsidRDefault="00000000">
            <w:r>
              <w:rPr>
                <w:sz w:val="17"/>
              </w:rPr>
              <w:t>Final site-level forward/backward fill and median fallback</w:t>
            </w:r>
          </w:p>
        </w:tc>
        <w:tc>
          <w:tcPr>
            <w:tcW w:w="2493" w:type="dxa"/>
          </w:tcPr>
          <w:p w14:paraId="654A2F40" w14:textId="77777777" w:rsidR="00445F6D" w:rsidRDefault="00000000">
            <w:r>
              <w:rPr>
                <w:sz w:val="17"/>
              </w:rPr>
              <w:t>Leaves no nulls in the weather feature block</w:t>
            </w:r>
          </w:p>
        </w:tc>
      </w:tr>
      <w:tr w:rsidR="00445F6D" w14:paraId="128ED34D" w14:textId="77777777">
        <w:trPr>
          <w:jc w:val="center"/>
        </w:trPr>
        <w:tc>
          <w:tcPr>
            <w:tcW w:w="2493" w:type="dxa"/>
          </w:tcPr>
          <w:p w14:paraId="25DAC1EA" w14:textId="77777777" w:rsidR="00445F6D" w:rsidRDefault="00000000">
            <w:r>
              <w:rPr>
                <w:sz w:val="17"/>
              </w:rPr>
              <w:t>relative_humidity (engineered)</w:t>
            </w:r>
          </w:p>
        </w:tc>
        <w:tc>
          <w:tcPr>
            <w:tcW w:w="2493" w:type="dxa"/>
          </w:tcPr>
          <w:p w14:paraId="544DF93C" w14:textId="77777777" w:rsidR="00445F6D" w:rsidRDefault="00000000">
            <w:r>
              <w:rPr>
                <w:sz w:val="17"/>
              </w:rPr>
              <w:t>Moisture needs a clearer energy-related measure</w:t>
            </w:r>
            <w:r>
              <w:rPr>
                <w:sz w:val="17"/>
              </w:rPr>
            </w:r>
          </w:p>
        </w:tc>
        <w:tc>
          <w:tcPr>
            <w:tcW w:w="2493" w:type="dxa"/>
          </w:tcPr>
          <w:p w14:paraId="4E5F5AB9" w14:textId="77777777" w:rsidR="00445F6D" w:rsidRDefault="00000000">
            <w:r>
              <w:rPr>
                <w:sz w:val="17"/>
              </w:rPr>
              <w:t>Compute from air and dew temperature; clip to 0-100%</w:t>
            </w:r>
            <w:r>
              <w:rPr>
                <w:sz w:val="17"/>
              </w:rPr>
            </w:r>
          </w:p>
        </w:tc>
        <w:tc>
          <w:tcPr>
            <w:tcW w:w="2493" w:type="dxa"/>
          </w:tcPr>
          <w:p w14:paraId="3B284293" w14:textId="77777777" w:rsidR="00445F6D" w:rsidRDefault="00000000">
            <w:r>
              <w:rPr>
                <w:sz w:val="17"/>
              </w:rPr>
              <w:t>Adds a bounded humidity feature</w:t>
            </w:r>
            <w:r>
              <w:rPr>
                <w:sz w:val="17"/>
              </w:rPr>
            </w:r>
          </w:p>
        </w:tc>
      </w:tr>
      <w:tr w:rsidR="00445F6D" w14:paraId="3C708110" w14:textId="77777777">
        <w:trPr>
          <w:jc w:val="center"/>
        </w:trPr>
        <w:tc>
          <w:tcPr>
            <w:tcW w:w="2493" w:type="dxa"/>
          </w:tcPr>
          <w:p w14:paraId="0C4CF8E8" w14:textId="77777777" w:rsidR="00445F6D" w:rsidRDefault="00000000">
            <w:r>
              <w:rPr>
                <w:sz w:val="17"/>
              </w:rPr>
              <w:lastRenderedPageBreak/>
              <w:t>temp_diff_from_comfort (engineered)</w:t>
            </w:r>
          </w:p>
        </w:tc>
        <w:tc>
          <w:tcPr>
            <w:tcW w:w="2493" w:type="dxa"/>
          </w:tcPr>
          <w:p w14:paraId="7FF59E24" w14:textId="77777777" w:rsidR="00445F6D" w:rsidRDefault="00000000">
            <w:r>
              <w:rPr>
                <w:sz w:val="17"/>
              </w:rPr>
              <w:t>Raw temperature hides distance from comfort conditions</w:t>
            </w:r>
          </w:p>
        </w:tc>
        <w:tc>
          <w:tcPr>
            <w:tcW w:w="2493" w:type="dxa"/>
          </w:tcPr>
          <w:p w14:paraId="0CC0BE52" w14:textId="77777777" w:rsidR="00445F6D" w:rsidRDefault="00000000">
            <w:r>
              <w:rPr>
                <w:sz w:val="17"/>
              </w:rPr>
              <w:t>Compute absolute distance from 21 C</w:t>
            </w:r>
          </w:p>
        </w:tc>
        <w:tc>
          <w:tcPr>
            <w:tcW w:w="2493" w:type="dxa"/>
          </w:tcPr>
          <w:p w14:paraId="5952115A" w14:textId="77777777" w:rsidR="00445F6D" w:rsidRDefault="00000000">
            <w:r>
              <w:rPr>
                <w:sz w:val="17"/>
              </w:rPr>
              <w:t>Captures heating and cooling pressure</w:t>
            </w:r>
          </w:p>
        </w:tc>
      </w:tr>
      <w:tr w:rsidR="00445F6D" w14:paraId="4D1096CB" w14:textId="77777777">
        <w:trPr>
          <w:jc w:val="center"/>
        </w:trPr>
        <w:tc>
          <w:tcPr>
            <w:tcW w:w="2493" w:type="dxa"/>
          </w:tcPr>
          <w:p w14:paraId="431414B6" w14:textId="77777777" w:rsidR="00445F6D" w:rsidRDefault="00000000">
            <w:r>
              <w:rPr>
                <w:sz w:val="17"/>
              </w:rPr>
              <w:t>Weather numeric types</w:t>
            </w:r>
          </w:p>
        </w:tc>
        <w:tc>
          <w:tcPr>
            <w:tcW w:w="2493" w:type="dxa"/>
          </w:tcPr>
          <w:p w14:paraId="746B520C" w14:textId="77777777" w:rsidR="00445F6D" w:rsidRDefault="00000000">
            <w:r>
              <w:rPr>
                <w:sz w:val="17"/>
              </w:rPr>
              <w:t>Large test merge made float64 memory-heavy</w:t>
            </w:r>
          </w:p>
        </w:tc>
        <w:tc>
          <w:tcPr>
            <w:tcW w:w="2493" w:type="dxa"/>
          </w:tcPr>
          <w:p w14:paraId="54377E95" w14:textId="77777777" w:rsidR="00445F6D" w:rsidRDefault="00000000">
            <w:r>
              <w:rPr>
                <w:sz w:val="17"/>
              </w:rPr>
              <w:t>Cast processed floating-point weather columns to float32</w:t>
            </w:r>
          </w:p>
        </w:tc>
        <w:tc>
          <w:tcPr>
            <w:tcW w:w="2493" w:type="dxa"/>
          </w:tcPr>
          <w:p w14:paraId="70000D71" w14:textId="77777777" w:rsidR="00445F6D" w:rsidRDefault="00000000">
            <w:r>
              <w:rPr>
                <w:sz w:val="17"/>
              </w:rPr>
              <w:t>Reduces memory use with adequate precision for tree models</w:t>
            </w:r>
          </w:p>
        </w:tc>
      </w:tr>
    </w:tbl>
    <w:p w14:paraId="1075D592" w14:textId="77777777" w:rsidR="00445F6D" w:rsidRDefault="00000000">
      <w:pPr>
        <w:pStyle w:val="Heading1"/>
      </w:pPr>
      <w:r>
        <w:t>References</w:t>
      </w:r>
    </w:p>
    <w:p w14:paraId="138F0421" w14:textId="77777777" w:rsidR="00445F6D" w:rsidRDefault="00000000">
      <w:r>
        <w:t>Miller, C., Arjunan, P., Kathirgamanathan, A., Fu, C., Roth, J., Park, J. Y., Balbach, C., Gowri, K., Nagy, Z., Fontanini, A. D. and Haberl, J. (2020). The ASHRAE Great Energy Predictor III competition: Overview and results. Science and Technology for the Built Environment, 26(10), 1427–1447. Liang, X. (2020). Top-1 solution: ASHRAE Great Energy Predictor III. Kaggle competition write-up. Internal evidence is documented in Zahra_Data_Merging.ipynb (Sprint 1 audit and Sprint 2 cleaning rules).</w:t>
      </w:r>
    </w:p>
    <w:sectPr w:rsidR="00445F6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166670">
    <w:abstractNumId w:val="8"/>
  </w:num>
  <w:num w:numId="2" w16cid:durableId="1508212540">
    <w:abstractNumId w:val="6"/>
  </w:num>
  <w:num w:numId="3" w16cid:durableId="1758819283">
    <w:abstractNumId w:val="5"/>
  </w:num>
  <w:num w:numId="4" w16cid:durableId="1724526119">
    <w:abstractNumId w:val="4"/>
  </w:num>
  <w:num w:numId="5" w16cid:durableId="1075275991">
    <w:abstractNumId w:val="7"/>
  </w:num>
  <w:num w:numId="6" w16cid:durableId="502403542">
    <w:abstractNumId w:val="3"/>
  </w:num>
  <w:num w:numId="7" w16cid:durableId="404914006">
    <w:abstractNumId w:val="2"/>
  </w:num>
  <w:num w:numId="8" w16cid:durableId="759764001">
    <w:abstractNumId w:val="1"/>
  </w:num>
  <w:num w:numId="9" w16cid:durableId="10076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F6D"/>
    <w:rsid w:val="004B054C"/>
    <w:rsid w:val="008A60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6E87D"/>
  <w14:defaultImageDpi w14:val="300"/>
  <w15:docId w15:val="{60F8D426-F538-42AC-BCAE-32A8984E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Ctrl Zi</cp:lastModifiedBy>
  <cp:revision>2</cp:revision>
  <dcterms:created xsi:type="dcterms:W3CDTF">2013-12-23T23:15:00Z</dcterms:created>
  <dcterms:modified xsi:type="dcterms:W3CDTF">2026-05-02T18:17:00Z</dcterms:modified>
  <cp:category/>
</cp:coreProperties>
</file>