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8A20E" w14:textId="77777777" w:rsidR="003B6228" w:rsidRDefault="003B62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59D9F5F" w14:textId="77777777" w:rsidR="003B6228" w:rsidRDefault="003B62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9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237"/>
      </w:tblGrid>
      <w:tr w:rsidR="003B6228" w14:paraId="61BC76D6" w14:textId="77777777">
        <w:tc>
          <w:tcPr>
            <w:tcW w:w="3681" w:type="dxa"/>
          </w:tcPr>
          <w:p w14:paraId="2AF7C067" w14:textId="77777777" w:rsidR="003B6228" w:rsidRDefault="00DB78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4119DE3" wp14:editId="42E2F5FD">
                  <wp:extent cx="1738116" cy="777669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8116" cy="77766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</w:tcPr>
          <w:p w14:paraId="7D9CEE6E" w14:textId="77777777" w:rsidR="003B6228" w:rsidRDefault="003B6228">
            <w:pPr>
              <w:rPr>
                <w:rFonts w:ascii="Calibri" w:eastAsia="Calibri" w:hAnsi="Calibri" w:cs="Calibri"/>
                <w:b/>
                <w:sz w:val="32"/>
                <w:szCs w:val="32"/>
              </w:rPr>
            </w:pPr>
          </w:p>
          <w:p w14:paraId="0873E8F3" w14:textId="5F1383EB" w:rsidR="003B6228" w:rsidRDefault="00DB7843">
            <w:pPr>
              <w:rPr>
                <w:rFonts w:ascii="Calibri" w:eastAsia="Calibri" w:hAnsi="Calibri" w:cs="Calibri"/>
                <w:b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z w:val="32"/>
                <w:szCs w:val="32"/>
              </w:rPr>
              <w:t>Contrôle continu : Séries Temporelles</w:t>
            </w:r>
          </w:p>
        </w:tc>
      </w:tr>
      <w:tr w:rsidR="003B6228" w14:paraId="48646E9A" w14:textId="77777777">
        <w:tc>
          <w:tcPr>
            <w:tcW w:w="3681" w:type="dxa"/>
          </w:tcPr>
          <w:p w14:paraId="1627D14D" w14:textId="77777777" w:rsidR="003B6228" w:rsidRDefault="00DB7843">
            <w:r>
              <w:t>Classes : 4DS</w:t>
            </w:r>
          </w:p>
        </w:tc>
        <w:tc>
          <w:tcPr>
            <w:tcW w:w="6237" w:type="dxa"/>
          </w:tcPr>
          <w:p w14:paraId="10953D7C" w14:textId="77777777" w:rsidR="003B6228" w:rsidRDefault="003B6228">
            <w:pPr>
              <w:rPr>
                <w:rFonts w:ascii="Calibri" w:eastAsia="Calibri" w:hAnsi="Calibri" w:cs="Calibri"/>
              </w:rPr>
            </w:pPr>
          </w:p>
        </w:tc>
      </w:tr>
      <w:tr w:rsidR="003B6228" w14:paraId="11A5EB50" w14:textId="77777777">
        <w:tc>
          <w:tcPr>
            <w:tcW w:w="3681" w:type="dxa"/>
          </w:tcPr>
          <w:p w14:paraId="4FF3D865" w14:textId="61B89E58" w:rsidR="003B6228" w:rsidRDefault="00DB78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Année Universitaire : 202</w:t>
            </w:r>
            <w:r w:rsidR="00D001A7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-202</w:t>
            </w:r>
            <w:r w:rsidR="00D001A7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6237" w:type="dxa"/>
          </w:tcPr>
          <w:p w14:paraId="58C17B59" w14:textId="0F1FA33E" w:rsidR="003B6228" w:rsidRDefault="00DB78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Date limite de remise des travaux : </w:t>
            </w:r>
            <w:r w:rsidR="0077567B" w:rsidRPr="0077567B">
              <w:rPr>
                <w:color w:val="FF0000"/>
              </w:rPr>
              <w:t>La date limite est fixée à la veille de la validation, en fonction de vos emplois du temps qui vous seront communiqués.</w:t>
            </w:r>
          </w:p>
        </w:tc>
      </w:tr>
    </w:tbl>
    <w:p w14:paraId="254117B5" w14:textId="77777777" w:rsidR="003B6228" w:rsidRDefault="003B6228">
      <w:pPr>
        <w:rPr>
          <w:rFonts w:ascii="Calibri" w:eastAsia="Calibri" w:hAnsi="Calibri" w:cs="Calibri"/>
          <w:b/>
          <w:sz w:val="28"/>
          <w:szCs w:val="28"/>
          <w:u w:val="single"/>
        </w:rPr>
      </w:pPr>
    </w:p>
    <w:p w14:paraId="4D3744B5" w14:textId="77777777" w:rsidR="003B6228" w:rsidRDefault="003B6228">
      <w:pPr>
        <w:rPr>
          <w:rFonts w:ascii="Calibri" w:eastAsia="Calibri" w:hAnsi="Calibri" w:cs="Calibri"/>
          <w:b/>
          <w:sz w:val="28"/>
          <w:szCs w:val="28"/>
          <w:u w:val="single"/>
        </w:rPr>
      </w:pPr>
    </w:p>
    <w:p w14:paraId="5C53B84E" w14:textId="77777777" w:rsidR="003B6228" w:rsidRDefault="00DB784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L’évaluation du module Séries temporelles se compose d’une note de contrôle continu et d’une note d’un examen final de contributions respectivement de 20% et de 80% dans la note finale. </w:t>
      </w:r>
    </w:p>
    <w:p w14:paraId="12D27F66" w14:textId="132A39C4" w:rsidR="003B6228" w:rsidRDefault="00DB784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 présent travail demandé aura pour objectif l’attribution de la note de contrôle continue et constituera aussi un exercice de révision de module vu le retour sur les différentes pratiques d’analyse </w:t>
      </w:r>
      <w:r w:rsidR="000B4D69"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</w:rPr>
        <w:t xml:space="preserve"> modélisation d’une série temporelle.</w:t>
      </w:r>
    </w:p>
    <w:p w14:paraId="306E3795" w14:textId="77777777" w:rsidR="003B6228" w:rsidRDefault="003B6228">
      <w:pPr>
        <w:rPr>
          <w:rFonts w:ascii="Calibri" w:eastAsia="Calibri" w:hAnsi="Calibri" w:cs="Calibri"/>
        </w:rPr>
      </w:pPr>
    </w:p>
    <w:p w14:paraId="0F572C91" w14:textId="77777777" w:rsidR="003B6228" w:rsidRDefault="003B6228">
      <w:pPr>
        <w:rPr>
          <w:rFonts w:ascii="Calibri" w:eastAsia="Calibri" w:hAnsi="Calibri" w:cs="Calibri"/>
        </w:rPr>
      </w:pPr>
    </w:p>
    <w:p w14:paraId="1E557D8F" w14:textId="77777777" w:rsidR="003B6228" w:rsidRDefault="00DB7843">
      <w:pPr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I- Travail demandé :</w:t>
      </w:r>
    </w:p>
    <w:p w14:paraId="50BEAA58" w14:textId="77777777" w:rsidR="003B6228" w:rsidRDefault="003B6228">
      <w:pPr>
        <w:rPr>
          <w:rFonts w:ascii="Calibri" w:eastAsia="Calibri" w:hAnsi="Calibri" w:cs="Calibri"/>
          <w:b/>
          <w:sz w:val="28"/>
          <w:szCs w:val="28"/>
          <w:u w:val="single"/>
        </w:rPr>
      </w:pPr>
    </w:p>
    <w:p w14:paraId="3D99D22D" w14:textId="77777777" w:rsidR="003B6228" w:rsidRDefault="00DB784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Pour chacune des séries temporelles à analyser, vous êtes appelés à développer les 3 phases suivantes :</w:t>
      </w:r>
    </w:p>
    <w:p w14:paraId="5120EAE1" w14:textId="77777777" w:rsidR="003B6228" w:rsidRDefault="003B6228">
      <w:pPr>
        <w:rPr>
          <w:rFonts w:ascii="Calibri" w:eastAsia="Calibri" w:hAnsi="Calibri" w:cs="Calibri"/>
        </w:rPr>
      </w:pPr>
    </w:p>
    <w:p w14:paraId="76DF8E1B" w14:textId="77777777" w:rsidR="003B6228" w:rsidRDefault="00DB7843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</w:rPr>
        <w:t>Phase 1</w:t>
      </w:r>
      <w:r>
        <w:rPr>
          <w:rFonts w:ascii="Calibri" w:eastAsia="Calibri" w:hAnsi="Calibri" w:cs="Calibri"/>
          <w:b/>
          <w:sz w:val="22"/>
          <w:szCs w:val="22"/>
        </w:rPr>
        <w:t>- Analyse statistique et graphique d’une série temporelle</w:t>
      </w:r>
    </w:p>
    <w:p w14:paraId="795B8FE0" w14:textId="77777777" w:rsidR="003B6228" w:rsidRDefault="003B6228">
      <w:pPr>
        <w:rPr>
          <w:rFonts w:ascii="Calibri" w:eastAsia="Calibri" w:hAnsi="Calibri" w:cs="Calibri"/>
          <w:b/>
          <w:sz w:val="22"/>
          <w:szCs w:val="22"/>
          <w:vertAlign w:val="subscript"/>
        </w:rPr>
      </w:pPr>
    </w:p>
    <w:p w14:paraId="48AB7E22" w14:textId="77777777" w:rsidR="003B6228" w:rsidRDefault="00DB7843">
      <w:pPr>
        <w:ind w:left="720" w:hanging="360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Objectifs :</w:t>
      </w:r>
    </w:p>
    <w:p w14:paraId="7612BEA2" w14:textId="77777777" w:rsidR="003B6228" w:rsidRDefault="003B6228">
      <w:pPr>
        <w:ind w:left="720" w:hanging="360"/>
        <w:rPr>
          <w:rFonts w:ascii="Calibri" w:eastAsia="Calibri" w:hAnsi="Calibri" w:cs="Calibri"/>
          <w:u w:val="single"/>
        </w:rPr>
      </w:pPr>
    </w:p>
    <w:p w14:paraId="4828365A" w14:textId="77777777" w:rsidR="003B6228" w:rsidRDefault="00DB784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Argumenter votre stratégie de modélisation de la série temporelle en question, en se basant sur les statistiques et les graphiques relatifs à l’analyse des séries temporelles. A savoir :</w:t>
      </w:r>
    </w:p>
    <w:p w14:paraId="49B9EAF1" w14:textId="77777777" w:rsidR="003B6228" w:rsidRDefault="00DB78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modèle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de la tendance : changements structurels, marche aléatoire ou un modèle polynomial, saisonnalité….</w:t>
      </w:r>
    </w:p>
    <w:p w14:paraId="7C770DFE" w14:textId="77777777" w:rsidR="003B6228" w:rsidRDefault="00DB78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Transformations à appliquer à la série originale.</w:t>
      </w:r>
    </w:p>
    <w:p w14:paraId="7E60BF6F" w14:textId="77777777" w:rsidR="003B6228" w:rsidRDefault="00DB784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Phase 2- Ajustement de la série temporelle</w:t>
      </w:r>
    </w:p>
    <w:p w14:paraId="609CF065" w14:textId="77777777" w:rsidR="003B6228" w:rsidRDefault="003B6228">
      <w:pPr>
        <w:rPr>
          <w:rFonts w:ascii="Calibri" w:eastAsia="Calibri" w:hAnsi="Calibri" w:cs="Calibri"/>
          <w:b/>
        </w:rPr>
      </w:pPr>
    </w:p>
    <w:p w14:paraId="7FBF4242" w14:textId="77777777" w:rsidR="003B6228" w:rsidRDefault="00DB7843">
      <w:pPr>
        <w:ind w:left="284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Objectifs :</w:t>
      </w:r>
    </w:p>
    <w:p w14:paraId="675DC992" w14:textId="77777777" w:rsidR="003B6228" w:rsidRDefault="003B6228">
      <w:pPr>
        <w:ind w:left="284"/>
        <w:rPr>
          <w:rFonts w:ascii="Calibri" w:eastAsia="Calibri" w:hAnsi="Calibri" w:cs="Calibri"/>
          <w:u w:val="single"/>
        </w:rPr>
      </w:pPr>
    </w:p>
    <w:p w14:paraId="140ADFF3" w14:textId="77777777" w:rsidR="003B6228" w:rsidRDefault="00DB78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Argumentation du choix du mode d’ajustement : différentiation et/ou modélisation au moyen de formes fonctionnelles </w:t>
      </w:r>
    </w:p>
    <w:p w14:paraId="003E3510" w14:textId="77777777" w:rsidR="003B6228" w:rsidRDefault="00DB78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Comparer les modèles candidats pour la représentation de la série temporelle. </w:t>
      </w:r>
    </w:p>
    <w:p w14:paraId="6D865ABC" w14:textId="77777777" w:rsidR="003B6228" w:rsidRDefault="003B6228">
      <w:pPr>
        <w:ind w:left="284"/>
      </w:pPr>
    </w:p>
    <w:p w14:paraId="5653D9C7" w14:textId="77777777" w:rsidR="003B6228" w:rsidRDefault="00DB784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Phase 3- Analyse et modélisation des résidus issus de l’ajustement</w:t>
      </w:r>
    </w:p>
    <w:p w14:paraId="69D69CB4" w14:textId="77777777" w:rsidR="003B6228" w:rsidRDefault="003B6228">
      <w:pPr>
        <w:rPr>
          <w:rFonts w:ascii="Calibri" w:eastAsia="Calibri" w:hAnsi="Calibri" w:cs="Calibri"/>
          <w:b/>
        </w:rPr>
      </w:pPr>
    </w:p>
    <w:p w14:paraId="6946976E" w14:textId="77777777" w:rsidR="003B6228" w:rsidRDefault="00DB7843">
      <w:pPr>
        <w:ind w:left="284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Objectifs :</w:t>
      </w:r>
    </w:p>
    <w:p w14:paraId="542C4255" w14:textId="77777777" w:rsidR="003B6228" w:rsidRDefault="003B6228">
      <w:pPr>
        <w:rPr>
          <w:rFonts w:ascii="Calibri" w:eastAsia="Calibri" w:hAnsi="Calibri" w:cs="Calibri"/>
          <w:b/>
        </w:rPr>
      </w:pPr>
    </w:p>
    <w:p w14:paraId="40F99BE2" w14:textId="77777777" w:rsidR="003B6228" w:rsidRDefault="00DB78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Application des tests et statistiques nécessaires pour définir les structures et les complexités des modèles ARIMA candidats pour la modélisation de la série temporelle en question</w:t>
      </w:r>
    </w:p>
    <w:p w14:paraId="42DE013F" w14:textId="77777777" w:rsidR="003B6228" w:rsidRDefault="00DB78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Argumentation graphique et statistique du choix du modèle ARIMA.</w:t>
      </w:r>
    </w:p>
    <w:p w14:paraId="59E2A70D" w14:textId="77777777" w:rsidR="003B6228" w:rsidRDefault="003B6228">
      <w:pPr>
        <w:rPr>
          <w:rFonts w:ascii="Calibri" w:eastAsia="Calibri" w:hAnsi="Calibri" w:cs="Calibri"/>
        </w:rPr>
      </w:pPr>
    </w:p>
    <w:p w14:paraId="672F7D67" w14:textId="77777777" w:rsidR="003B6228" w:rsidRDefault="003B6228">
      <w:pPr>
        <w:rPr>
          <w:rFonts w:ascii="Calibri" w:eastAsia="Calibri" w:hAnsi="Calibri" w:cs="Calibri"/>
        </w:rPr>
      </w:pPr>
    </w:p>
    <w:p w14:paraId="23EAD6E6" w14:textId="77777777" w:rsidR="003B6228" w:rsidRDefault="00DB7843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III – Présentation des données</w:t>
      </w:r>
    </w:p>
    <w:p w14:paraId="03430069" w14:textId="77777777" w:rsidR="003B6228" w:rsidRDefault="003B6228">
      <w:pPr>
        <w:rPr>
          <w:rFonts w:ascii="Calibri" w:eastAsia="Calibri" w:hAnsi="Calibri" w:cs="Calibri"/>
          <w:b/>
          <w:sz w:val="28"/>
          <w:szCs w:val="28"/>
        </w:rPr>
      </w:pPr>
    </w:p>
    <w:p w14:paraId="3C73813B" w14:textId="36FDC140" w:rsidR="003B6228" w:rsidRDefault="00DB784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Les données à analyser sont issues du site </w:t>
      </w:r>
      <w:hyperlink r:id="rId6">
        <w:proofErr w:type="spellStart"/>
        <w:r>
          <w:rPr>
            <w:rFonts w:ascii="Calibri" w:eastAsia="Calibri" w:hAnsi="Calibri" w:cs="Calibri"/>
            <w:color w:val="0563C1"/>
            <w:u w:val="single"/>
          </w:rPr>
          <w:t>Federal</w:t>
        </w:r>
        <w:proofErr w:type="spellEnd"/>
        <w:r>
          <w:rPr>
            <w:rFonts w:ascii="Calibri" w:eastAsia="Calibri" w:hAnsi="Calibri" w:cs="Calibri"/>
            <w:color w:val="0563C1"/>
            <w:u w:val="single"/>
          </w:rPr>
          <w:t xml:space="preserve"> Reserve </w:t>
        </w:r>
        <w:proofErr w:type="spellStart"/>
        <w:r>
          <w:rPr>
            <w:rFonts w:ascii="Calibri" w:eastAsia="Calibri" w:hAnsi="Calibri" w:cs="Calibri"/>
            <w:color w:val="0563C1"/>
            <w:u w:val="single"/>
          </w:rPr>
          <w:t>Economic</w:t>
        </w:r>
        <w:proofErr w:type="spellEnd"/>
        <w:r>
          <w:rPr>
            <w:rFonts w:ascii="Calibri" w:eastAsia="Calibri" w:hAnsi="Calibri" w:cs="Calibri"/>
            <w:color w:val="0563C1"/>
            <w:u w:val="single"/>
          </w:rPr>
          <w:t xml:space="preserve"> Data (FRED)</w:t>
        </w:r>
      </w:hyperlink>
      <w:r>
        <w:rPr>
          <w:rFonts w:ascii="Calibri" w:eastAsia="Calibri" w:hAnsi="Calibri" w:cs="Calibri"/>
        </w:rPr>
        <w:t xml:space="preserve">.  Elles sont </w:t>
      </w:r>
      <w:proofErr w:type="gramStart"/>
      <w:r w:rsidR="00940DA6">
        <w:rPr>
          <w:rFonts w:ascii="Calibri" w:eastAsia="Calibri" w:hAnsi="Calibri" w:cs="Calibri"/>
        </w:rPr>
        <w:t>répartis</w:t>
      </w:r>
      <w:proofErr w:type="gramEnd"/>
      <w:r w:rsidR="00940DA6">
        <w:rPr>
          <w:rFonts w:ascii="Calibri" w:eastAsia="Calibri" w:hAnsi="Calibri" w:cs="Calibri"/>
        </w:rPr>
        <w:t xml:space="preserve"> en six dossier.</w:t>
      </w:r>
    </w:p>
    <w:p w14:paraId="36317A0C" w14:textId="77777777" w:rsidR="003B6228" w:rsidRDefault="003B6228">
      <w:pPr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0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9"/>
        <w:gridCol w:w="6006"/>
      </w:tblGrid>
      <w:tr w:rsidR="00940DA6" w14:paraId="426E2286" w14:textId="77777777" w:rsidTr="00D916A5">
        <w:trPr>
          <w:trHeight w:val="306"/>
        </w:trPr>
        <w:tc>
          <w:tcPr>
            <w:tcW w:w="3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40FE" w14:textId="77777777" w:rsidR="00940DA6" w:rsidRDefault="00940DA6" w:rsidP="00D916A5">
            <w:pPr>
              <w:spacing w:before="20" w:after="20"/>
              <w:ind w:left="-57" w:right="-5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Data description                  </w:t>
            </w:r>
            <w:r>
              <w:rPr>
                <w:b/>
                <w:sz w:val="18"/>
                <w:szCs w:val="18"/>
              </w:rPr>
              <w:tab/>
            </w:r>
          </w:p>
        </w:tc>
        <w:tc>
          <w:tcPr>
            <w:tcW w:w="600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0AA5" w14:textId="77777777" w:rsidR="00940DA6" w:rsidRDefault="00940DA6" w:rsidP="00D916A5">
            <w:pPr>
              <w:spacing w:before="20" w:after="20"/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Data folder</w:t>
            </w:r>
          </w:p>
        </w:tc>
      </w:tr>
      <w:tr w:rsidR="00940DA6" w14:paraId="69797925" w14:textId="77777777" w:rsidTr="00D916A5">
        <w:trPr>
          <w:trHeight w:val="1199"/>
        </w:trPr>
        <w:tc>
          <w:tcPr>
            <w:tcW w:w="30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F4C91" w14:textId="77777777" w:rsidR="00940DA6" w:rsidRDefault="00940DA6" w:rsidP="00D916A5">
            <w:pPr>
              <w:spacing w:before="20" w:after="20"/>
              <w:ind w:left="-57" w:right="-5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2F992102" w14:textId="77777777" w:rsidR="00940DA6" w:rsidRDefault="00940DA6" w:rsidP="00D916A5">
            <w:pPr>
              <w:spacing w:before="20" w:after="20"/>
              <w:ind w:left="-57" w:right="-5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Groupe PI 1</w:t>
            </w:r>
          </w:p>
        </w:tc>
        <w:tc>
          <w:tcPr>
            <w:tcW w:w="60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40466" w14:textId="77777777" w:rsidR="00940DA6" w:rsidRDefault="00940DA6" w:rsidP="00D916A5">
            <w:pPr>
              <w:spacing w:before="20" w:after="20"/>
              <w:ind w:left="-57" w:right="-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G1</w:t>
            </w:r>
          </w:p>
        </w:tc>
      </w:tr>
      <w:tr w:rsidR="00940DA6" w14:paraId="2800A53E" w14:textId="77777777" w:rsidTr="00D916A5">
        <w:trPr>
          <w:trHeight w:val="1204"/>
        </w:trPr>
        <w:tc>
          <w:tcPr>
            <w:tcW w:w="30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97434" w14:textId="77777777" w:rsidR="00940DA6" w:rsidRDefault="00940DA6" w:rsidP="00D916A5">
            <w:pPr>
              <w:spacing w:before="20" w:after="20"/>
              <w:ind w:left="-57" w:right="-5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755BE114" w14:textId="77777777" w:rsidR="00940DA6" w:rsidRDefault="00940DA6" w:rsidP="00D916A5">
            <w:pPr>
              <w:spacing w:before="20" w:after="20"/>
              <w:ind w:left="-57" w:right="-5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Groupe PI 2</w:t>
            </w:r>
          </w:p>
        </w:tc>
        <w:tc>
          <w:tcPr>
            <w:tcW w:w="60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6B593" w14:textId="77777777" w:rsidR="00940DA6" w:rsidRDefault="00940DA6" w:rsidP="00D916A5">
            <w:pPr>
              <w:spacing w:before="20" w:after="20"/>
              <w:ind w:left="-57" w:right="-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G2</w:t>
            </w:r>
          </w:p>
        </w:tc>
      </w:tr>
      <w:tr w:rsidR="00940DA6" w14:paraId="4A015C13" w14:textId="77777777" w:rsidTr="00D916A5">
        <w:trPr>
          <w:trHeight w:val="1196"/>
        </w:trPr>
        <w:tc>
          <w:tcPr>
            <w:tcW w:w="30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FF106" w14:textId="77777777" w:rsidR="00940DA6" w:rsidRDefault="00940DA6" w:rsidP="00D916A5">
            <w:pPr>
              <w:spacing w:before="20" w:after="20"/>
              <w:ind w:left="-57" w:right="-5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335E412E" w14:textId="77777777" w:rsidR="00940DA6" w:rsidRDefault="00940DA6" w:rsidP="00D916A5">
            <w:pPr>
              <w:spacing w:before="20" w:after="20"/>
              <w:ind w:left="-57" w:right="-5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Groupe PI 3</w:t>
            </w:r>
          </w:p>
        </w:tc>
        <w:tc>
          <w:tcPr>
            <w:tcW w:w="60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75EEC" w14:textId="77777777" w:rsidR="00940DA6" w:rsidRDefault="00940DA6" w:rsidP="00D916A5">
            <w:pPr>
              <w:spacing w:before="20" w:after="20"/>
              <w:ind w:left="-57" w:right="-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G3</w:t>
            </w:r>
          </w:p>
        </w:tc>
      </w:tr>
      <w:tr w:rsidR="00940DA6" w14:paraId="57670554" w14:textId="77777777" w:rsidTr="00D916A5">
        <w:trPr>
          <w:trHeight w:val="1202"/>
        </w:trPr>
        <w:tc>
          <w:tcPr>
            <w:tcW w:w="30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24A9" w14:textId="77777777" w:rsidR="00940DA6" w:rsidRDefault="00940DA6" w:rsidP="00D916A5">
            <w:pPr>
              <w:spacing w:before="20" w:after="20"/>
              <w:ind w:left="-57" w:right="-5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0529467C" w14:textId="77777777" w:rsidR="00940DA6" w:rsidRDefault="00940DA6" w:rsidP="00D916A5">
            <w:pPr>
              <w:spacing w:before="20" w:after="20"/>
              <w:ind w:left="-57" w:right="-5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Groupe PI 4</w:t>
            </w:r>
          </w:p>
        </w:tc>
        <w:tc>
          <w:tcPr>
            <w:tcW w:w="60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1A36B" w14:textId="77777777" w:rsidR="00940DA6" w:rsidRDefault="00940DA6" w:rsidP="00D916A5">
            <w:pPr>
              <w:spacing w:before="20" w:after="20"/>
              <w:ind w:left="-57" w:right="-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G4</w:t>
            </w:r>
          </w:p>
        </w:tc>
      </w:tr>
      <w:tr w:rsidR="00940DA6" w14:paraId="4F33B500" w14:textId="77777777" w:rsidTr="00D916A5">
        <w:trPr>
          <w:trHeight w:val="1470"/>
        </w:trPr>
        <w:tc>
          <w:tcPr>
            <w:tcW w:w="30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44FF8" w14:textId="77777777" w:rsidR="00940DA6" w:rsidRDefault="00940DA6" w:rsidP="00D916A5">
            <w:pPr>
              <w:spacing w:before="20" w:after="20"/>
              <w:ind w:left="-57" w:right="-5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Groupe PI 5</w:t>
            </w:r>
          </w:p>
        </w:tc>
        <w:tc>
          <w:tcPr>
            <w:tcW w:w="60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C9884" w14:textId="77777777" w:rsidR="00940DA6" w:rsidRDefault="00940DA6" w:rsidP="00D916A5">
            <w:pPr>
              <w:spacing w:before="20" w:after="20"/>
              <w:ind w:left="-57" w:right="-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G5</w:t>
            </w:r>
          </w:p>
        </w:tc>
      </w:tr>
      <w:tr w:rsidR="00940DA6" w14:paraId="16ACB841" w14:textId="77777777" w:rsidTr="00D916A5">
        <w:trPr>
          <w:trHeight w:val="594"/>
        </w:trPr>
        <w:tc>
          <w:tcPr>
            <w:tcW w:w="30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3B1EC" w14:textId="77777777" w:rsidR="00940DA6" w:rsidRDefault="00940DA6" w:rsidP="00D916A5">
            <w:pPr>
              <w:spacing w:before="20" w:after="20"/>
              <w:ind w:left="-57" w:right="-5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41BD53F2" w14:textId="77777777" w:rsidR="00940DA6" w:rsidRDefault="00940DA6" w:rsidP="00D916A5">
            <w:pPr>
              <w:spacing w:before="20" w:after="20"/>
              <w:ind w:left="-57" w:right="-5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Groupe PI 6</w:t>
            </w:r>
          </w:p>
        </w:tc>
        <w:tc>
          <w:tcPr>
            <w:tcW w:w="60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A4102" w14:textId="3EA74F49" w:rsidR="00940DA6" w:rsidRDefault="00940DA6" w:rsidP="00D916A5">
            <w:pPr>
              <w:spacing w:before="20" w:after="20"/>
              <w:ind w:left="-57" w:right="-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 w:rsidR="00D001A7">
              <w:rPr>
                <w:sz w:val="18"/>
                <w:szCs w:val="18"/>
              </w:rPr>
              <w:t>6</w:t>
            </w:r>
          </w:p>
        </w:tc>
      </w:tr>
    </w:tbl>
    <w:p w14:paraId="7EBB8814" w14:textId="77777777" w:rsidR="003B6228" w:rsidRDefault="003B6228">
      <w:pPr>
        <w:rPr>
          <w:rFonts w:ascii="Calibri" w:eastAsia="Calibri" w:hAnsi="Calibri" w:cs="Calibri"/>
          <w:b/>
          <w:sz w:val="28"/>
          <w:szCs w:val="28"/>
        </w:rPr>
      </w:pPr>
    </w:p>
    <w:p w14:paraId="1F3C49FC" w14:textId="77777777" w:rsidR="000B4D69" w:rsidRDefault="000B4D69">
      <w:pPr>
        <w:rPr>
          <w:rFonts w:ascii="Calibri" w:eastAsia="Calibri" w:hAnsi="Calibri" w:cs="Calibri"/>
          <w:b/>
          <w:sz w:val="28"/>
          <w:szCs w:val="28"/>
        </w:rPr>
      </w:pPr>
    </w:p>
    <w:p w14:paraId="134CF309" w14:textId="77777777" w:rsidR="000B4D69" w:rsidRDefault="000B4D69" w:rsidP="000B4D69">
      <w:pPr>
        <w:shd w:val="clear" w:color="auto" w:fill="FFFFFF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Calibri" w:eastAsia="Calibri" w:hAnsi="Calibri" w:cs="Calibri"/>
          <w:b/>
          <w:sz w:val="28"/>
          <w:szCs w:val="28"/>
        </w:rPr>
        <w:t>IV</w:t>
      </w:r>
      <w:r>
        <w:rPr>
          <w:rFonts w:ascii="Calibri" w:eastAsia="Calibri" w:hAnsi="Calibri" w:cs="Calibri"/>
          <w:b/>
          <w:sz w:val="28"/>
          <w:szCs w:val="28"/>
        </w:rPr>
        <w:t xml:space="preserve">– </w:t>
      </w:r>
      <w:r>
        <w:rPr>
          <w:rFonts w:ascii="Calibri" w:eastAsia="Calibri" w:hAnsi="Calibri" w:cs="Calibri"/>
          <w:b/>
          <w:sz w:val="28"/>
          <w:szCs w:val="28"/>
        </w:rPr>
        <w:t xml:space="preserve">Livrables : </w:t>
      </w:r>
      <w:r>
        <w:rPr>
          <w:color w:val="262626"/>
          <w:sz w:val="21"/>
          <w:szCs w:val="21"/>
        </w:rPr>
        <w:t>Les livrables incluront :</w:t>
      </w:r>
    </w:p>
    <w:p w14:paraId="0A1469A1" w14:textId="77777777" w:rsidR="000B4D69" w:rsidRDefault="000B4D69" w:rsidP="000B4D6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>Une présentation et un script R et/ou un fichier R markdown </w:t>
      </w:r>
    </w:p>
    <w:p w14:paraId="26565F12" w14:textId="4C24F24C" w:rsidR="000B4D69" w:rsidRDefault="000B4D69" w:rsidP="000B4D69">
      <w:pPr>
        <w:rPr>
          <w:rFonts w:ascii="Calibri" w:eastAsia="Calibri" w:hAnsi="Calibri" w:cs="Calibri"/>
          <w:b/>
          <w:sz w:val="28"/>
          <w:szCs w:val="28"/>
        </w:rPr>
      </w:pPr>
    </w:p>
    <w:p w14:paraId="7B613465" w14:textId="291ACC80" w:rsidR="000B4D69" w:rsidRPr="000B4D69" w:rsidRDefault="000B4D69" w:rsidP="000B4D69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V– </w:t>
      </w:r>
      <w:r>
        <w:rPr>
          <w:rFonts w:ascii="Calibri" w:eastAsia="Calibri" w:hAnsi="Calibri" w:cs="Calibri"/>
          <w:b/>
          <w:sz w:val="28"/>
          <w:szCs w:val="28"/>
        </w:rPr>
        <w:t xml:space="preserve">Présentation : </w:t>
      </w:r>
      <w:r>
        <w:rPr>
          <w:color w:val="262626"/>
          <w:sz w:val="21"/>
          <w:szCs w:val="21"/>
        </w:rPr>
        <w:t>Semaine 1</w:t>
      </w:r>
      <w:r>
        <w:rPr>
          <w:color w:val="262626"/>
          <w:sz w:val="21"/>
          <w:szCs w:val="21"/>
        </w:rPr>
        <w:t>0</w:t>
      </w:r>
      <w:r>
        <w:rPr>
          <w:color w:val="262626"/>
          <w:sz w:val="21"/>
          <w:szCs w:val="21"/>
        </w:rPr>
        <w:t xml:space="preserve"> (La semaine du </w:t>
      </w:r>
      <w:r>
        <w:rPr>
          <w:color w:val="262626"/>
          <w:sz w:val="21"/>
          <w:szCs w:val="21"/>
        </w:rPr>
        <w:t>14 avril)</w:t>
      </w:r>
    </w:p>
    <w:p w14:paraId="5B24134B" w14:textId="77777777" w:rsidR="000B4D69" w:rsidRDefault="000B4D69" w:rsidP="000B4D6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>Chaque équipe devra préparer une présentation complète sur le travail effectué, mettant en avant la méthodologie, les analyses, ainsi que les interprétations et recommandations.</w:t>
      </w:r>
    </w:p>
    <w:p w14:paraId="12050B6D" w14:textId="77777777" w:rsidR="000B4D69" w:rsidRDefault="000B4D69" w:rsidP="000B4D69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38EE5184" w14:textId="77777777" w:rsidR="000B4D69" w:rsidRDefault="000B4D69" w:rsidP="000B4D69">
      <w:pPr>
        <w:rPr>
          <w:rFonts w:ascii="Calibri" w:eastAsia="Calibri" w:hAnsi="Calibri" w:cs="Calibri"/>
          <w:b/>
          <w:sz w:val="28"/>
          <w:szCs w:val="28"/>
        </w:rPr>
      </w:pPr>
    </w:p>
    <w:p w14:paraId="319D285C" w14:textId="77777777" w:rsidR="000B4D69" w:rsidRDefault="000B4D69" w:rsidP="000B4D69">
      <w:pPr>
        <w:rPr>
          <w:rFonts w:ascii="Calibri" w:eastAsia="Calibri" w:hAnsi="Calibri" w:cs="Calibri"/>
          <w:b/>
          <w:sz w:val="28"/>
          <w:szCs w:val="28"/>
        </w:rPr>
      </w:pPr>
    </w:p>
    <w:p w14:paraId="798960E0" w14:textId="77777777" w:rsidR="000B4D69" w:rsidRDefault="000B4D69">
      <w:pPr>
        <w:rPr>
          <w:rFonts w:ascii="Calibri" w:eastAsia="Calibri" w:hAnsi="Calibri" w:cs="Calibri"/>
          <w:b/>
          <w:sz w:val="28"/>
          <w:szCs w:val="28"/>
        </w:rPr>
      </w:pPr>
    </w:p>
    <w:sectPr w:rsidR="000B4D69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F1100"/>
    <w:multiLevelType w:val="multilevel"/>
    <w:tmpl w:val="AC52510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321B8"/>
    <w:multiLevelType w:val="multilevel"/>
    <w:tmpl w:val="B008CAD0"/>
    <w:lvl w:ilvl="0">
      <w:start w:val="1"/>
      <w:numFmt w:val="lowerLetter"/>
      <w:lvlText w:val="%1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87BE9"/>
    <w:multiLevelType w:val="multilevel"/>
    <w:tmpl w:val="BD40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E1ACB"/>
    <w:multiLevelType w:val="multilevel"/>
    <w:tmpl w:val="2A06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8037D6"/>
    <w:multiLevelType w:val="multilevel"/>
    <w:tmpl w:val="7F7C2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70CA1"/>
    <w:multiLevelType w:val="multilevel"/>
    <w:tmpl w:val="74D44B8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32825143">
    <w:abstractNumId w:val="1"/>
  </w:num>
  <w:num w:numId="2" w16cid:durableId="478228525">
    <w:abstractNumId w:val="5"/>
  </w:num>
  <w:num w:numId="3" w16cid:durableId="101996448">
    <w:abstractNumId w:val="4"/>
  </w:num>
  <w:num w:numId="4" w16cid:durableId="664212454">
    <w:abstractNumId w:val="0"/>
  </w:num>
  <w:num w:numId="5" w16cid:durableId="86967097">
    <w:abstractNumId w:val="3"/>
  </w:num>
  <w:num w:numId="6" w16cid:durableId="1120341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228"/>
    <w:rsid w:val="000B346E"/>
    <w:rsid w:val="000B4D69"/>
    <w:rsid w:val="00123E63"/>
    <w:rsid w:val="003B6228"/>
    <w:rsid w:val="0077567B"/>
    <w:rsid w:val="00940DA6"/>
    <w:rsid w:val="00CD508F"/>
    <w:rsid w:val="00D001A7"/>
    <w:rsid w:val="00DB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86BB3"/>
  <w15:docId w15:val="{E60D5261-4191-4AD6-8D0E-2C9CA6D6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D69"/>
    <w:rPr>
      <w:lang w:val="fr-TN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lev">
    <w:name w:val="Strong"/>
    <w:basedOn w:val="Policepardfaut"/>
    <w:uiPriority w:val="22"/>
    <w:qFormat/>
    <w:rsid w:val="000B4D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4D6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0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d.stlouisfed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385</Words>
  <Characters>2122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samis</dc:creator>
  <cp:lastModifiedBy>hedhli amel</cp:lastModifiedBy>
  <cp:revision>4</cp:revision>
  <dcterms:created xsi:type="dcterms:W3CDTF">2025-04-08T10:03:00Z</dcterms:created>
  <dcterms:modified xsi:type="dcterms:W3CDTF">2025-04-08T10:27:00Z</dcterms:modified>
</cp:coreProperties>
</file>