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5BA5" w14:textId="77777777" w:rsidR="006B33F3" w:rsidRDefault="006B33F3" w:rsidP="006B33F3">
      <w:pPr>
        <w:pStyle w:val="NormalWeb"/>
        <w:spacing w:before="0" w:beforeAutospacing="0" w:after="160" w:afterAutospacing="0"/>
      </w:pPr>
      <w:r>
        <w:rPr>
          <w:rFonts w:ascii="Calibri" w:hAnsi="Calibri" w:cs="Calibri"/>
          <w:b/>
          <w:bCs/>
          <w:color w:val="FF0000"/>
          <w:sz w:val="22"/>
          <w:szCs w:val="22"/>
        </w:rPr>
        <w:t>Les charges d’exploitation (</w:t>
      </w:r>
      <w:r>
        <w:rPr>
          <w:rFonts w:ascii="Arial" w:hAnsi="Arial" w:cs="Arial"/>
          <w:color w:val="000000"/>
          <w:sz w:val="21"/>
          <w:szCs w:val="21"/>
          <w:shd w:val="clear" w:color="auto" w:fill="F8F9FA"/>
          <w:rtl/>
        </w:rPr>
        <w:t>استثمار</w:t>
      </w:r>
    </w:p>
    <w:p w14:paraId="6F35BF7A" w14:textId="77777777" w:rsidR="006B33F3" w:rsidRDefault="006B33F3" w:rsidP="006B33F3">
      <w:pPr>
        <w:pStyle w:val="NormalWeb"/>
        <w:spacing w:before="0" w:beforeAutospacing="0" w:after="160" w:afterAutospacing="0"/>
      </w:pPr>
      <w:r>
        <w:rPr>
          <w:rFonts w:ascii="Calibri" w:hAnsi="Calibri" w:cs="Calibri"/>
          <w:color w:val="000000"/>
          <w:sz w:val="22"/>
          <w:szCs w:val="22"/>
        </w:rPr>
        <w:t>-En terme de comptabilité, expriment l'argent qu'il est nécessaire de dépenser pour l'élaboration d'un produit. Elles comprennent par exemple : la consommation de matière première, les frais transports, d'énergie, de publicité, de personnel, les impôts et taxes, etc.</w:t>
      </w:r>
    </w:p>
    <w:p w14:paraId="7BFF92F1" w14:textId="77777777" w:rsidR="006B33F3" w:rsidRDefault="006B33F3" w:rsidP="006B33F3">
      <w:pPr>
        <w:pStyle w:val="NormalWeb"/>
        <w:spacing w:before="0" w:beforeAutospacing="0" w:after="160" w:afterAutospacing="0"/>
      </w:pPr>
      <w:r>
        <w:rPr>
          <w:rFonts w:ascii="Calibri" w:hAnsi="Calibri" w:cs="Calibri"/>
          <w:color w:val="000000"/>
          <w:sz w:val="22"/>
          <w:szCs w:val="22"/>
        </w:rPr>
        <w:t>- Dépenses réalisées par l’entreprise qui peuvent être comptabilisées en charges et qui se rattachent  à ce que l’entreprise dépense couramment dans le cadre de son exploitation afin de réaliser son chiffre d’affaires </w:t>
      </w:r>
    </w:p>
    <w:p w14:paraId="16B52FD9" w14:textId="77777777" w:rsidR="006B33F3" w:rsidRDefault="006B33F3" w:rsidP="006B33F3">
      <w:pPr>
        <w:pStyle w:val="NormalWeb"/>
        <w:spacing w:before="0" w:beforeAutospacing="0" w:after="160" w:afterAutospacing="0"/>
      </w:pPr>
      <w:r>
        <w:rPr>
          <w:rFonts w:ascii="Calibri" w:hAnsi="Calibri" w:cs="Calibri"/>
          <w:color w:val="000000"/>
          <w:sz w:val="22"/>
          <w:szCs w:val="22"/>
        </w:rPr>
        <w:t>On trouve :</w:t>
      </w:r>
    </w:p>
    <w:p w14:paraId="3FF95AE5" w14:textId="77777777" w:rsidR="006B33F3" w:rsidRDefault="006B33F3" w:rsidP="006B33F3">
      <w:pPr>
        <w:pStyle w:val="NormalWeb"/>
        <w:spacing w:before="0" w:beforeAutospacing="0" w:after="160" w:afterAutospacing="0"/>
      </w:pPr>
      <w:r>
        <w:rPr>
          <w:rFonts w:ascii="Calibri" w:hAnsi="Calibri" w:cs="Calibri"/>
          <w:color w:val="000000"/>
          <w:sz w:val="22"/>
          <w:szCs w:val="22"/>
        </w:rPr>
        <w:t>-les achats consommés de matières premières et de marchandises ainsi que la variation de Stock </w:t>
      </w:r>
    </w:p>
    <w:p w14:paraId="5C20CC78" w14:textId="77777777" w:rsidR="006B33F3" w:rsidRDefault="006B33F3" w:rsidP="006B33F3">
      <w:pPr>
        <w:pStyle w:val="NormalWeb"/>
        <w:spacing w:before="0" w:beforeAutospacing="0" w:after="160" w:afterAutospacing="0"/>
      </w:pPr>
      <w:r>
        <w:rPr>
          <w:rFonts w:ascii="Calibri" w:hAnsi="Calibri" w:cs="Calibri"/>
          <w:color w:val="000000"/>
          <w:sz w:val="22"/>
          <w:szCs w:val="22"/>
        </w:rPr>
        <w:t>-les frais généraux de l’entreprise comme les loyers, les assurances, l’entretien, frais de déplacement, honoraires </w:t>
      </w:r>
    </w:p>
    <w:p w14:paraId="71510A28" w14:textId="77777777" w:rsidR="006B33F3" w:rsidRDefault="006B33F3" w:rsidP="006B33F3">
      <w:pPr>
        <w:pStyle w:val="NormalWeb"/>
        <w:spacing w:before="0" w:beforeAutospacing="0" w:after="160" w:afterAutospacing="0"/>
      </w:pPr>
      <w:r>
        <w:rPr>
          <w:rFonts w:ascii="Calibri" w:hAnsi="Calibri" w:cs="Calibri"/>
          <w:color w:val="000000"/>
          <w:sz w:val="22"/>
          <w:szCs w:val="22"/>
        </w:rPr>
        <w:t>-les impôts et taxes </w:t>
      </w:r>
    </w:p>
    <w:p w14:paraId="4CFF9651" w14:textId="77777777" w:rsidR="006B33F3" w:rsidRDefault="006B33F3" w:rsidP="006B33F3">
      <w:pPr>
        <w:pStyle w:val="NormalWeb"/>
        <w:spacing w:before="0" w:beforeAutospacing="0" w:after="160" w:afterAutospacing="0"/>
      </w:pPr>
      <w:r>
        <w:rPr>
          <w:rFonts w:ascii="Calibri" w:hAnsi="Calibri" w:cs="Calibri"/>
          <w:color w:val="000000"/>
          <w:sz w:val="22"/>
          <w:szCs w:val="22"/>
        </w:rPr>
        <w:t>-les charges de personnel : salaires, charges sociales </w:t>
      </w:r>
    </w:p>
    <w:p w14:paraId="04368FF3" w14:textId="77777777" w:rsidR="006B33F3" w:rsidRDefault="006B33F3" w:rsidP="006B33F3">
      <w:pPr>
        <w:pStyle w:val="NormalWeb"/>
        <w:spacing w:before="0" w:beforeAutospacing="0" w:after="160" w:afterAutospacing="0"/>
      </w:pPr>
      <w:r>
        <w:rPr>
          <w:rFonts w:ascii="Calibri" w:hAnsi="Calibri" w:cs="Calibri"/>
          <w:color w:val="000000"/>
          <w:sz w:val="22"/>
          <w:szCs w:val="22"/>
        </w:rPr>
        <w:t>-les autres charges de gestion courante</w:t>
      </w:r>
    </w:p>
    <w:p w14:paraId="3C3D0DAE" w14:textId="77777777" w:rsidR="006B33F3" w:rsidRDefault="006B33F3" w:rsidP="006B33F3">
      <w:pPr>
        <w:pStyle w:val="NormalWeb"/>
        <w:spacing w:before="0" w:beforeAutospacing="0" w:after="160" w:afterAutospacing="0"/>
      </w:pPr>
      <w:r>
        <w:rPr>
          <w:rFonts w:ascii="Calibri" w:hAnsi="Calibri" w:cs="Calibri"/>
          <w:color w:val="000000"/>
          <w:sz w:val="22"/>
          <w:szCs w:val="22"/>
        </w:rPr>
        <w:t>-et les dotations (hiba) aux amortissements et provisions d’exploitation (clients, stocks)</w:t>
      </w:r>
    </w:p>
    <w:p w14:paraId="0D42B317" w14:textId="77777777" w:rsidR="006B33F3" w:rsidRDefault="006B33F3" w:rsidP="006B33F3">
      <w:pPr>
        <w:pStyle w:val="NormalWeb"/>
        <w:spacing w:before="0" w:beforeAutospacing="0" w:after="160" w:afterAutospacing="0"/>
      </w:pPr>
      <w:r>
        <w:rPr>
          <w:rFonts w:ascii="Calibri" w:hAnsi="Calibri" w:cs="Calibri"/>
          <w:b/>
          <w:bCs/>
          <w:color w:val="FF0000"/>
          <w:sz w:val="22"/>
          <w:szCs w:val="22"/>
        </w:rPr>
        <w:t>Les produits d’exploitation </w:t>
      </w:r>
    </w:p>
    <w:p w14:paraId="52DD3BE4" w14:textId="77777777" w:rsidR="006B33F3" w:rsidRDefault="006B33F3" w:rsidP="006B33F3">
      <w:pPr>
        <w:pStyle w:val="NormalWeb"/>
        <w:spacing w:before="0" w:beforeAutospacing="0" w:after="160" w:afterAutospacing="0"/>
      </w:pPr>
      <w:r>
        <w:rPr>
          <w:rFonts w:ascii="Calibri" w:hAnsi="Calibri" w:cs="Calibri"/>
          <w:color w:val="000000"/>
          <w:sz w:val="22"/>
          <w:szCs w:val="22"/>
        </w:rPr>
        <w:t>-ventes de marchandises et de produits finis</w:t>
      </w:r>
    </w:p>
    <w:p w14:paraId="0C4F7F0F" w14:textId="77777777" w:rsidR="006B33F3" w:rsidRDefault="006B33F3" w:rsidP="006B33F3">
      <w:pPr>
        <w:pStyle w:val="NormalWeb"/>
        <w:spacing w:before="0" w:beforeAutospacing="0" w:after="160" w:afterAutospacing="0"/>
      </w:pPr>
      <w:r>
        <w:rPr>
          <w:rFonts w:ascii="Calibri" w:hAnsi="Calibri" w:cs="Calibri"/>
          <w:color w:val="000000"/>
          <w:sz w:val="22"/>
          <w:szCs w:val="22"/>
        </w:rPr>
        <w:t>-les subventions d’exploitations </w:t>
      </w:r>
    </w:p>
    <w:p w14:paraId="60CA2522" w14:textId="77777777" w:rsidR="006B33F3" w:rsidRDefault="006B33F3" w:rsidP="006B33F3">
      <w:pPr>
        <w:pStyle w:val="NormalWeb"/>
        <w:spacing w:before="0" w:beforeAutospacing="0" w:after="160" w:afterAutospacing="0"/>
      </w:pPr>
      <w:r>
        <w:rPr>
          <w:rFonts w:ascii="Calibri" w:hAnsi="Calibri" w:cs="Calibri"/>
          <w:color w:val="000000"/>
          <w:sz w:val="22"/>
          <w:szCs w:val="22"/>
        </w:rPr>
        <w:t>-les reprises sur amortissements, sur dépréciation et provisions d’exploitation </w:t>
      </w:r>
    </w:p>
    <w:p w14:paraId="45FF7C84" w14:textId="77777777" w:rsidR="006B33F3" w:rsidRDefault="006B33F3" w:rsidP="006B33F3">
      <w:pPr>
        <w:pStyle w:val="NormalWeb"/>
        <w:pBdr>
          <w:bottom w:val="single" w:sz="6" w:space="1" w:color="000000"/>
        </w:pBdr>
        <w:spacing w:before="0" w:beforeAutospacing="0" w:after="160" w:afterAutospacing="0"/>
      </w:pPr>
      <w:r>
        <w:rPr>
          <w:rFonts w:ascii="Calibri" w:hAnsi="Calibri" w:cs="Calibri"/>
          <w:color w:val="000000"/>
          <w:sz w:val="22"/>
          <w:szCs w:val="22"/>
        </w:rPr>
        <w:t>-et les transferts de charges d’exploitation</w:t>
      </w:r>
    </w:p>
    <w:p w14:paraId="7558B4C2" w14:textId="77777777" w:rsidR="006B33F3" w:rsidRDefault="006B33F3" w:rsidP="006B33F3">
      <w:pPr>
        <w:pStyle w:val="NormalWeb"/>
        <w:spacing w:before="0" w:beforeAutospacing="0" w:after="160" w:afterAutospacing="0"/>
      </w:pPr>
      <w:r>
        <w:rPr>
          <w:rFonts w:ascii="Calibri" w:hAnsi="Calibri" w:cs="Calibri"/>
          <w:color w:val="2E75B5"/>
          <w:sz w:val="22"/>
          <w:szCs w:val="22"/>
          <w:u w:val="single"/>
        </w:rPr>
        <w:t>Un amortissement</w:t>
      </w:r>
      <w:r>
        <w:rPr>
          <w:rFonts w:ascii="Calibri" w:hAnsi="Calibri" w:cs="Calibri"/>
          <w:color w:val="2E75B5"/>
          <w:sz w:val="22"/>
          <w:szCs w:val="22"/>
        </w:rPr>
        <w:t xml:space="preserve"> </w:t>
      </w:r>
      <w:r>
        <w:rPr>
          <w:rFonts w:ascii="Calibri" w:hAnsi="Calibri" w:cs="Calibri"/>
          <w:color w:val="000000"/>
          <w:sz w:val="22"/>
          <w:szCs w:val="22"/>
        </w:rPr>
        <w:t>correspond à une constatation de perte de  valeur d’un bien, du fait son usage (usure physique) de l’évolution technique (obsolescence de l’actif) ou bien tout simplement du temps </w:t>
      </w:r>
    </w:p>
    <w:p w14:paraId="671B6A63" w14:textId="77777777" w:rsidR="006B33F3" w:rsidRDefault="006B33F3" w:rsidP="006B33F3">
      <w:pPr>
        <w:pStyle w:val="NormalWeb"/>
        <w:spacing w:before="0" w:beforeAutospacing="0" w:after="160" w:afterAutospacing="0"/>
      </w:pPr>
      <w:r>
        <w:rPr>
          <w:rFonts w:ascii="Calibri" w:hAnsi="Calibri" w:cs="Calibri"/>
          <w:color w:val="000000"/>
          <w:sz w:val="22"/>
          <w:szCs w:val="22"/>
        </w:rPr>
        <w:t>En principe toutes les immobilisations corporelles sont amortissables, à l’exception des terrains et des œuvres d’arts .Sont donc amortissables :</w:t>
      </w:r>
    </w:p>
    <w:p w14:paraId="21CD582B" w14:textId="77777777" w:rsidR="006B33F3" w:rsidRDefault="006B33F3" w:rsidP="006B33F3">
      <w:pPr>
        <w:pStyle w:val="NormalWeb"/>
        <w:spacing w:before="0" w:beforeAutospacing="0" w:after="160" w:afterAutospacing="0"/>
      </w:pPr>
      <w:r>
        <w:rPr>
          <w:rFonts w:ascii="Calibri" w:hAnsi="Calibri" w:cs="Calibri"/>
          <w:color w:val="000000"/>
          <w:sz w:val="22"/>
          <w:szCs w:val="22"/>
        </w:rPr>
        <w:t>-les constructions, installations générales, agencements  </w:t>
      </w:r>
    </w:p>
    <w:p w14:paraId="5DBC3B4B" w14:textId="77777777" w:rsidR="006B33F3" w:rsidRDefault="006B33F3" w:rsidP="006B33F3">
      <w:pPr>
        <w:pStyle w:val="NormalWeb"/>
        <w:spacing w:before="0" w:beforeAutospacing="0" w:after="160" w:afterAutospacing="0"/>
      </w:pPr>
      <w:r>
        <w:rPr>
          <w:rFonts w:ascii="Calibri" w:hAnsi="Calibri" w:cs="Calibri"/>
          <w:color w:val="000000"/>
          <w:sz w:val="22"/>
          <w:szCs w:val="22"/>
        </w:rPr>
        <w:t>-les matériels et outillages industriels </w:t>
      </w:r>
    </w:p>
    <w:p w14:paraId="193B85A3" w14:textId="77777777" w:rsidR="006B33F3" w:rsidRDefault="006B33F3" w:rsidP="006B33F3">
      <w:pPr>
        <w:pStyle w:val="NormalWeb"/>
        <w:spacing w:before="0" w:beforeAutospacing="0" w:after="160" w:afterAutospacing="0"/>
      </w:pPr>
      <w:r>
        <w:rPr>
          <w:rFonts w:ascii="Calibri" w:hAnsi="Calibri" w:cs="Calibri"/>
          <w:color w:val="000000"/>
          <w:sz w:val="22"/>
          <w:szCs w:val="22"/>
        </w:rPr>
        <w:t>-les matériels  de transport, matériels  de bureau et informatique</w:t>
      </w:r>
    </w:p>
    <w:p w14:paraId="1B828C71" w14:textId="77777777" w:rsidR="006B33F3" w:rsidRDefault="006B33F3" w:rsidP="006B33F3">
      <w:pPr>
        <w:pStyle w:val="NormalWeb"/>
        <w:spacing w:before="0" w:beforeAutospacing="0" w:after="160" w:afterAutospacing="0"/>
      </w:pPr>
      <w:r>
        <w:rPr>
          <w:rFonts w:ascii="Calibri" w:hAnsi="Calibri" w:cs="Calibri"/>
          <w:color w:val="000000"/>
          <w:sz w:val="22"/>
          <w:szCs w:val="22"/>
        </w:rPr>
        <w:t>-le mobilier</w:t>
      </w:r>
    </w:p>
    <w:p w14:paraId="7A5296CD" w14:textId="77777777" w:rsidR="006B33F3" w:rsidRDefault="006B33F3" w:rsidP="006B33F3">
      <w:pPr>
        <w:pStyle w:val="NormalWeb"/>
        <w:spacing w:before="0" w:beforeAutospacing="0" w:after="160" w:afterAutospacing="0"/>
      </w:pPr>
      <w:r>
        <w:rPr>
          <w:rFonts w:ascii="Calibri" w:hAnsi="Calibri" w:cs="Calibri"/>
          <w:color w:val="000000"/>
          <w:sz w:val="22"/>
          <w:szCs w:val="22"/>
        </w:rPr>
        <w:t>Certaines immobilisations incorporelles sont amortissables :</w:t>
      </w:r>
    </w:p>
    <w:p w14:paraId="4D7028D0" w14:textId="77777777" w:rsidR="006B33F3" w:rsidRDefault="006B33F3" w:rsidP="006B33F3">
      <w:pPr>
        <w:pStyle w:val="NormalWeb"/>
        <w:spacing w:before="0" w:beforeAutospacing="0" w:after="160" w:afterAutospacing="0"/>
      </w:pPr>
      <w:r>
        <w:rPr>
          <w:rFonts w:ascii="Calibri" w:hAnsi="Calibri" w:cs="Calibri"/>
          <w:color w:val="000000"/>
          <w:sz w:val="22"/>
          <w:szCs w:val="22"/>
        </w:rPr>
        <w:t>-les brevets d’inventions, les licences</w:t>
      </w:r>
    </w:p>
    <w:p w14:paraId="62DA9498" w14:textId="77777777" w:rsidR="006B33F3" w:rsidRDefault="006B33F3" w:rsidP="006B33F3">
      <w:pPr>
        <w:pStyle w:val="NormalWeb"/>
        <w:spacing w:before="0" w:beforeAutospacing="0" w:after="160" w:afterAutospacing="0"/>
      </w:pPr>
      <w:r>
        <w:rPr>
          <w:rFonts w:ascii="Calibri" w:hAnsi="Calibri" w:cs="Calibri"/>
          <w:color w:val="000000"/>
          <w:sz w:val="22"/>
          <w:szCs w:val="22"/>
        </w:rPr>
        <w:t>-les logiciels et couts de développement </w:t>
      </w:r>
    </w:p>
    <w:p w14:paraId="76836DAC" w14:textId="77777777" w:rsidR="006B33F3" w:rsidRDefault="006B33F3" w:rsidP="006B33F3">
      <w:pPr>
        <w:pStyle w:val="NormalWeb"/>
        <w:spacing w:before="0" w:beforeAutospacing="0" w:after="160" w:afterAutospacing="0"/>
      </w:pPr>
      <w:r>
        <w:rPr>
          <w:rFonts w:ascii="Calibri" w:hAnsi="Calibri" w:cs="Calibri"/>
          <w:color w:val="000000"/>
          <w:sz w:val="22"/>
          <w:szCs w:val="22"/>
        </w:rPr>
        <w:t>-les sites internet (sous conditions)</w:t>
      </w:r>
    </w:p>
    <w:p w14:paraId="2B135340" w14:textId="77777777" w:rsidR="006B33F3" w:rsidRDefault="006B33F3" w:rsidP="006B33F3">
      <w:pPr>
        <w:pStyle w:val="NormalWeb"/>
        <w:spacing w:before="0" w:beforeAutospacing="0" w:after="160" w:afterAutospacing="0"/>
      </w:pPr>
      <w:r>
        <w:rPr>
          <w:rFonts w:ascii="Calibri" w:hAnsi="Calibri" w:cs="Calibri"/>
          <w:color w:val="000000"/>
          <w:sz w:val="22"/>
          <w:szCs w:val="22"/>
        </w:rPr>
        <w:t>-et les fonds de commerce (sous conditions)</w:t>
      </w:r>
    </w:p>
    <w:p w14:paraId="1F6D8A28" w14:textId="77777777" w:rsidR="006B33F3" w:rsidRDefault="006B33F3" w:rsidP="006B33F3">
      <w:pPr>
        <w:pStyle w:val="NormalWeb"/>
        <w:spacing w:before="0" w:beforeAutospacing="0" w:after="160" w:afterAutospacing="0"/>
      </w:pPr>
      <w:r>
        <w:rPr>
          <w:rFonts w:ascii="Calibri" w:hAnsi="Calibri" w:cs="Calibri"/>
          <w:color w:val="000000"/>
          <w:sz w:val="22"/>
          <w:szCs w:val="22"/>
        </w:rPr>
        <w:t>Enfin les immobilisations financières  ne sont pas amortissables. Elles peuvent toutefois faire l’objet d’une appréciation (estihlèk) </w:t>
      </w:r>
    </w:p>
    <w:p w14:paraId="4859D415" w14:textId="77777777" w:rsidR="006B33F3" w:rsidRDefault="006B33F3" w:rsidP="006B33F3">
      <w:pPr>
        <w:pStyle w:val="NormalWeb"/>
        <w:pBdr>
          <w:bottom w:val="single" w:sz="6" w:space="1" w:color="000000"/>
        </w:pBdr>
        <w:spacing w:before="0" w:beforeAutospacing="0" w:after="160" w:afterAutospacing="0"/>
      </w:pPr>
      <w:r>
        <w:rPr>
          <w:rFonts w:ascii="Calibri" w:hAnsi="Calibri" w:cs="Calibri"/>
          <w:color w:val="2E75B5"/>
          <w:sz w:val="22"/>
          <w:szCs w:val="22"/>
          <w:u w:val="single"/>
        </w:rPr>
        <w:lastRenderedPageBreak/>
        <w:t>Provision d’exploitation</w:t>
      </w:r>
      <w:r>
        <w:rPr>
          <w:rFonts w:ascii="Calibri" w:hAnsi="Calibri" w:cs="Calibri"/>
          <w:color w:val="2E75B5"/>
          <w:sz w:val="22"/>
          <w:szCs w:val="22"/>
        </w:rPr>
        <w:t> :</w:t>
      </w:r>
      <w:r>
        <w:rPr>
          <w:rFonts w:ascii="Calibri" w:hAnsi="Calibri" w:cs="Calibri"/>
          <w:color w:val="000000"/>
          <w:sz w:val="22"/>
          <w:szCs w:val="22"/>
        </w:rPr>
        <w:t xml:space="preserve"> ces risques peuvent par exemple concerner la défaillance d’un client (créances irrécouvrable) ou encore la perte de valeur d’un stock (actif circulant) dont la valeur de réalisation nette diminue</w:t>
      </w:r>
    </w:p>
    <w:p w14:paraId="392A0245" w14:textId="77777777" w:rsidR="006B33F3" w:rsidRDefault="006B33F3" w:rsidP="006B33F3">
      <w:pPr>
        <w:pStyle w:val="NormalWeb"/>
        <w:spacing w:before="0" w:beforeAutospacing="0" w:after="160" w:afterAutospacing="0"/>
      </w:pPr>
      <w:r>
        <w:rPr>
          <w:rFonts w:ascii="Calibri" w:hAnsi="Calibri" w:cs="Calibri"/>
          <w:b/>
          <w:bCs/>
          <w:color w:val="FF0000"/>
          <w:sz w:val="22"/>
          <w:szCs w:val="22"/>
        </w:rPr>
        <w:t>Les charges financières </w:t>
      </w:r>
    </w:p>
    <w:p w14:paraId="1BA5E656" w14:textId="77777777" w:rsidR="006B33F3" w:rsidRDefault="006B33F3" w:rsidP="006B33F3">
      <w:pPr>
        <w:pStyle w:val="NormalWeb"/>
        <w:spacing w:before="0" w:beforeAutospacing="0" w:after="160" w:afterAutospacing="0"/>
      </w:pPr>
      <w:r>
        <w:rPr>
          <w:rFonts w:ascii="Calibri" w:hAnsi="Calibri" w:cs="Calibri"/>
          <w:color w:val="000000"/>
          <w:sz w:val="22"/>
          <w:szCs w:val="22"/>
        </w:rPr>
        <w:t>Correspond aux couts qui sont supportés par l’entreprise pour financer son fonctionnement</w:t>
      </w:r>
    </w:p>
    <w:p w14:paraId="46823FD8" w14:textId="77777777" w:rsidR="006B33F3" w:rsidRDefault="006B33F3" w:rsidP="006B33F3">
      <w:pPr>
        <w:pStyle w:val="NormalWeb"/>
        <w:spacing w:before="0" w:beforeAutospacing="0" w:after="160" w:afterAutospacing="0"/>
      </w:pPr>
      <w:r>
        <w:rPr>
          <w:rFonts w:ascii="Calibri" w:hAnsi="Calibri" w:cs="Calibri"/>
          <w:color w:val="000000"/>
          <w:sz w:val="22"/>
          <w:szCs w:val="22"/>
        </w:rPr>
        <w:t>On trouve :</w:t>
      </w:r>
    </w:p>
    <w:p w14:paraId="0DD809B4" w14:textId="77777777" w:rsidR="006B33F3" w:rsidRDefault="006B33F3" w:rsidP="006B33F3">
      <w:pPr>
        <w:pStyle w:val="NormalWeb"/>
        <w:spacing w:before="0" w:beforeAutospacing="0" w:after="160" w:afterAutospacing="0"/>
      </w:pPr>
      <w:r>
        <w:rPr>
          <w:rFonts w:ascii="Calibri" w:hAnsi="Calibri" w:cs="Calibri"/>
          <w:color w:val="000000"/>
          <w:sz w:val="22"/>
          <w:szCs w:val="22"/>
        </w:rPr>
        <w:t>-les intérêts d’emprunts et des autres dettes financières (comme les comptes courants d’associés)</w:t>
      </w:r>
    </w:p>
    <w:p w14:paraId="33F8F5C4" w14:textId="77777777" w:rsidR="006B33F3" w:rsidRDefault="006B33F3" w:rsidP="006B33F3">
      <w:pPr>
        <w:pStyle w:val="NormalWeb"/>
        <w:spacing w:before="0" w:beforeAutospacing="0" w:after="160" w:afterAutospacing="0"/>
      </w:pPr>
      <w:r>
        <w:rPr>
          <w:rFonts w:ascii="Calibri" w:hAnsi="Calibri" w:cs="Calibri"/>
          <w:color w:val="000000"/>
          <w:sz w:val="22"/>
          <w:szCs w:val="22"/>
        </w:rPr>
        <w:t>-les intérêts relatifs aux découverts bancaires</w:t>
      </w:r>
    </w:p>
    <w:p w14:paraId="70F91C98" w14:textId="77777777" w:rsidR="006B33F3" w:rsidRDefault="006B33F3" w:rsidP="006B33F3">
      <w:pPr>
        <w:pStyle w:val="NormalWeb"/>
        <w:spacing w:before="0" w:beforeAutospacing="0" w:after="160" w:afterAutospacing="0"/>
      </w:pPr>
      <w:r>
        <w:rPr>
          <w:rFonts w:ascii="Calibri" w:hAnsi="Calibri" w:cs="Calibri"/>
          <w:color w:val="000000"/>
          <w:sz w:val="22"/>
          <w:szCs w:val="22"/>
        </w:rPr>
        <w:t>-les pertes de change pour les entreprises qui réalisent des opérations en devises</w:t>
      </w:r>
    </w:p>
    <w:p w14:paraId="1FCADC7F" w14:textId="77777777" w:rsidR="006B33F3" w:rsidRDefault="006B33F3" w:rsidP="006B33F3">
      <w:pPr>
        <w:pStyle w:val="NormalWeb"/>
        <w:spacing w:before="0" w:beforeAutospacing="0" w:after="160" w:afterAutospacing="0"/>
      </w:pPr>
      <w:r>
        <w:rPr>
          <w:rFonts w:ascii="Calibri" w:hAnsi="Calibri" w:cs="Calibri"/>
          <w:color w:val="000000"/>
          <w:sz w:val="22"/>
          <w:szCs w:val="22"/>
        </w:rPr>
        <w:t>-les escomptes accordés aux clients</w:t>
      </w:r>
    </w:p>
    <w:p w14:paraId="4479AF8E" w14:textId="77777777" w:rsidR="006B33F3" w:rsidRDefault="006B33F3" w:rsidP="006B33F3">
      <w:pPr>
        <w:pStyle w:val="NormalWeb"/>
        <w:spacing w:before="0" w:beforeAutospacing="0" w:after="160" w:afterAutospacing="0"/>
      </w:pPr>
      <w:r>
        <w:rPr>
          <w:rFonts w:ascii="Calibri" w:hAnsi="Calibri" w:cs="Calibri"/>
          <w:color w:val="000000"/>
          <w:sz w:val="22"/>
          <w:szCs w:val="22"/>
        </w:rPr>
        <w:t>On les soustrait des produits financiers pour obtenir le résultat financier, qui caractérise l’impact politique de financement de l’entreprise sur le résultat net.</w:t>
      </w:r>
    </w:p>
    <w:p w14:paraId="0B50B601" w14:textId="77777777" w:rsidR="006B33F3" w:rsidRDefault="006B33F3" w:rsidP="006B33F3">
      <w:pPr>
        <w:pStyle w:val="NormalWeb"/>
        <w:spacing w:before="0" w:beforeAutospacing="0" w:after="160" w:afterAutospacing="0"/>
      </w:pPr>
      <w:r>
        <w:rPr>
          <w:rFonts w:ascii="Calibri" w:hAnsi="Calibri" w:cs="Calibri"/>
          <w:b/>
          <w:bCs/>
          <w:color w:val="FF0000"/>
          <w:sz w:val="22"/>
          <w:szCs w:val="22"/>
        </w:rPr>
        <w:t>Les produits financiers</w:t>
      </w:r>
    </w:p>
    <w:p w14:paraId="3262E88E" w14:textId="77777777" w:rsidR="006B33F3" w:rsidRDefault="006B33F3" w:rsidP="006B33F3">
      <w:pPr>
        <w:pStyle w:val="NormalWeb"/>
        <w:spacing w:before="0" w:beforeAutospacing="0" w:after="160" w:afterAutospacing="0"/>
      </w:pPr>
      <w:r>
        <w:rPr>
          <w:rFonts w:ascii="Calibri" w:hAnsi="Calibri" w:cs="Calibri"/>
          <w:color w:val="000000"/>
          <w:sz w:val="22"/>
          <w:szCs w:val="22"/>
        </w:rPr>
        <w:t>- les dividendes (</w:t>
      </w:r>
      <w:r>
        <w:rPr>
          <w:rFonts w:ascii="Calibri" w:hAnsi="Calibri" w:cs="Calibri"/>
          <w:color w:val="000000"/>
          <w:sz w:val="22"/>
          <w:szCs w:val="22"/>
          <w:rtl/>
        </w:rPr>
        <w:t>أرباح</w:t>
      </w:r>
      <w:r>
        <w:rPr>
          <w:rFonts w:ascii="Calibri" w:hAnsi="Calibri" w:cs="Calibri"/>
          <w:color w:val="000000"/>
          <w:sz w:val="22"/>
          <w:szCs w:val="22"/>
        </w:rPr>
        <w:t>) reçus par l’entreprise et les autres revenus de titres immobilisés</w:t>
      </w:r>
    </w:p>
    <w:p w14:paraId="17805F2A" w14:textId="77777777" w:rsidR="006B33F3" w:rsidRDefault="006B33F3" w:rsidP="006B33F3">
      <w:pPr>
        <w:pStyle w:val="NormalWeb"/>
        <w:spacing w:before="0" w:beforeAutospacing="0" w:after="160" w:afterAutospacing="0"/>
      </w:pPr>
      <w:r>
        <w:rPr>
          <w:rFonts w:ascii="Calibri" w:hAnsi="Calibri" w:cs="Calibri"/>
          <w:color w:val="000000"/>
          <w:sz w:val="22"/>
          <w:szCs w:val="22"/>
        </w:rPr>
        <w:t>-les produits financiers liés aux autres créances </w:t>
      </w:r>
    </w:p>
    <w:p w14:paraId="32CF7DFD" w14:textId="77777777" w:rsidR="006B33F3" w:rsidRDefault="006B33F3" w:rsidP="006B33F3">
      <w:pPr>
        <w:pStyle w:val="NormalWeb"/>
        <w:spacing w:before="0" w:beforeAutospacing="0" w:after="160" w:afterAutospacing="0"/>
      </w:pPr>
      <w:r>
        <w:rPr>
          <w:rFonts w:ascii="Calibri" w:hAnsi="Calibri" w:cs="Calibri"/>
          <w:color w:val="000000"/>
          <w:sz w:val="22"/>
          <w:szCs w:val="22"/>
        </w:rPr>
        <w:t>-les escomptes (</w:t>
      </w:r>
      <w:r>
        <w:rPr>
          <w:rFonts w:ascii="Calibri" w:hAnsi="Calibri" w:cs="Calibri"/>
          <w:color w:val="000000"/>
          <w:sz w:val="22"/>
          <w:szCs w:val="22"/>
          <w:rtl/>
        </w:rPr>
        <w:t>الخصومات</w:t>
      </w:r>
      <w:r>
        <w:rPr>
          <w:rFonts w:ascii="Calibri" w:hAnsi="Calibri" w:cs="Calibri"/>
          <w:color w:val="000000"/>
          <w:sz w:val="22"/>
          <w:szCs w:val="22"/>
        </w:rPr>
        <w:t>) obtenus de la part des fournisseurs</w:t>
      </w:r>
    </w:p>
    <w:p w14:paraId="5D21216F" w14:textId="77777777" w:rsidR="006B33F3" w:rsidRDefault="006B33F3" w:rsidP="006B33F3">
      <w:pPr>
        <w:pStyle w:val="NormalWeb"/>
        <w:pBdr>
          <w:bottom w:val="single" w:sz="6" w:space="1" w:color="000000"/>
        </w:pBdr>
        <w:spacing w:before="0" w:beforeAutospacing="0" w:after="160" w:afterAutospacing="0"/>
      </w:pPr>
      <w:r>
        <w:rPr>
          <w:rFonts w:ascii="Calibri" w:hAnsi="Calibri" w:cs="Calibri"/>
          <w:color w:val="000000"/>
          <w:sz w:val="22"/>
          <w:szCs w:val="22"/>
        </w:rPr>
        <w:t>-les gains de change</w:t>
      </w:r>
    </w:p>
    <w:p w14:paraId="5B0C86F3" w14:textId="77777777" w:rsidR="006B33F3" w:rsidRDefault="006B33F3" w:rsidP="006B33F3">
      <w:pPr>
        <w:pStyle w:val="NormalWeb"/>
        <w:pBdr>
          <w:top w:val="single" w:sz="6" w:space="1" w:color="000000"/>
          <w:bottom w:val="single" w:sz="6" w:space="1" w:color="000000"/>
        </w:pBdr>
        <w:spacing w:before="0" w:beforeAutospacing="0" w:after="160" w:afterAutospacing="0"/>
      </w:pPr>
      <w:r>
        <w:rPr>
          <w:rFonts w:ascii="Calibri" w:hAnsi="Calibri" w:cs="Calibri"/>
          <w:color w:val="2E75B5"/>
          <w:sz w:val="22"/>
          <w:szCs w:val="22"/>
          <w:u w:val="single"/>
        </w:rPr>
        <w:t>Les intérêts d’escomptes :</w:t>
      </w:r>
      <w:r>
        <w:rPr>
          <w:rFonts w:ascii="Calibri" w:hAnsi="Calibri" w:cs="Calibri"/>
          <w:color w:val="2E75B5"/>
          <w:sz w:val="22"/>
          <w:szCs w:val="22"/>
        </w:rPr>
        <w:t xml:space="preserve"> </w:t>
      </w:r>
      <w:r>
        <w:rPr>
          <w:rFonts w:ascii="Calibri" w:hAnsi="Calibri" w:cs="Calibri"/>
          <w:color w:val="000000"/>
          <w:sz w:val="22"/>
          <w:szCs w:val="22"/>
        </w:rPr>
        <w:t>lorsqu’une entreprise possède des créances commerciales, elle peut avoir recours à l’escompte bancaire : c’est une opération par laquelle elle transmet la propriété de sa créance à sa banque qui, en retour, lui met à la disposition le montant de cette créance moins sa rémunération (intérêt)  </w:t>
      </w:r>
    </w:p>
    <w:p w14:paraId="0AA1FA23" w14:textId="77777777" w:rsidR="006B33F3" w:rsidRDefault="006B33F3" w:rsidP="006B33F3">
      <w:pPr>
        <w:pStyle w:val="NormalWeb"/>
        <w:spacing w:before="0" w:beforeAutospacing="0" w:after="160" w:afterAutospacing="0"/>
      </w:pPr>
      <w:r>
        <w:rPr>
          <w:rFonts w:ascii="Calibri" w:hAnsi="Calibri" w:cs="Calibri"/>
          <w:b/>
          <w:bCs/>
          <w:color w:val="FF0000"/>
          <w:sz w:val="22"/>
          <w:szCs w:val="22"/>
        </w:rPr>
        <w:t>Les charges exceptionnelles</w:t>
      </w:r>
      <w:r>
        <w:rPr>
          <w:rFonts w:ascii="Calibri" w:hAnsi="Calibri" w:cs="Calibri"/>
          <w:color w:val="000000"/>
          <w:sz w:val="22"/>
          <w:szCs w:val="22"/>
        </w:rPr>
        <w:t xml:space="preserve"> sont les charges qui ne correspond pas à la gestion courante ou financière de l’entreprise .Ces charges sont composent notamment de la valeur comptable des éléments d’actifs cédés, des pénalités des créances irrécouvrables, des rappels d’impôts et des subventions accordées par l’entreprise (</w:t>
      </w:r>
      <w:r>
        <w:rPr>
          <w:rFonts w:ascii="Arial" w:hAnsi="Arial" w:cs="Arial"/>
          <w:color w:val="000000"/>
          <w:sz w:val="21"/>
          <w:szCs w:val="21"/>
          <w:shd w:val="clear" w:color="auto" w:fill="FFFFFF"/>
          <w:rtl/>
        </w:rPr>
        <w:t>إعانة, منحة</w:t>
      </w:r>
      <w:r>
        <w:rPr>
          <w:rFonts w:ascii="Calibri" w:hAnsi="Calibri" w:cs="Calibri"/>
          <w:color w:val="000000"/>
          <w:sz w:val="22"/>
          <w:szCs w:val="22"/>
        </w:rPr>
        <w:t xml:space="preserve">/ </w:t>
      </w:r>
      <w:r>
        <w:rPr>
          <w:rFonts w:ascii="Calibri" w:hAnsi="Calibri" w:cs="Calibri"/>
          <w:color w:val="000000"/>
          <w:sz w:val="22"/>
          <w:szCs w:val="22"/>
          <w:rtl/>
        </w:rPr>
        <w:t>الدعم الذي تمنحه الشركة</w:t>
      </w:r>
      <w:r>
        <w:rPr>
          <w:rFonts w:ascii="Calibri" w:hAnsi="Calibri" w:cs="Calibri"/>
          <w:color w:val="000000"/>
          <w:sz w:val="22"/>
          <w:szCs w:val="22"/>
        </w:rPr>
        <w:t>)</w:t>
      </w:r>
    </w:p>
    <w:p w14:paraId="0305CCBD" w14:textId="77777777" w:rsidR="006B33F3" w:rsidRDefault="006B33F3" w:rsidP="006B33F3">
      <w:pPr>
        <w:pStyle w:val="NormalWeb"/>
        <w:spacing w:before="0" w:beforeAutospacing="0" w:after="160" w:afterAutospacing="0"/>
      </w:pPr>
      <w:r>
        <w:rPr>
          <w:rFonts w:ascii="Calibri" w:hAnsi="Calibri" w:cs="Calibri"/>
          <w:b/>
          <w:bCs/>
          <w:color w:val="FF0000"/>
          <w:sz w:val="22"/>
          <w:szCs w:val="22"/>
        </w:rPr>
        <w:t>Les produits exceptionnels </w:t>
      </w:r>
    </w:p>
    <w:p w14:paraId="108C0EBC" w14:textId="77777777" w:rsidR="006B33F3" w:rsidRDefault="006B33F3" w:rsidP="006B33F3">
      <w:pPr>
        <w:pStyle w:val="NormalWeb"/>
        <w:spacing w:before="0" w:beforeAutospacing="0" w:after="160" w:afterAutospacing="0"/>
      </w:pPr>
      <w:r>
        <w:rPr>
          <w:rFonts w:ascii="Calibri" w:hAnsi="Calibri" w:cs="Calibri"/>
          <w:color w:val="000000"/>
          <w:sz w:val="22"/>
          <w:szCs w:val="22"/>
        </w:rPr>
        <w:t>-cessions d’élément immobilisé </w:t>
      </w:r>
    </w:p>
    <w:p w14:paraId="681DEBE2" w14:textId="77777777" w:rsidR="006B33F3" w:rsidRDefault="006B33F3" w:rsidP="006B33F3">
      <w:pPr>
        <w:pStyle w:val="NormalWeb"/>
        <w:spacing w:before="0" w:beforeAutospacing="0" w:after="160" w:afterAutospacing="0"/>
      </w:pPr>
      <w:r>
        <w:rPr>
          <w:rFonts w:ascii="Calibri" w:hAnsi="Calibri" w:cs="Calibri"/>
          <w:color w:val="000000"/>
          <w:sz w:val="22"/>
          <w:szCs w:val="22"/>
        </w:rPr>
        <w:t>-des pénalités perçues</w:t>
      </w:r>
    </w:p>
    <w:p w14:paraId="5EEF26AD" w14:textId="77777777" w:rsidR="006B33F3" w:rsidRDefault="006B33F3" w:rsidP="006B33F3">
      <w:pPr>
        <w:pStyle w:val="NormalWeb"/>
        <w:spacing w:before="0" w:beforeAutospacing="0" w:after="160" w:afterAutospacing="0"/>
      </w:pPr>
      <w:r>
        <w:rPr>
          <w:rFonts w:ascii="Calibri" w:hAnsi="Calibri" w:cs="Calibri"/>
          <w:color w:val="000000"/>
          <w:sz w:val="22"/>
          <w:szCs w:val="22"/>
        </w:rPr>
        <w:t>-des subventions d’équilibre </w:t>
      </w:r>
    </w:p>
    <w:p w14:paraId="17AB9211" w14:textId="77777777" w:rsidR="006B33F3" w:rsidRDefault="006B33F3" w:rsidP="006B33F3">
      <w:pPr>
        <w:pStyle w:val="NormalWeb"/>
        <w:spacing w:before="0" w:beforeAutospacing="0" w:after="160" w:afterAutospacing="0"/>
      </w:pPr>
      <w:r>
        <w:rPr>
          <w:rFonts w:ascii="Calibri" w:hAnsi="Calibri" w:cs="Calibri"/>
          <w:color w:val="000000"/>
          <w:sz w:val="22"/>
          <w:szCs w:val="22"/>
        </w:rPr>
        <w:t>-dégrèvement d’impôts </w:t>
      </w:r>
    </w:p>
    <w:p w14:paraId="4D70E069" w14:textId="77777777" w:rsidR="00D950AF" w:rsidRDefault="00D950AF"/>
    <w:sectPr w:rsidR="00D950AF" w:rsidSect="00D95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F3"/>
    <w:rsid w:val="006B33F3"/>
    <w:rsid w:val="00D950AF"/>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6DC1"/>
  <w15:chartTrackingRefBased/>
  <w15:docId w15:val="{C4BFDE07-E43F-4DCF-8F3F-B4C5E611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3F3"/>
    <w:pPr>
      <w:spacing w:before="100" w:beforeAutospacing="1" w:after="100" w:afterAutospacing="1" w:line="240" w:lineRule="auto"/>
    </w:pPr>
    <w:rPr>
      <w:rFonts w:ascii="Times New Roman" w:eastAsia="Times New Roman" w:hAnsi="Times New Roman" w:cs="Times New Roman"/>
      <w:sz w:val="24"/>
      <w:szCs w:val="24"/>
      <w:lang w:eastAsia="fr-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28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abassi</dc:creator>
  <cp:keywords/>
  <dc:description/>
  <cp:lastModifiedBy>zahra abassi</cp:lastModifiedBy>
  <cp:revision>2</cp:revision>
  <dcterms:created xsi:type="dcterms:W3CDTF">2021-02-03T19:38:00Z</dcterms:created>
  <dcterms:modified xsi:type="dcterms:W3CDTF">2021-02-03T19:38:00Z</dcterms:modified>
</cp:coreProperties>
</file>