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A957C" w14:textId="41C979D0" w:rsidR="00F76646" w:rsidRPr="0007793D" w:rsidRDefault="00D61539">
      <w:pPr>
        <w:rPr>
          <w:rFonts w:ascii="Times New Roman" w:hAnsi="Times New Roman" w:cs="Times New Roman"/>
          <w:sz w:val="22"/>
        </w:rPr>
      </w:pPr>
      <w:r>
        <w:rPr>
          <w:rFonts w:ascii="Times New Roman" w:hAnsi="Times New Roman" w:cs="Times New Roman"/>
          <w:sz w:val="22"/>
        </w:rPr>
        <w:t>Hasan</w:t>
      </w:r>
      <w:r w:rsidR="00355E58">
        <w:rPr>
          <w:rFonts w:ascii="Times New Roman" w:hAnsi="Times New Roman" w:cs="Times New Roman"/>
          <w:sz w:val="22"/>
        </w:rPr>
        <w:t>’s projects</w:t>
      </w:r>
    </w:p>
    <w:p w14:paraId="52591152" w14:textId="3DFA4E9B" w:rsidR="00F76646" w:rsidRPr="0007793D" w:rsidRDefault="00F76646">
      <w:pPr>
        <w:rPr>
          <w:rFonts w:ascii="Times New Roman" w:hAnsi="Times New Roman" w:cs="Times New Roman"/>
          <w:sz w:val="22"/>
        </w:rPr>
      </w:pPr>
    </w:p>
    <w:p w14:paraId="46A665A7" w14:textId="4A6F37FE" w:rsidR="00F76646" w:rsidRPr="007E0356" w:rsidRDefault="007E0356" w:rsidP="007E0356">
      <w:pPr>
        <w:rPr>
          <w:rFonts w:ascii="Times New Roman" w:hAnsi="Times New Roman" w:cs="Times New Roman"/>
          <w:b/>
          <w:bCs/>
          <w:sz w:val="22"/>
        </w:rPr>
      </w:pPr>
      <w:r w:rsidRPr="007E0356">
        <w:rPr>
          <w:rFonts w:ascii="Times New Roman" w:hAnsi="Times New Roman" w:cs="Times New Roman"/>
          <w:b/>
          <w:bCs/>
          <w:sz w:val="22"/>
        </w:rPr>
        <w:t xml:space="preserve">Project A. </w:t>
      </w:r>
      <w:r w:rsidR="00F76646" w:rsidRPr="007E0356">
        <w:rPr>
          <w:rFonts w:ascii="Times New Roman" w:hAnsi="Times New Roman" w:cs="Times New Roman"/>
          <w:b/>
          <w:bCs/>
          <w:sz w:val="22"/>
        </w:rPr>
        <w:t>Projecting smoking rates and lung cancer incidence and mortality in Japan</w:t>
      </w:r>
    </w:p>
    <w:p w14:paraId="1D5EA422" w14:textId="77777777" w:rsidR="001A45EE" w:rsidRDefault="001A45EE" w:rsidP="0007793D">
      <w:pPr>
        <w:rPr>
          <w:rFonts w:ascii="Times New Roman" w:hAnsi="Times New Roman" w:cs="Times New Roman"/>
          <w:sz w:val="22"/>
        </w:rPr>
      </w:pPr>
    </w:p>
    <w:p w14:paraId="5EDD5D0C" w14:textId="11574BC1" w:rsidR="001A45EE" w:rsidRDefault="00FF0233" w:rsidP="0007793D">
      <w:pPr>
        <w:rPr>
          <w:rFonts w:ascii="Times New Roman" w:hAnsi="Times New Roman" w:cs="Times New Roman"/>
          <w:sz w:val="22"/>
        </w:rPr>
      </w:pPr>
      <w:r>
        <w:rPr>
          <w:rFonts w:ascii="Times New Roman" w:hAnsi="Times New Roman" w:cs="Times New Roman"/>
          <w:sz w:val="22"/>
        </w:rPr>
        <w:t>The o</w:t>
      </w:r>
      <w:r w:rsidR="001A45EE">
        <w:rPr>
          <w:rFonts w:ascii="Times New Roman" w:hAnsi="Times New Roman" w:cs="Times New Roman"/>
          <w:sz w:val="22"/>
        </w:rPr>
        <w:t xml:space="preserve">verall aim is to better understand the trends in lung cancer in Japan (as compared to those in other countries) and to estimate the impact of change in smoking prevalence on the future lung cancer trends in the Japanese population. </w:t>
      </w:r>
    </w:p>
    <w:p w14:paraId="3DF56929" w14:textId="77777777" w:rsidR="001A45EE" w:rsidRDefault="001A45EE" w:rsidP="0007793D">
      <w:pPr>
        <w:rPr>
          <w:rFonts w:ascii="Times New Roman" w:hAnsi="Times New Roman" w:cs="Times New Roman"/>
          <w:sz w:val="22"/>
        </w:rPr>
      </w:pPr>
    </w:p>
    <w:p w14:paraId="279BADA3" w14:textId="52CB5DE1" w:rsidR="0007793D" w:rsidRPr="0007793D" w:rsidRDefault="007E0356" w:rsidP="0007793D">
      <w:pPr>
        <w:rPr>
          <w:rFonts w:ascii="Times New Roman" w:hAnsi="Times New Roman" w:cs="Times New Roman" w:hint="eastAsia"/>
          <w:sz w:val="22"/>
        </w:rPr>
      </w:pPr>
      <w:r>
        <w:rPr>
          <w:rFonts w:ascii="Times New Roman" w:hAnsi="Times New Roman" w:cs="Times New Roman"/>
          <w:sz w:val="22"/>
        </w:rPr>
        <w:t>Step</w:t>
      </w:r>
      <w:r w:rsidR="0007793D" w:rsidRPr="0007793D">
        <w:rPr>
          <w:rFonts w:ascii="Times New Roman" w:hAnsi="Times New Roman" w:cs="Times New Roman"/>
          <w:sz w:val="22"/>
        </w:rPr>
        <w:t xml:space="preserve"> 1: </w:t>
      </w:r>
      <w:r w:rsidR="0007793D">
        <w:rPr>
          <w:rFonts w:ascii="Times New Roman" w:hAnsi="Times New Roman" w:cs="Times New Roman"/>
          <w:sz w:val="22"/>
        </w:rPr>
        <w:t>C</w:t>
      </w:r>
      <w:r w:rsidR="0007793D" w:rsidRPr="0007793D">
        <w:rPr>
          <w:rFonts w:ascii="Times New Roman" w:hAnsi="Times New Roman" w:cs="Times New Roman"/>
          <w:sz w:val="22"/>
        </w:rPr>
        <w:t>omparison of lung cancer</w:t>
      </w:r>
      <w:r w:rsidR="00BA27B6">
        <w:rPr>
          <w:rFonts w:ascii="Times New Roman" w:hAnsi="Times New Roman" w:cs="Times New Roman"/>
          <w:sz w:val="22"/>
        </w:rPr>
        <w:t xml:space="preserve"> </w:t>
      </w:r>
      <w:r w:rsidR="00BA27B6">
        <w:rPr>
          <w:rFonts w:ascii="Times New Roman" w:hAnsi="Times New Roman" w:cs="Times New Roman" w:hint="eastAsia"/>
          <w:sz w:val="22"/>
        </w:rPr>
        <w:t>(</w:t>
      </w:r>
      <w:r w:rsidR="00BA27B6" w:rsidRPr="00BA27B6">
        <w:rPr>
          <w:rFonts w:ascii="Times New Roman" w:hAnsi="Times New Roman" w:cs="Times New Roman"/>
          <w:sz w:val="22"/>
        </w:rPr>
        <w:t>ICD-10 C33-34</w:t>
      </w:r>
      <w:r w:rsidR="00BA27B6">
        <w:rPr>
          <w:rFonts w:ascii="Times New Roman" w:hAnsi="Times New Roman" w:cs="Times New Roman"/>
          <w:sz w:val="22"/>
        </w:rPr>
        <w:t>)</w:t>
      </w:r>
      <w:r w:rsidR="0007793D" w:rsidRPr="0007793D">
        <w:rPr>
          <w:rFonts w:ascii="Times New Roman" w:hAnsi="Times New Roman" w:cs="Times New Roman"/>
          <w:sz w:val="22"/>
        </w:rPr>
        <w:t xml:space="preserve"> incidence and mortality trends </w:t>
      </w:r>
      <w:r>
        <w:rPr>
          <w:rFonts w:ascii="Times New Roman" w:hAnsi="Times New Roman" w:cs="Times New Roman"/>
          <w:sz w:val="22"/>
        </w:rPr>
        <w:t xml:space="preserve">(past and future) </w:t>
      </w:r>
      <w:r w:rsidR="0007793D" w:rsidRPr="0007793D">
        <w:rPr>
          <w:rFonts w:ascii="Times New Roman" w:hAnsi="Times New Roman" w:cs="Times New Roman"/>
          <w:sz w:val="22"/>
        </w:rPr>
        <w:t>across several countries</w:t>
      </w:r>
      <w:r>
        <w:rPr>
          <w:rFonts w:ascii="Times New Roman" w:hAnsi="Times New Roman" w:cs="Times New Roman"/>
          <w:sz w:val="22"/>
        </w:rPr>
        <w:t xml:space="preserve"> (e.g., please see below)</w:t>
      </w:r>
      <w:r w:rsidR="0007793D" w:rsidRPr="0007793D">
        <w:rPr>
          <w:rFonts w:ascii="Times New Roman" w:hAnsi="Times New Roman" w:cs="Times New Roman"/>
          <w:sz w:val="22"/>
        </w:rPr>
        <w:t xml:space="preserve"> including </w:t>
      </w:r>
      <w:proofErr w:type="gramStart"/>
      <w:r w:rsidR="0007793D" w:rsidRPr="0007793D">
        <w:rPr>
          <w:rFonts w:ascii="Times New Roman" w:hAnsi="Times New Roman" w:cs="Times New Roman"/>
          <w:sz w:val="22"/>
        </w:rPr>
        <w:t>Japan</w:t>
      </w:r>
      <w:proofErr w:type="gramEnd"/>
      <w:r w:rsidR="00BA27B6">
        <w:rPr>
          <w:rFonts w:ascii="Times New Roman" w:hAnsi="Times New Roman" w:cs="Times New Roman" w:hint="eastAsia"/>
          <w:sz w:val="22"/>
        </w:rPr>
        <w:t xml:space="preserve">　</w:t>
      </w:r>
    </w:p>
    <w:p w14:paraId="44FA5C7B" w14:textId="1B59224A" w:rsidR="0007793D" w:rsidRPr="0007793D" w:rsidRDefault="0007793D" w:rsidP="0007793D">
      <w:pPr>
        <w:rPr>
          <w:rFonts w:ascii="Times New Roman" w:hAnsi="Times New Roman" w:cs="Times New Roman"/>
          <w:sz w:val="22"/>
        </w:rPr>
      </w:pPr>
      <w:r w:rsidRPr="0007793D">
        <w:rPr>
          <w:rFonts w:ascii="Times New Roman" w:hAnsi="Times New Roman" w:cs="Times New Roman"/>
          <w:noProof/>
          <w:sz w:val="22"/>
        </w:rPr>
        <w:drawing>
          <wp:inline distT="0" distB="0" distL="0" distR="0" wp14:anchorId="45852256" wp14:editId="10F581E2">
            <wp:extent cx="5876925" cy="5400675"/>
            <wp:effectExtent l="0" t="0" r="9525" b="9525"/>
            <wp:docPr id="1" name="グラフ 1">
              <a:extLst xmlns:a="http://schemas.openxmlformats.org/drawingml/2006/main">
                <a:ext uri="{FF2B5EF4-FFF2-40B4-BE49-F238E27FC236}">
                  <a16:creationId xmlns:a16="http://schemas.microsoft.com/office/drawing/2014/main" id="{610ED93C-B082-4068-8FA4-959169610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9B5DBF" w14:textId="35846B95" w:rsidR="0007793D" w:rsidRPr="0007793D" w:rsidRDefault="0007793D" w:rsidP="0007793D">
      <w:pPr>
        <w:rPr>
          <w:rFonts w:ascii="Times New Roman" w:hAnsi="Times New Roman" w:cs="Times New Roman"/>
          <w:sz w:val="22"/>
        </w:rPr>
      </w:pPr>
    </w:p>
    <w:p w14:paraId="6F774DBE" w14:textId="3EB79419" w:rsidR="00BA27B6" w:rsidRDefault="001E41AF" w:rsidP="0007793D">
      <w:pPr>
        <w:rPr>
          <w:rFonts w:ascii="Times New Roman" w:hAnsi="Times New Roman" w:cs="Times New Roman"/>
          <w:sz w:val="22"/>
        </w:rPr>
      </w:pPr>
      <w:r>
        <w:rPr>
          <w:rFonts w:ascii="Times New Roman" w:hAnsi="Times New Roman" w:cs="Times New Roman"/>
          <w:sz w:val="22"/>
        </w:rPr>
        <w:t>Relevant</w:t>
      </w:r>
      <w:r w:rsidR="0007793D" w:rsidRPr="0007793D">
        <w:rPr>
          <w:rFonts w:ascii="Times New Roman" w:hAnsi="Times New Roman" w:cs="Times New Roman"/>
          <w:sz w:val="22"/>
        </w:rPr>
        <w:t xml:space="preserve"> publication</w:t>
      </w:r>
      <w:r w:rsidR="00BA27B6">
        <w:rPr>
          <w:rFonts w:ascii="Times New Roman" w:hAnsi="Times New Roman" w:cs="Times New Roman"/>
          <w:sz w:val="22"/>
        </w:rPr>
        <w:t>s</w:t>
      </w:r>
      <w:r w:rsidR="0007793D" w:rsidRPr="0007793D">
        <w:rPr>
          <w:rFonts w:ascii="Times New Roman" w:hAnsi="Times New Roman" w:cs="Times New Roman"/>
          <w:sz w:val="22"/>
        </w:rPr>
        <w:t xml:space="preserve">: </w:t>
      </w:r>
    </w:p>
    <w:p w14:paraId="6F698ADD" w14:textId="77777777" w:rsidR="00DF78D1" w:rsidRPr="001E41AF" w:rsidRDefault="00DF78D1" w:rsidP="0007793D">
      <w:pPr>
        <w:rPr>
          <w:rFonts w:ascii="Times New Roman" w:hAnsi="Times New Roman" w:cs="Times New Roman"/>
          <w:sz w:val="22"/>
        </w:rPr>
      </w:pPr>
      <w:r w:rsidRPr="001E41AF">
        <w:rPr>
          <w:rFonts w:ascii="Times New Roman" w:hAnsi="Times New Roman" w:cs="Times New Roman"/>
          <w:sz w:val="22"/>
        </w:rPr>
        <w:lastRenderedPageBreak/>
        <w:t xml:space="preserve">Nguyen PT, Katanoda K, Saito E, Hori M, Nakayama T, Matsuda T. Trends in lung cancer incidence by gender, histological </w:t>
      </w:r>
      <w:proofErr w:type="gramStart"/>
      <w:r w:rsidRPr="001E41AF">
        <w:rPr>
          <w:rFonts w:ascii="Times New Roman" w:hAnsi="Times New Roman" w:cs="Times New Roman"/>
          <w:sz w:val="22"/>
        </w:rPr>
        <w:t>type</w:t>
      </w:r>
      <w:proofErr w:type="gramEnd"/>
      <w:r w:rsidRPr="001E41AF">
        <w:rPr>
          <w:rFonts w:ascii="Times New Roman" w:hAnsi="Times New Roman" w:cs="Times New Roman"/>
          <w:sz w:val="22"/>
        </w:rPr>
        <w:t xml:space="preserve"> and stage at diagnosis in Japan, 1993 to 2015: A multiple imputation approach. Int J Cancer. 2022 Jul 1;151(1):20-32. doi: 10.1002/ijc.33962. Epub 2022 Feb 22. PMID: 35138642; PMCID: PMC9303961.</w:t>
      </w:r>
    </w:p>
    <w:p w14:paraId="2979422F" w14:textId="77777777" w:rsidR="00DF78D1" w:rsidRPr="001E41AF" w:rsidRDefault="00DF78D1" w:rsidP="0007793D">
      <w:pPr>
        <w:rPr>
          <w:rFonts w:ascii="Times New Roman" w:hAnsi="Times New Roman" w:cs="Times New Roman"/>
          <w:sz w:val="22"/>
        </w:rPr>
      </w:pPr>
    </w:p>
    <w:p w14:paraId="65E742BF" w14:textId="1D73681C" w:rsidR="00DF78D1" w:rsidRPr="001E41AF" w:rsidRDefault="00DF78D1" w:rsidP="0007793D">
      <w:pPr>
        <w:rPr>
          <w:rFonts w:ascii="Times New Roman" w:hAnsi="Times New Roman" w:cs="Times New Roman"/>
          <w:sz w:val="22"/>
        </w:rPr>
      </w:pPr>
      <w:r w:rsidRPr="001E41AF">
        <w:rPr>
          <w:rFonts w:ascii="Times New Roman" w:hAnsi="Times New Roman" w:cs="Times New Roman"/>
          <w:sz w:val="22"/>
        </w:rPr>
        <w:t>Luo G, Zhang Y, Etxeberria J, Arnold M, Cai X, Hao Y, Zou H. Projections of Lung Cancer Incidence by 2035 in 40 Countries Worldwide: Population-Based Study. JMIR Public Health Surveill. 2023 Feb 17;</w:t>
      </w:r>
      <w:proofErr w:type="gramStart"/>
      <w:r w:rsidRPr="001E41AF">
        <w:rPr>
          <w:rFonts w:ascii="Times New Roman" w:hAnsi="Times New Roman" w:cs="Times New Roman"/>
          <w:sz w:val="22"/>
        </w:rPr>
        <w:t>9:e</w:t>
      </w:r>
      <w:proofErr w:type="gramEnd"/>
      <w:r w:rsidRPr="001E41AF">
        <w:rPr>
          <w:rFonts w:ascii="Times New Roman" w:hAnsi="Times New Roman" w:cs="Times New Roman"/>
          <w:sz w:val="22"/>
        </w:rPr>
        <w:t>43651. doi: 10.2196/43651. PMID: 36800235; PMCID: PMC9984998.</w:t>
      </w:r>
    </w:p>
    <w:p w14:paraId="6F6DB836" w14:textId="77777777" w:rsidR="001E41AF" w:rsidRPr="0007793D" w:rsidRDefault="001E41AF" w:rsidP="0007793D">
      <w:pPr>
        <w:rPr>
          <w:rFonts w:ascii="Times New Roman" w:hAnsi="Times New Roman" w:cs="Times New Roman"/>
          <w:sz w:val="22"/>
        </w:rPr>
      </w:pPr>
    </w:p>
    <w:p w14:paraId="3F0A818F" w14:textId="5C8DB04A" w:rsidR="00BA27B6" w:rsidRDefault="00BA27B6" w:rsidP="0007793D">
      <w:pPr>
        <w:rPr>
          <w:rFonts w:ascii="Times New Roman" w:hAnsi="Times New Roman" w:cs="Times New Roman"/>
          <w:sz w:val="22"/>
        </w:rPr>
      </w:pPr>
      <w:r>
        <w:rPr>
          <w:rFonts w:ascii="Times New Roman" w:hAnsi="Times New Roman" w:cs="Times New Roman"/>
          <w:sz w:val="22"/>
        </w:rPr>
        <w:t>Data source</w:t>
      </w:r>
      <w:r w:rsidR="007E0356">
        <w:rPr>
          <w:rFonts w:ascii="Times New Roman" w:hAnsi="Times New Roman" w:cs="Times New Roman"/>
          <w:sz w:val="22"/>
        </w:rPr>
        <w:t>s</w:t>
      </w:r>
      <w:r>
        <w:rPr>
          <w:rFonts w:ascii="Times New Roman" w:hAnsi="Times New Roman" w:cs="Times New Roman"/>
          <w:sz w:val="22"/>
        </w:rPr>
        <w:t xml:space="preserve">: </w:t>
      </w:r>
    </w:p>
    <w:p w14:paraId="5C8205B4" w14:textId="59F0C061" w:rsidR="00BA27B6" w:rsidRDefault="00BA27B6" w:rsidP="0007793D">
      <w:pPr>
        <w:rPr>
          <w:rFonts w:ascii="Times New Roman" w:hAnsi="Times New Roman" w:cs="Times New Roman"/>
          <w:sz w:val="22"/>
        </w:rPr>
      </w:pPr>
      <w:r>
        <w:rPr>
          <w:rFonts w:ascii="Times New Roman" w:hAnsi="Times New Roman" w:cs="Times New Roman"/>
          <w:sz w:val="22"/>
        </w:rPr>
        <w:t xml:space="preserve">CI5plus database (cancer incidence) </w:t>
      </w:r>
      <w:hyperlink r:id="rId8" w:history="1">
        <w:r w:rsidRPr="009935F4">
          <w:rPr>
            <w:rStyle w:val="a4"/>
            <w:rFonts w:ascii="Times New Roman" w:hAnsi="Times New Roman" w:cs="Times New Roman"/>
            <w:sz w:val="22"/>
          </w:rPr>
          <w:t>https://gco.iarc.fr/overtime/en/database</w:t>
        </w:r>
      </w:hyperlink>
    </w:p>
    <w:p w14:paraId="47FACEA5" w14:textId="7E2E8684" w:rsidR="0007793D" w:rsidRDefault="00BA27B6" w:rsidP="0007793D">
      <w:pPr>
        <w:rPr>
          <w:rFonts w:ascii="Times New Roman" w:hAnsi="Times New Roman" w:cs="Times New Roman"/>
          <w:sz w:val="22"/>
        </w:rPr>
      </w:pPr>
      <w:r>
        <w:rPr>
          <w:rFonts w:ascii="Times New Roman" w:hAnsi="Times New Roman" w:cs="Times New Roman"/>
          <w:sz w:val="22"/>
        </w:rPr>
        <w:t xml:space="preserve">WHO Mortality Database (cancer mortality) </w:t>
      </w:r>
      <w:hyperlink r:id="rId9" w:history="1">
        <w:r w:rsidRPr="009935F4">
          <w:rPr>
            <w:rStyle w:val="a4"/>
            <w:rFonts w:ascii="Times New Roman" w:hAnsi="Times New Roman" w:cs="Times New Roman"/>
            <w:sz w:val="22"/>
          </w:rPr>
          <w:t>https://www.who.int/data/data-collection-tools/who-mortality-database</w:t>
        </w:r>
      </w:hyperlink>
      <w:r>
        <w:rPr>
          <w:rFonts w:ascii="Times New Roman" w:hAnsi="Times New Roman" w:cs="Times New Roman"/>
          <w:sz w:val="22"/>
        </w:rPr>
        <w:t xml:space="preserve"> </w:t>
      </w:r>
    </w:p>
    <w:p w14:paraId="04A90175" w14:textId="4C737F59" w:rsidR="00BA27B6" w:rsidRDefault="007E0356" w:rsidP="0007793D">
      <w:pPr>
        <w:rPr>
          <w:rFonts w:ascii="Times New Roman" w:hAnsi="Times New Roman" w:cs="Times New Roman"/>
          <w:sz w:val="22"/>
        </w:rPr>
      </w:pPr>
      <w:r>
        <w:rPr>
          <w:rFonts w:ascii="Times New Roman" w:hAnsi="Times New Roman" w:cs="Times New Roman"/>
          <w:sz w:val="22"/>
        </w:rPr>
        <w:t>Information about these databases</w:t>
      </w:r>
      <w:r w:rsidR="00BA27B6">
        <w:rPr>
          <w:rFonts w:ascii="Times New Roman" w:hAnsi="Times New Roman" w:cs="Times New Roman"/>
          <w:sz w:val="22"/>
        </w:rPr>
        <w:t xml:space="preserve">: </w:t>
      </w:r>
      <w:hyperlink r:id="rId10" w:history="1">
        <w:r w:rsidR="00BA27B6" w:rsidRPr="009935F4">
          <w:rPr>
            <w:rStyle w:val="a4"/>
            <w:rFonts w:ascii="Times New Roman" w:hAnsi="Times New Roman" w:cs="Times New Roman"/>
            <w:sz w:val="22"/>
          </w:rPr>
          <w:t>https://gco.iarc.fr/overtime/en/database</w:t>
        </w:r>
      </w:hyperlink>
      <w:r w:rsidR="00BA27B6">
        <w:rPr>
          <w:rFonts w:ascii="Times New Roman" w:hAnsi="Times New Roman" w:cs="Times New Roman"/>
          <w:sz w:val="22"/>
        </w:rPr>
        <w:t xml:space="preserve"> </w:t>
      </w:r>
    </w:p>
    <w:p w14:paraId="4C9F2D84" w14:textId="77777777" w:rsidR="007E0356" w:rsidRPr="007E0356" w:rsidRDefault="007E0356" w:rsidP="0007793D">
      <w:pPr>
        <w:rPr>
          <w:rFonts w:ascii="Times New Roman" w:hAnsi="Times New Roman" w:cs="Times New Roman" w:hint="eastAsia"/>
          <w:sz w:val="22"/>
        </w:rPr>
      </w:pPr>
    </w:p>
    <w:p w14:paraId="4962B118" w14:textId="17CD248A" w:rsidR="00016F30" w:rsidRDefault="00016F30" w:rsidP="0007793D">
      <w:pPr>
        <w:rPr>
          <w:rFonts w:ascii="Times New Roman" w:hAnsi="Times New Roman" w:cs="Times New Roman"/>
          <w:sz w:val="22"/>
        </w:rPr>
      </w:pPr>
      <w:r>
        <w:rPr>
          <w:rFonts w:ascii="Times New Roman" w:hAnsi="Times New Roman" w:cs="Times New Roman"/>
          <w:sz w:val="22"/>
        </w:rPr>
        <w:t>Step 2</w:t>
      </w:r>
      <w:r>
        <w:rPr>
          <w:rFonts w:ascii="Times New Roman" w:hAnsi="Times New Roman" w:cs="Times New Roman"/>
          <w:sz w:val="22"/>
        </w:rPr>
        <w:t xml:space="preserve">: Projection of lung cancer incidence and mortality </w:t>
      </w:r>
      <w:r w:rsidR="00D61539">
        <w:rPr>
          <w:rFonts w:ascii="Times New Roman" w:hAnsi="Times New Roman" w:cs="Times New Roman"/>
          <w:sz w:val="22"/>
        </w:rPr>
        <w:t xml:space="preserve">in Japan </w:t>
      </w:r>
      <w:r>
        <w:rPr>
          <w:rFonts w:ascii="Times New Roman" w:hAnsi="Times New Roman" w:cs="Times New Roman"/>
          <w:sz w:val="22"/>
        </w:rPr>
        <w:t xml:space="preserve">according to different scenarios determined by </w:t>
      </w:r>
      <w:r>
        <w:rPr>
          <w:rFonts w:ascii="Times New Roman" w:hAnsi="Times New Roman" w:cs="Times New Roman"/>
          <w:sz w:val="22"/>
        </w:rPr>
        <w:t xml:space="preserve">change in </w:t>
      </w:r>
      <w:r>
        <w:rPr>
          <w:rFonts w:ascii="Times New Roman" w:hAnsi="Times New Roman" w:cs="Times New Roman"/>
          <w:sz w:val="22"/>
        </w:rPr>
        <w:t xml:space="preserve">smoking </w:t>
      </w:r>
      <w:r>
        <w:rPr>
          <w:rFonts w:ascii="Times New Roman" w:hAnsi="Times New Roman" w:cs="Times New Roman"/>
          <w:sz w:val="22"/>
        </w:rPr>
        <w:t>prevalence</w:t>
      </w:r>
      <w:r>
        <w:rPr>
          <w:rFonts w:ascii="Times New Roman" w:hAnsi="Times New Roman" w:cs="Times New Roman"/>
          <w:sz w:val="22"/>
        </w:rPr>
        <w:t xml:space="preserve"> (i.e., if we reach a smoking prevalence of 10% in men by 2030, how many lung cancer deaths can we prevent</w:t>
      </w:r>
      <w:r>
        <w:rPr>
          <w:rFonts w:ascii="Times New Roman" w:hAnsi="Times New Roman" w:cs="Times New Roman"/>
          <w:sz w:val="22"/>
        </w:rPr>
        <w:t xml:space="preserve"> by 2030</w:t>
      </w:r>
      <w:r>
        <w:rPr>
          <w:rFonts w:ascii="Times New Roman" w:hAnsi="Times New Roman" w:cs="Times New Roman"/>
          <w:sz w:val="22"/>
        </w:rPr>
        <w:t>?)</w:t>
      </w:r>
      <w:r w:rsidR="00D61539">
        <w:rPr>
          <w:rFonts w:ascii="Times New Roman" w:hAnsi="Times New Roman" w:cs="Times New Roman" w:hint="eastAsia"/>
          <w:sz w:val="22"/>
        </w:rPr>
        <w:t xml:space="preserve"> </w:t>
      </w:r>
    </w:p>
    <w:p w14:paraId="33FF7430" w14:textId="18534D89" w:rsidR="008D5CB9" w:rsidRDefault="008D5CB9" w:rsidP="008D5CB9">
      <w:pPr>
        <w:jc w:val="left"/>
        <w:rPr>
          <w:rFonts w:ascii="Times New Roman" w:hAnsi="Times New Roman" w:cs="Times New Roman" w:hint="eastAsia"/>
          <w:sz w:val="22"/>
        </w:rPr>
      </w:pPr>
      <w:r>
        <w:rPr>
          <w:rFonts w:ascii="Times New Roman" w:hAnsi="Times New Roman" w:cs="Times New Roman" w:hint="eastAsia"/>
          <w:sz w:val="22"/>
        </w:rPr>
        <w:t>P</w:t>
      </w:r>
      <w:r>
        <w:rPr>
          <w:rFonts w:ascii="Times New Roman" w:hAnsi="Times New Roman" w:cs="Times New Roman"/>
          <w:sz w:val="22"/>
        </w:rPr>
        <w:t xml:space="preserve">ossibly, we can investigate this by prefecture as well (if we think it is valuable/informative) </w:t>
      </w:r>
    </w:p>
    <w:p w14:paraId="77D02704" w14:textId="77777777" w:rsidR="00016F30" w:rsidRPr="00016F30" w:rsidRDefault="00016F30" w:rsidP="0007793D">
      <w:pPr>
        <w:rPr>
          <w:rFonts w:ascii="Times New Roman" w:hAnsi="Times New Roman" w:cs="Times New Roman" w:hint="eastAsia"/>
          <w:sz w:val="22"/>
        </w:rPr>
      </w:pPr>
    </w:p>
    <w:p w14:paraId="2BC4476A" w14:textId="23F480C1" w:rsidR="007E0356" w:rsidRDefault="007E0356" w:rsidP="0007793D">
      <w:pPr>
        <w:rPr>
          <w:rFonts w:ascii="Times New Roman" w:hAnsi="Times New Roman" w:cs="Times New Roman"/>
          <w:sz w:val="22"/>
        </w:rPr>
      </w:pPr>
      <w:r>
        <w:rPr>
          <w:rFonts w:ascii="Times New Roman" w:hAnsi="Times New Roman" w:cs="Times New Roman"/>
          <w:sz w:val="22"/>
        </w:rPr>
        <w:t>Relevant publication:</w:t>
      </w:r>
    </w:p>
    <w:p w14:paraId="50FF8B1A" w14:textId="32C7884A" w:rsidR="007E0356" w:rsidRDefault="007E0356" w:rsidP="0007793D">
      <w:pPr>
        <w:rPr>
          <w:rFonts w:ascii="Times New Roman" w:hAnsi="Times New Roman" w:cs="Times New Roman"/>
          <w:sz w:val="22"/>
        </w:rPr>
      </w:pPr>
      <w:r w:rsidRPr="007E0356">
        <w:rPr>
          <w:rFonts w:ascii="Times New Roman" w:hAnsi="Times New Roman" w:cs="Times New Roman"/>
          <w:sz w:val="22"/>
        </w:rPr>
        <w:t xml:space="preserve">Yang SL, Togawa K, Gilmour S, Leon ME, Soerjomataram I, Katanoda K. Projecting the impact of implementation of WHO MPOWER measures on smoking prevalence and mortality in Japan. Tob Control. 2022 Sep </w:t>
      </w:r>
      <w:proofErr w:type="gramStart"/>
      <w:r w:rsidRPr="007E0356">
        <w:rPr>
          <w:rFonts w:ascii="Times New Roman" w:hAnsi="Times New Roman" w:cs="Times New Roman"/>
          <w:sz w:val="22"/>
        </w:rPr>
        <w:t>13:tobaccocontrol</w:t>
      </w:r>
      <w:proofErr w:type="gramEnd"/>
      <w:r w:rsidRPr="007E0356">
        <w:rPr>
          <w:rFonts w:ascii="Times New Roman" w:hAnsi="Times New Roman" w:cs="Times New Roman"/>
          <w:sz w:val="22"/>
        </w:rPr>
        <w:t>-2022-057262. doi: 10.1136/tc-2022-057262. Epub ahead of print. PMID: 36100264.</w:t>
      </w:r>
    </w:p>
    <w:p w14:paraId="7FAA45E6" w14:textId="77777777" w:rsidR="00016F30" w:rsidRDefault="00016F30" w:rsidP="0007793D">
      <w:pPr>
        <w:rPr>
          <w:rFonts w:ascii="Times New Roman" w:hAnsi="Times New Roman" w:cs="Times New Roman"/>
          <w:sz w:val="22"/>
        </w:rPr>
      </w:pPr>
    </w:p>
    <w:p w14:paraId="0B1B9490" w14:textId="39DDCB01" w:rsidR="007E0356" w:rsidRDefault="007E0356" w:rsidP="0007793D">
      <w:pPr>
        <w:rPr>
          <w:rFonts w:ascii="Times New Roman" w:hAnsi="Times New Roman" w:cs="Times New Roman"/>
          <w:sz w:val="22"/>
        </w:rPr>
      </w:pPr>
      <w:r>
        <w:rPr>
          <w:rFonts w:ascii="Times New Roman" w:hAnsi="Times New Roman" w:cs="Times New Roman"/>
          <w:sz w:val="22"/>
        </w:rPr>
        <w:t>Data source</w:t>
      </w:r>
      <w:r w:rsidR="008D5CB9">
        <w:rPr>
          <w:rFonts w:ascii="Times New Roman" w:hAnsi="Times New Roman" w:cs="Times New Roman"/>
          <w:sz w:val="22"/>
        </w:rPr>
        <w:t>s</w:t>
      </w:r>
      <w:r>
        <w:rPr>
          <w:rFonts w:ascii="Times New Roman" w:hAnsi="Times New Roman" w:cs="Times New Roman"/>
          <w:sz w:val="22"/>
        </w:rPr>
        <w:t>:</w:t>
      </w:r>
    </w:p>
    <w:p w14:paraId="23606ECB" w14:textId="77777777" w:rsidR="007E0356" w:rsidRDefault="007E0356" w:rsidP="007E0356">
      <w:pPr>
        <w:jc w:val="left"/>
        <w:rPr>
          <w:rFonts w:ascii="Times New Roman" w:hAnsi="Times New Roman" w:cs="Times New Roman"/>
          <w:sz w:val="22"/>
        </w:rPr>
      </w:pPr>
      <w:r>
        <w:rPr>
          <w:rFonts w:ascii="Times New Roman" w:hAnsi="Times New Roman" w:cs="Times New Roman"/>
          <w:sz w:val="22"/>
        </w:rPr>
        <w:t xml:space="preserve">Smoking prevalence in Japanese adults </w:t>
      </w:r>
      <w:hyperlink r:id="rId11" w:history="1">
        <w:r w:rsidRPr="009935F4">
          <w:rPr>
            <w:rStyle w:val="a4"/>
            <w:rFonts w:ascii="Times New Roman" w:hAnsi="Times New Roman" w:cs="Times New Roman"/>
            <w:sz w:val="22"/>
          </w:rPr>
          <w:t>https://www.health-net.or.jp/tobacco/statistics/kokumin_kenkou_eiyou_report.html</w:t>
        </w:r>
      </w:hyperlink>
    </w:p>
    <w:p w14:paraId="2321C05D" w14:textId="77777777" w:rsidR="008D5CB9" w:rsidRDefault="008D5CB9" w:rsidP="0007793D">
      <w:pPr>
        <w:rPr>
          <w:rFonts w:ascii="Times New Roman" w:hAnsi="Times New Roman" w:cs="Times New Roman"/>
          <w:sz w:val="22"/>
        </w:rPr>
      </w:pPr>
    </w:p>
    <w:p w14:paraId="6AD896C8" w14:textId="31719D95" w:rsidR="007E0356" w:rsidRPr="007E0356" w:rsidRDefault="008D5CB9" w:rsidP="0007793D">
      <w:pPr>
        <w:rPr>
          <w:rFonts w:ascii="Times New Roman" w:hAnsi="Times New Roman" w:cs="Times New Roman" w:hint="eastAsia"/>
          <w:sz w:val="22"/>
        </w:rPr>
      </w:pPr>
      <w:r>
        <w:rPr>
          <w:rFonts w:ascii="Times New Roman" w:hAnsi="Times New Roman" w:cs="Times New Roman"/>
          <w:sz w:val="22"/>
        </w:rPr>
        <w:t xml:space="preserve">NCC’s ganjoho service: </w:t>
      </w:r>
      <w:hyperlink r:id="rId12" w:history="1">
        <w:r w:rsidR="00FF0233" w:rsidRPr="009935F4">
          <w:rPr>
            <w:rStyle w:val="a4"/>
            <w:rFonts w:ascii="Times New Roman" w:hAnsi="Times New Roman" w:cs="Times New Roman"/>
            <w:sz w:val="22"/>
          </w:rPr>
          <w:t>https://ganjoho.jp/reg_stat/statistics/data/dl/en.html</w:t>
        </w:r>
      </w:hyperlink>
    </w:p>
    <w:p w14:paraId="6E35BFB4" w14:textId="77777777" w:rsidR="00B31F1D" w:rsidRPr="00CD3CA0" w:rsidRDefault="00B31F1D" w:rsidP="0007793D">
      <w:pPr>
        <w:rPr>
          <w:rFonts w:ascii="Times New Roman" w:hAnsi="Times New Roman" w:cs="Times New Roman"/>
          <w:sz w:val="22"/>
        </w:rPr>
      </w:pPr>
    </w:p>
    <w:p w14:paraId="0FC1C394" w14:textId="77777777" w:rsidR="00D61539" w:rsidRDefault="00D61539">
      <w:pPr>
        <w:widowControl/>
        <w:jc w:val="left"/>
        <w:rPr>
          <w:rFonts w:ascii="Times New Roman" w:hAnsi="Times New Roman" w:cs="Times New Roman"/>
          <w:b/>
          <w:bCs/>
          <w:sz w:val="22"/>
        </w:rPr>
      </w:pPr>
      <w:r>
        <w:rPr>
          <w:rFonts w:ascii="Times New Roman" w:hAnsi="Times New Roman" w:cs="Times New Roman"/>
          <w:b/>
          <w:bCs/>
          <w:sz w:val="22"/>
        </w:rPr>
        <w:br w:type="page"/>
      </w:r>
    </w:p>
    <w:p w14:paraId="451BBE88" w14:textId="33DC28D9" w:rsidR="001A45EE" w:rsidRDefault="00D61539" w:rsidP="00F76646">
      <w:pPr>
        <w:rPr>
          <w:rFonts w:ascii="Times New Roman" w:hAnsi="Times New Roman" w:cs="Times New Roman"/>
          <w:b/>
          <w:bCs/>
          <w:sz w:val="22"/>
        </w:rPr>
      </w:pPr>
      <w:r w:rsidRPr="00D61539">
        <w:rPr>
          <w:rFonts w:ascii="Times New Roman" w:hAnsi="Times New Roman" w:cs="Times New Roman"/>
          <w:b/>
          <w:bCs/>
          <w:sz w:val="22"/>
        </w:rPr>
        <w:lastRenderedPageBreak/>
        <w:t xml:space="preserve">Project B. </w:t>
      </w:r>
      <w:r w:rsidR="001A45EE">
        <w:rPr>
          <w:rFonts w:ascii="Times New Roman" w:hAnsi="Times New Roman" w:cs="Times New Roman"/>
          <w:b/>
          <w:bCs/>
          <w:sz w:val="22"/>
        </w:rPr>
        <w:t>Tobacco advertisement/promotion/sponsorship and perceptions and use of heated tobacco products</w:t>
      </w:r>
      <w:r w:rsidR="00944268">
        <w:rPr>
          <w:rFonts w:ascii="Times New Roman" w:hAnsi="Times New Roman" w:cs="Times New Roman"/>
          <w:b/>
          <w:bCs/>
          <w:sz w:val="22"/>
        </w:rPr>
        <w:t xml:space="preserve"> (HTP)</w:t>
      </w:r>
      <w:r w:rsidR="001A45EE">
        <w:rPr>
          <w:rFonts w:ascii="Times New Roman" w:hAnsi="Times New Roman" w:cs="Times New Roman"/>
          <w:b/>
          <w:bCs/>
          <w:sz w:val="22"/>
        </w:rPr>
        <w:t xml:space="preserve"> in Japanese youths</w:t>
      </w:r>
    </w:p>
    <w:p w14:paraId="53BA0781" w14:textId="5CFE26B4" w:rsidR="001A45EE" w:rsidRPr="00944268" w:rsidRDefault="001A45EE" w:rsidP="00F76646">
      <w:pPr>
        <w:rPr>
          <w:rFonts w:ascii="Times New Roman" w:hAnsi="Times New Roman" w:cs="Times New Roman"/>
          <w:b/>
          <w:bCs/>
          <w:sz w:val="22"/>
        </w:rPr>
      </w:pPr>
    </w:p>
    <w:p w14:paraId="1D1FAE32" w14:textId="491FEF78" w:rsidR="008D5CB9" w:rsidRPr="008D5CB9" w:rsidRDefault="008D5CB9" w:rsidP="00F76646">
      <w:pPr>
        <w:rPr>
          <w:rFonts w:ascii="Times New Roman" w:hAnsi="Times New Roman" w:cs="Times New Roman"/>
          <w:sz w:val="22"/>
        </w:rPr>
      </w:pPr>
      <w:r w:rsidRPr="008D5CB9">
        <w:rPr>
          <w:rFonts w:ascii="Times New Roman" w:hAnsi="Times New Roman" w:cs="Times New Roman"/>
          <w:sz w:val="22"/>
        </w:rPr>
        <w:t xml:space="preserve">The overall aim is </w:t>
      </w:r>
      <w:r>
        <w:rPr>
          <w:rFonts w:ascii="Times New Roman" w:hAnsi="Times New Roman" w:cs="Times New Roman"/>
          <w:sz w:val="22"/>
        </w:rPr>
        <w:t xml:space="preserve">to </w:t>
      </w:r>
      <w:r w:rsidR="00944268">
        <w:rPr>
          <w:rFonts w:ascii="Times New Roman" w:hAnsi="Times New Roman" w:cs="Times New Roman"/>
          <w:sz w:val="22"/>
        </w:rPr>
        <w:t xml:space="preserve">investigate the impacts of TAPS on young people’s perceptions of HTP and interests in and actual use (including trials) of HTP in Japan. </w:t>
      </w:r>
    </w:p>
    <w:p w14:paraId="7E29D7C2" w14:textId="77777777" w:rsidR="008D5CB9" w:rsidRPr="00944268" w:rsidRDefault="008D5CB9" w:rsidP="00F76646">
      <w:pPr>
        <w:rPr>
          <w:rFonts w:ascii="Times New Roman" w:hAnsi="Times New Roman" w:cs="Times New Roman" w:hint="eastAsia"/>
          <w:b/>
          <w:bCs/>
          <w:sz w:val="22"/>
        </w:rPr>
      </w:pPr>
    </w:p>
    <w:p w14:paraId="0BE960D7" w14:textId="6932B338" w:rsidR="001A45EE" w:rsidRDefault="001A45EE" w:rsidP="00F76646">
      <w:pPr>
        <w:rPr>
          <w:rFonts w:ascii="Times New Roman" w:hAnsi="Times New Roman" w:cs="Times New Roman"/>
          <w:sz w:val="22"/>
        </w:rPr>
      </w:pPr>
      <w:r>
        <w:rPr>
          <w:rFonts w:ascii="Times New Roman" w:hAnsi="Times New Roman" w:cs="Times New Roman"/>
          <w:sz w:val="22"/>
        </w:rPr>
        <w:t>Step 1: literature review</w:t>
      </w:r>
    </w:p>
    <w:p w14:paraId="66E978B9" w14:textId="44DC7F59" w:rsidR="001A45EE" w:rsidRDefault="001A45EE" w:rsidP="00F76646">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tep 2: </w:t>
      </w:r>
      <w:r w:rsidR="00944268">
        <w:rPr>
          <w:rFonts w:ascii="Times New Roman" w:hAnsi="Times New Roman" w:cs="Times New Roman"/>
          <w:sz w:val="22"/>
        </w:rPr>
        <w:t xml:space="preserve">get familiar with the JASTIS study </w:t>
      </w:r>
      <w:proofErr w:type="gramStart"/>
      <w:r w:rsidR="00944268">
        <w:rPr>
          <w:rFonts w:ascii="Times New Roman" w:hAnsi="Times New Roman" w:cs="Times New Roman"/>
          <w:sz w:val="22"/>
        </w:rPr>
        <w:t>data</w:t>
      </w:r>
      <w:proofErr w:type="gramEnd"/>
    </w:p>
    <w:p w14:paraId="5A0E606F" w14:textId="5C31BCBF" w:rsidR="00944268" w:rsidRDefault="00944268" w:rsidP="00F76646">
      <w:pPr>
        <w:rPr>
          <w:rFonts w:ascii="Times New Roman" w:hAnsi="Times New Roman" w:cs="Times New Roman"/>
          <w:sz w:val="22"/>
        </w:rPr>
      </w:pPr>
      <w:r>
        <w:rPr>
          <w:rFonts w:ascii="Times New Roman" w:hAnsi="Times New Roman" w:cs="Times New Roman"/>
          <w:sz w:val="22"/>
        </w:rPr>
        <w:t xml:space="preserve">Step 3: develop analysis </w:t>
      </w:r>
      <w:proofErr w:type="gramStart"/>
      <w:r>
        <w:rPr>
          <w:rFonts w:ascii="Times New Roman" w:hAnsi="Times New Roman" w:cs="Times New Roman"/>
          <w:sz w:val="22"/>
        </w:rPr>
        <w:t>plans</w:t>
      </w:r>
      <w:proofErr w:type="gramEnd"/>
    </w:p>
    <w:p w14:paraId="7B22DA21" w14:textId="50685915" w:rsidR="00944268" w:rsidRDefault="00944268" w:rsidP="00F76646">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tep 4: data analysis (including sharing preliminary results)</w:t>
      </w:r>
    </w:p>
    <w:p w14:paraId="3154BEC3" w14:textId="61514576" w:rsidR="00944268" w:rsidRDefault="00944268" w:rsidP="00F76646">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tep 5</w:t>
      </w:r>
      <w:r>
        <w:rPr>
          <w:rFonts w:ascii="Times New Roman" w:hAnsi="Times New Roman" w:cs="Times New Roman" w:hint="eastAsia"/>
          <w:sz w:val="22"/>
        </w:rPr>
        <w:t>:</w:t>
      </w:r>
      <w:r>
        <w:rPr>
          <w:rFonts w:ascii="Times New Roman" w:hAnsi="Times New Roman" w:cs="Times New Roman"/>
          <w:sz w:val="22"/>
        </w:rPr>
        <w:t xml:space="preserve"> finalize the analysis and write a manuscript (it can be done in parallel) </w:t>
      </w:r>
    </w:p>
    <w:p w14:paraId="4B79324D" w14:textId="77777777" w:rsidR="001A45EE" w:rsidRPr="001A45EE" w:rsidRDefault="001A45EE" w:rsidP="00F76646">
      <w:pPr>
        <w:rPr>
          <w:rFonts w:ascii="Times New Roman" w:hAnsi="Times New Roman" w:cs="Times New Roman"/>
          <w:sz w:val="22"/>
        </w:rPr>
      </w:pPr>
    </w:p>
    <w:p w14:paraId="463F7056" w14:textId="0AC5722E" w:rsidR="001A45EE" w:rsidRDefault="001A45EE" w:rsidP="00F76646">
      <w:pPr>
        <w:rPr>
          <w:rFonts w:ascii="Times New Roman" w:hAnsi="Times New Roman" w:cs="Times New Roman"/>
          <w:b/>
          <w:bCs/>
          <w:sz w:val="22"/>
        </w:rPr>
      </w:pPr>
      <w:r>
        <w:rPr>
          <w:rFonts w:ascii="Times New Roman" w:hAnsi="Times New Roman" w:cs="Times New Roman"/>
          <w:b/>
          <w:bCs/>
          <w:sz w:val="22"/>
        </w:rPr>
        <w:t xml:space="preserve">Data source: </w:t>
      </w:r>
    </w:p>
    <w:p w14:paraId="048FCA1D" w14:textId="1F2D79B0" w:rsidR="00F76646" w:rsidRPr="001A45EE" w:rsidRDefault="00D61539" w:rsidP="00F76646">
      <w:pPr>
        <w:rPr>
          <w:rFonts w:ascii="Times New Roman" w:hAnsi="Times New Roman" w:cs="Times New Roman"/>
          <w:sz w:val="22"/>
        </w:rPr>
      </w:pPr>
      <w:r w:rsidRPr="001A45EE">
        <w:rPr>
          <w:rFonts w:ascii="Times New Roman" w:hAnsi="Times New Roman" w:cs="Times New Roman"/>
          <w:sz w:val="22"/>
        </w:rPr>
        <w:t>JASTIS Study</w:t>
      </w:r>
      <w:r w:rsidR="001A45EE">
        <w:rPr>
          <w:rFonts w:ascii="Times New Roman" w:hAnsi="Times New Roman" w:cs="Times New Roman"/>
          <w:sz w:val="22"/>
        </w:rPr>
        <w:t xml:space="preserve"> (a web-based cohort study) </w:t>
      </w:r>
    </w:p>
    <w:p w14:paraId="3D2294D6" w14:textId="229FF643" w:rsidR="001A45EE" w:rsidRDefault="001A45EE" w:rsidP="00F76646">
      <w:pPr>
        <w:rPr>
          <w:rFonts w:ascii="Times New Roman" w:hAnsi="Times New Roman" w:cs="Times New Roman"/>
          <w:sz w:val="22"/>
        </w:rPr>
      </w:pPr>
      <w:r>
        <w:rPr>
          <w:rFonts w:ascii="Times New Roman" w:hAnsi="Times New Roman" w:cs="Times New Roman"/>
          <w:sz w:val="22"/>
        </w:rPr>
        <w:t>2022 and 2023 surveys</w:t>
      </w:r>
    </w:p>
    <w:p w14:paraId="64692606" w14:textId="01A8A084" w:rsidR="001A45EE" w:rsidRPr="001A45EE" w:rsidRDefault="001A45EE" w:rsidP="00F76646">
      <w:pPr>
        <w:rPr>
          <w:rFonts w:ascii="Times New Roman" w:hAnsi="Times New Roman" w:cs="Times New Roman"/>
          <w:sz w:val="22"/>
        </w:rPr>
      </w:pPr>
      <w:r w:rsidRPr="001A45EE">
        <w:rPr>
          <w:rFonts w:ascii="Times New Roman" w:hAnsi="Times New Roman" w:cs="Times New Roman"/>
          <w:sz w:val="22"/>
        </w:rPr>
        <w:t xml:space="preserve"> </w:t>
      </w:r>
    </w:p>
    <w:sectPr w:rsidR="001A45EE" w:rsidRPr="001A45EE" w:rsidSect="009634AC">
      <w:headerReference w:type="default" r:id="rId13"/>
      <w:pgSz w:w="11906" w:h="16838" w:code="9"/>
      <w:pgMar w:top="1985" w:right="1701" w:bottom="1701" w:left="1701" w:header="851" w:footer="992" w:gutter="0"/>
      <w:paperSrc w:first="15" w:other="15"/>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520E7" w14:textId="77777777" w:rsidR="00D61539" w:rsidRDefault="00D61539" w:rsidP="00D61539">
      <w:r>
        <w:separator/>
      </w:r>
    </w:p>
  </w:endnote>
  <w:endnote w:type="continuationSeparator" w:id="0">
    <w:p w14:paraId="10A2D0FE" w14:textId="77777777" w:rsidR="00D61539" w:rsidRDefault="00D61539" w:rsidP="00D6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15E5" w14:textId="77777777" w:rsidR="00D61539" w:rsidRDefault="00D61539" w:rsidP="00D61539">
      <w:r>
        <w:separator/>
      </w:r>
    </w:p>
  </w:footnote>
  <w:footnote w:type="continuationSeparator" w:id="0">
    <w:p w14:paraId="6AAA2B8D" w14:textId="77777777" w:rsidR="00D61539" w:rsidRDefault="00D61539" w:rsidP="00D61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54BA" w14:textId="152DDDD2" w:rsidR="00D61539" w:rsidRDefault="00D61539">
    <w:pPr>
      <w:pStyle w:val="a7"/>
    </w:pPr>
    <w:r>
      <w:t>Version 1.</w:t>
    </w:r>
  </w:p>
  <w:p w14:paraId="1BA38421" w14:textId="297E4BE8" w:rsidR="00D61539" w:rsidRDefault="00D61539">
    <w:pPr>
      <w:pStyle w:val="a7"/>
    </w:pPr>
    <w:r>
      <w:rPr>
        <w:rFonts w:hint="eastAsia"/>
      </w:rPr>
      <w:t>D</w:t>
    </w:r>
    <w:r>
      <w:t>ate 2023/4/6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89A"/>
    <w:multiLevelType w:val="hybridMultilevel"/>
    <w:tmpl w:val="A2AAC476"/>
    <w:lvl w:ilvl="0" w:tplc="78D6229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0E2BC8"/>
    <w:multiLevelType w:val="hybridMultilevel"/>
    <w:tmpl w:val="8F485068"/>
    <w:lvl w:ilvl="0" w:tplc="D1DA29B0">
      <w:start w:val="1"/>
      <w:numFmt w:val="upperLetter"/>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9C92FF9"/>
    <w:multiLevelType w:val="hybridMultilevel"/>
    <w:tmpl w:val="46463E6E"/>
    <w:lvl w:ilvl="0" w:tplc="BD7A681A">
      <w:start w:val="1"/>
      <w:numFmt w:val="upperLetter"/>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82607E"/>
    <w:multiLevelType w:val="hybridMultilevel"/>
    <w:tmpl w:val="EB083B7E"/>
    <w:lvl w:ilvl="0" w:tplc="DF403F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40505661">
    <w:abstractNumId w:val="3"/>
  </w:num>
  <w:num w:numId="2" w16cid:durableId="1628000159">
    <w:abstractNumId w:val="0"/>
  </w:num>
  <w:num w:numId="3" w16cid:durableId="1568832709">
    <w:abstractNumId w:val="2"/>
  </w:num>
  <w:num w:numId="4" w16cid:durableId="1165778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46"/>
    <w:rsid w:val="00016F30"/>
    <w:rsid w:val="0007793D"/>
    <w:rsid w:val="001A45EE"/>
    <w:rsid w:val="001E41AF"/>
    <w:rsid w:val="00355E58"/>
    <w:rsid w:val="003B2FC0"/>
    <w:rsid w:val="0068725C"/>
    <w:rsid w:val="007E0356"/>
    <w:rsid w:val="008D5CB9"/>
    <w:rsid w:val="00914DA1"/>
    <w:rsid w:val="00944268"/>
    <w:rsid w:val="009634AC"/>
    <w:rsid w:val="00B31F1D"/>
    <w:rsid w:val="00BA27B6"/>
    <w:rsid w:val="00CD3CA0"/>
    <w:rsid w:val="00D61539"/>
    <w:rsid w:val="00DF78D1"/>
    <w:rsid w:val="00F76646"/>
    <w:rsid w:val="00FF0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717C3C"/>
  <w15:chartTrackingRefBased/>
  <w15:docId w15:val="{1B35B34B-6567-4F2A-BE31-D474EDB7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646"/>
    <w:pPr>
      <w:ind w:leftChars="400" w:left="840"/>
    </w:pPr>
  </w:style>
  <w:style w:type="character" w:styleId="a4">
    <w:name w:val="Hyperlink"/>
    <w:basedOn w:val="a0"/>
    <w:uiPriority w:val="99"/>
    <w:unhideWhenUsed/>
    <w:rsid w:val="0007793D"/>
    <w:rPr>
      <w:color w:val="0563C1" w:themeColor="hyperlink"/>
      <w:u w:val="single"/>
    </w:rPr>
  </w:style>
  <w:style w:type="character" w:styleId="a5">
    <w:name w:val="Unresolved Mention"/>
    <w:basedOn w:val="a0"/>
    <w:uiPriority w:val="99"/>
    <w:semiHidden/>
    <w:unhideWhenUsed/>
    <w:rsid w:val="0007793D"/>
    <w:rPr>
      <w:color w:val="605E5C"/>
      <w:shd w:val="clear" w:color="auto" w:fill="E1DFDD"/>
    </w:rPr>
  </w:style>
  <w:style w:type="character" w:styleId="a6">
    <w:name w:val="FollowedHyperlink"/>
    <w:basedOn w:val="a0"/>
    <w:uiPriority w:val="99"/>
    <w:semiHidden/>
    <w:unhideWhenUsed/>
    <w:rsid w:val="00DF78D1"/>
    <w:rPr>
      <w:color w:val="954F72" w:themeColor="followedHyperlink"/>
      <w:u w:val="single"/>
    </w:rPr>
  </w:style>
  <w:style w:type="paragraph" w:styleId="a7">
    <w:name w:val="header"/>
    <w:basedOn w:val="a"/>
    <w:link w:val="a8"/>
    <w:uiPriority w:val="99"/>
    <w:unhideWhenUsed/>
    <w:rsid w:val="00D61539"/>
    <w:pPr>
      <w:tabs>
        <w:tab w:val="center" w:pos="4252"/>
        <w:tab w:val="right" w:pos="8504"/>
      </w:tabs>
      <w:snapToGrid w:val="0"/>
    </w:pPr>
  </w:style>
  <w:style w:type="character" w:customStyle="1" w:styleId="a8">
    <w:name w:val="ヘッダー (文字)"/>
    <w:basedOn w:val="a0"/>
    <w:link w:val="a7"/>
    <w:uiPriority w:val="99"/>
    <w:rsid w:val="00D61539"/>
  </w:style>
  <w:style w:type="paragraph" w:styleId="a9">
    <w:name w:val="footer"/>
    <w:basedOn w:val="a"/>
    <w:link w:val="aa"/>
    <w:uiPriority w:val="99"/>
    <w:unhideWhenUsed/>
    <w:rsid w:val="00D61539"/>
    <w:pPr>
      <w:tabs>
        <w:tab w:val="center" w:pos="4252"/>
        <w:tab w:val="right" w:pos="8504"/>
      </w:tabs>
      <w:snapToGrid w:val="0"/>
    </w:pPr>
  </w:style>
  <w:style w:type="character" w:customStyle="1" w:styleId="aa">
    <w:name w:val="フッター (文字)"/>
    <w:basedOn w:val="a0"/>
    <w:link w:val="a9"/>
    <w:uiPriority w:val="99"/>
    <w:rsid w:val="00D6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iarc.fr/overtime/en/databas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ganjoho.jp/reg_stat/statistics/data/dl/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net.or.jp/tobacco/statistics/kokumin_kenkou_eiyou_repor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co.iarc.fr/overtime/en/database" TargetMode="External"/><Relationship Id="rId4" Type="http://schemas.openxmlformats.org/officeDocument/2006/relationships/webSettings" Target="webSettings.xml"/><Relationship Id="rId9" Type="http://schemas.openxmlformats.org/officeDocument/2006/relationships/hyperlink" Target="https://www.who.int/data/data-collection-tools/who-mortality-database"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ja-JP" sz="2400" b="0" i="0" u="none" strike="noStrike" kern="1200" spc="0" baseline="0">
                <a:solidFill>
                  <a:schemeClr val="tx1">
                    <a:lumMod val="65000"/>
                    <a:lumOff val="35000"/>
                  </a:schemeClr>
                </a:solidFill>
                <a:latin typeface="+mn-lt"/>
                <a:ea typeface="+mn-ea"/>
                <a:cs typeface="+mn-cs"/>
              </a:defRPr>
            </a:pPr>
            <a:r>
              <a:rPr lang="en-US" altLang="ja-JP" sz="2400" dirty="0"/>
              <a:t>Males</a:t>
            </a:r>
            <a:endParaRPr lang="ja-JP" altLang="en-US" sz="2400" dirty="0"/>
          </a:p>
        </c:rich>
      </c:tx>
      <c:layout>
        <c:manualLayout>
          <c:xMode val="edge"/>
          <c:yMode val="edge"/>
          <c:x val="0.46943843365709365"/>
          <c:y val="0"/>
        </c:manualLayout>
      </c:layout>
      <c:overlay val="0"/>
      <c:spPr>
        <a:noFill/>
        <a:ln>
          <a:noFill/>
        </a:ln>
        <a:effectLst/>
      </c:spPr>
      <c:txPr>
        <a:bodyPr rot="0" spcFirstLastPara="1" vertOverflow="ellipsis" vert="horz" wrap="square" anchor="ctr" anchorCtr="1"/>
        <a:lstStyle/>
        <a:p>
          <a:pPr>
            <a:defRPr lang="ja-JP" sz="2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4486158898040336"/>
          <c:y val="9.4810507843865077E-2"/>
          <c:w val="0.83112581927714368"/>
          <c:h val="0.81883374296125921"/>
        </c:manualLayout>
      </c:layout>
      <c:scatterChart>
        <c:scatterStyle val="lineMarker"/>
        <c:varyColors val="0"/>
        <c:ser>
          <c:idx val="0"/>
          <c:order val="0"/>
          <c:tx>
            <c:strRef>
              <c:f>Sheet1!$B$1</c:f>
              <c:strCache>
                <c:ptCount val="1"/>
                <c:pt idx="0">
                  <c:v>オーストラリア</c:v>
                </c:pt>
              </c:strCache>
            </c:strRef>
          </c:tx>
          <c:spPr>
            <a:ln w="28575" cap="rnd">
              <a:solidFill>
                <a:schemeClr val="bg1">
                  <a:lumMod val="50000"/>
                </a:schemeClr>
              </a:solidFill>
              <a:round/>
            </a:ln>
            <a:effectLst/>
          </c:spPr>
          <c:marker>
            <c:symbol val="none"/>
          </c:marker>
          <c:dLbls>
            <c:dLbl>
              <c:idx val="6"/>
              <c:layout>
                <c:manualLayout>
                  <c:x val="0.11569703294090987"/>
                  <c:y val="-0.10492733930943998"/>
                </c:manualLayout>
              </c:layout>
              <c:spPr>
                <a:noFill/>
                <a:ln>
                  <a:noFill/>
                </a:ln>
                <a:effectLst/>
              </c:spPr>
              <c:txPr>
                <a:bodyPr rot="0" spcFirstLastPara="1" vertOverflow="ellipsis" vert="horz" wrap="square" lIns="38100" tIns="19050" rIns="38100" bIns="19050" anchor="ctr" anchorCtr="1">
                  <a:noAutofit/>
                </a:bodyPr>
                <a:lstStyle/>
                <a:p>
                  <a:pPr>
                    <a:defRPr lang="ja-JP" sz="1800" b="0" i="0" u="none" strike="noStrike" kern="1200" baseline="0">
                      <a:solidFill>
                        <a:schemeClr val="bg1">
                          <a:lumMod val="50000"/>
                        </a:schemeClr>
                      </a:solidFill>
                      <a:latin typeface="+mn-lt"/>
                      <a:ea typeface="+mn-ea"/>
                      <a:cs typeface="+mn-cs"/>
                    </a:defRPr>
                  </a:pPr>
                  <a:endParaRPr lang="ja-JP"/>
                </a:p>
              </c:txPr>
              <c:showLegendKey val="0"/>
              <c:showVal val="0"/>
              <c:showCatName val="0"/>
              <c:showSerName val="1"/>
              <c:showPercent val="0"/>
              <c:showBubbleSize val="0"/>
              <c:extLst>
                <c:ext xmlns:c15="http://schemas.microsoft.com/office/drawing/2012/chart" uri="{CE6537A1-D6FC-4f65-9D91-7224C49458BB}">
                  <c15:layout>
                    <c:manualLayout>
                      <c:w val="0.30998072976621155"/>
                      <c:h val="6.2145113260852897E-2"/>
                    </c:manualLayout>
                  </c15:layout>
                </c:ext>
                <c:ext xmlns:c16="http://schemas.microsoft.com/office/drawing/2014/chart" uri="{C3380CC4-5D6E-409C-BE32-E72D297353CC}">
                  <c16:uniqueId val="{00000000-1F7B-4D08-B041-7AC388C3A0B8}"/>
                </c:ext>
              </c:extLst>
            </c:dLbl>
            <c:spPr>
              <a:noFill/>
              <a:ln>
                <a:noFill/>
              </a:ln>
              <a:effectLst/>
            </c:spPr>
            <c:txPr>
              <a:bodyPr rot="0" spcFirstLastPara="1" vertOverflow="ellipsis" vert="horz" wrap="square" lIns="38100" tIns="19050" rIns="38100" bIns="19050" anchor="ctr" anchorCtr="1">
                <a:spAutoFit/>
              </a:bodyPr>
              <a:lstStyle/>
              <a:p>
                <a:pPr>
                  <a:defRPr lang="ja-JP" sz="1197" b="0" i="0" u="none" strike="noStrike" kern="1200" baseline="0">
                    <a:solidFill>
                      <a:schemeClr val="bg1">
                        <a:lumMod val="50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Sheet1!$A$2:$A$70</c:f>
              <c:numCache>
                <c:formatCode>General</c:formatCode>
                <c:ptCount val="69"/>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numCache>
            </c:numRef>
          </c:xVal>
          <c:yVal>
            <c:numRef>
              <c:f>Sheet1!$B$2:$B$70</c:f>
              <c:numCache>
                <c:formatCode>General</c:formatCode>
                <c:ptCount val="69"/>
                <c:pt idx="0">
                  <c:v>13.9</c:v>
                </c:pt>
                <c:pt idx="1">
                  <c:v>14.8</c:v>
                </c:pt>
                <c:pt idx="2">
                  <c:v>17.2</c:v>
                </c:pt>
                <c:pt idx="3">
                  <c:v>18.2</c:v>
                </c:pt>
                <c:pt idx="4">
                  <c:v>19.100000000000001</c:v>
                </c:pt>
                <c:pt idx="5">
                  <c:v>20.7</c:v>
                </c:pt>
                <c:pt idx="6">
                  <c:v>22</c:v>
                </c:pt>
                <c:pt idx="7">
                  <c:v>23.9</c:v>
                </c:pt>
                <c:pt idx="8">
                  <c:v>23.8</c:v>
                </c:pt>
                <c:pt idx="9">
                  <c:v>26.1</c:v>
                </c:pt>
                <c:pt idx="10">
                  <c:v>27.1</c:v>
                </c:pt>
                <c:pt idx="11">
                  <c:v>29.8</c:v>
                </c:pt>
                <c:pt idx="12">
                  <c:v>32</c:v>
                </c:pt>
                <c:pt idx="13">
                  <c:v>33.1</c:v>
                </c:pt>
                <c:pt idx="14">
                  <c:v>35.200000000000003</c:v>
                </c:pt>
                <c:pt idx="15">
                  <c:v>35.5</c:v>
                </c:pt>
                <c:pt idx="16">
                  <c:v>37.9</c:v>
                </c:pt>
                <c:pt idx="17">
                  <c:v>39.1</c:v>
                </c:pt>
                <c:pt idx="18">
                  <c:v>40.299999999999997</c:v>
                </c:pt>
                <c:pt idx="19">
                  <c:v>41.5</c:v>
                </c:pt>
                <c:pt idx="20">
                  <c:v>42.4</c:v>
                </c:pt>
                <c:pt idx="21">
                  <c:v>43.4</c:v>
                </c:pt>
                <c:pt idx="22">
                  <c:v>43.5</c:v>
                </c:pt>
                <c:pt idx="23">
                  <c:v>44.2</c:v>
                </c:pt>
                <c:pt idx="24">
                  <c:v>46.4</c:v>
                </c:pt>
                <c:pt idx="25">
                  <c:v>46.6</c:v>
                </c:pt>
                <c:pt idx="26">
                  <c:v>47.8</c:v>
                </c:pt>
                <c:pt idx="27">
                  <c:v>46.5</c:v>
                </c:pt>
                <c:pt idx="28">
                  <c:v>47</c:v>
                </c:pt>
                <c:pt idx="29">
                  <c:v>47.5</c:v>
                </c:pt>
                <c:pt idx="30">
                  <c:v>49.8</c:v>
                </c:pt>
                <c:pt idx="31">
                  <c:v>49.2</c:v>
                </c:pt>
                <c:pt idx="32">
                  <c:v>49</c:v>
                </c:pt>
                <c:pt idx="33">
                  <c:v>48.3</c:v>
                </c:pt>
                <c:pt idx="34">
                  <c:v>48.1</c:v>
                </c:pt>
                <c:pt idx="35">
                  <c:v>47.5</c:v>
                </c:pt>
                <c:pt idx="36">
                  <c:v>45.6</c:v>
                </c:pt>
                <c:pt idx="37">
                  <c:v>45.9</c:v>
                </c:pt>
                <c:pt idx="38">
                  <c:v>45.4</c:v>
                </c:pt>
                <c:pt idx="39">
                  <c:v>45.5</c:v>
                </c:pt>
                <c:pt idx="40">
                  <c:v>41.8</c:v>
                </c:pt>
                <c:pt idx="41">
                  <c:v>41.3</c:v>
                </c:pt>
                <c:pt idx="42">
                  <c:v>41.3</c:v>
                </c:pt>
                <c:pt idx="43">
                  <c:v>39.200000000000003</c:v>
                </c:pt>
                <c:pt idx="44">
                  <c:v>40.700000000000003</c:v>
                </c:pt>
                <c:pt idx="45">
                  <c:v>37.9</c:v>
                </c:pt>
                <c:pt idx="46">
                  <c:v>37.6</c:v>
                </c:pt>
                <c:pt idx="47">
                  <c:v>35.6</c:v>
                </c:pt>
                <c:pt idx="48">
                  <c:v>35.299999999999997</c:v>
                </c:pt>
                <c:pt idx="49">
                  <c:v>33.6</c:v>
                </c:pt>
                <c:pt idx="50">
                  <c:v>32.200000000000003</c:v>
                </c:pt>
                <c:pt idx="51">
                  <c:v>31.8</c:v>
                </c:pt>
                <c:pt idx="52">
                  <c:v>31</c:v>
                </c:pt>
                <c:pt idx="53">
                  <c:v>28.9</c:v>
                </c:pt>
                <c:pt idx="54">
                  <c:v>29.4</c:v>
                </c:pt>
                <c:pt idx="55">
                  <c:v>28.2</c:v>
                </c:pt>
                <c:pt idx="56">
                  <c:v>27.1</c:v>
                </c:pt>
                <c:pt idx="57">
                  <c:v>26.6</c:v>
                </c:pt>
                <c:pt idx="58">
                  <c:v>27.2</c:v>
                </c:pt>
                <c:pt idx="59">
                  <c:v>25</c:v>
                </c:pt>
                <c:pt idx="60">
                  <c:v>24.9</c:v>
                </c:pt>
                <c:pt idx="61">
                  <c:v>24.4</c:v>
                </c:pt>
                <c:pt idx="62">
                  <c:v>23.1</c:v>
                </c:pt>
                <c:pt idx="63">
                  <c:v>23.1</c:v>
                </c:pt>
                <c:pt idx="64">
                  <c:v>22.1</c:v>
                </c:pt>
                <c:pt idx="65">
                  <c:v>21.6</c:v>
                </c:pt>
                <c:pt idx="66">
                  <c:v>20.9</c:v>
                </c:pt>
                <c:pt idx="67">
                  <c:v>20</c:v>
                </c:pt>
                <c:pt idx="68">
                  <c:v>20</c:v>
                </c:pt>
              </c:numCache>
            </c:numRef>
          </c:yVal>
          <c:smooth val="0"/>
          <c:extLst>
            <c:ext xmlns:c16="http://schemas.microsoft.com/office/drawing/2014/chart" uri="{C3380CC4-5D6E-409C-BE32-E72D297353CC}">
              <c16:uniqueId val="{00000001-1F7B-4D08-B041-7AC388C3A0B8}"/>
            </c:ext>
          </c:extLst>
        </c:ser>
        <c:ser>
          <c:idx val="1"/>
          <c:order val="1"/>
          <c:tx>
            <c:strRef>
              <c:f>Sheet1!$C$1</c:f>
              <c:strCache>
                <c:ptCount val="1"/>
                <c:pt idx="0">
                  <c:v>カナダ</c:v>
                </c:pt>
              </c:strCache>
            </c:strRef>
          </c:tx>
          <c:spPr>
            <a:ln w="28575" cap="rnd">
              <a:solidFill>
                <a:schemeClr val="accent2"/>
              </a:solidFill>
              <a:round/>
            </a:ln>
            <a:effectLst/>
          </c:spPr>
          <c:marker>
            <c:symbol val="none"/>
          </c:marker>
          <c:dLbls>
            <c:dLbl>
              <c:idx val="12"/>
              <c:layout>
                <c:manualLayout>
                  <c:x val="-1.9646665971097915E-2"/>
                  <c:y val="4.038390858700322E-2"/>
                </c:manualLayout>
              </c:layout>
              <c:spPr>
                <a:noFill/>
                <a:ln>
                  <a:noFill/>
                </a:ln>
                <a:effectLst/>
              </c:spPr>
              <c:txPr>
                <a:bodyPr rot="0" spcFirstLastPara="1" vertOverflow="ellipsis" vert="horz" wrap="square" lIns="38100" tIns="19050" rIns="38100" bIns="19050" anchor="ctr" anchorCtr="1">
                  <a:spAutoFit/>
                </a:bodyPr>
                <a:lstStyle/>
                <a:p>
                  <a:pPr>
                    <a:defRPr lang="ja-JP" sz="1800" b="0" i="0" u="none" strike="noStrike" kern="1200" baseline="0">
                      <a:solidFill>
                        <a:schemeClr val="accent2"/>
                      </a:solidFill>
                      <a:latin typeface="+mn-lt"/>
                      <a:ea typeface="+mn-ea"/>
                      <a:cs typeface="+mn-cs"/>
                    </a:defRPr>
                  </a:pPr>
                  <a:endParaRPr lang="ja-JP"/>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1F7B-4D08-B041-7AC388C3A0B8}"/>
                </c:ext>
              </c:extLst>
            </c:dLbl>
            <c:spPr>
              <a:noFill/>
              <a:ln>
                <a:noFill/>
              </a:ln>
              <a:effectLst/>
            </c:spPr>
            <c:txPr>
              <a:bodyPr rot="0" spcFirstLastPara="1" vertOverflow="ellipsis" vert="horz" wrap="square" lIns="38100" tIns="19050" rIns="38100" bIns="19050" anchor="ctr" anchorCtr="1">
                <a:spAutoFit/>
              </a:bodyPr>
              <a:lstStyle/>
              <a:p>
                <a:pPr>
                  <a:defRPr lang="ja-JP" sz="1197"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Sheet1!$A$2:$A$70</c:f>
              <c:numCache>
                <c:formatCode>General</c:formatCode>
                <c:ptCount val="69"/>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numCache>
            </c:numRef>
          </c:xVal>
          <c:yVal>
            <c:numRef>
              <c:f>Sheet1!$C$2:$C$70</c:f>
              <c:numCache>
                <c:formatCode>General</c:formatCode>
                <c:ptCount val="69"/>
                <c:pt idx="0">
                  <c:v>14.5</c:v>
                </c:pt>
                <c:pt idx="1">
                  <c:v>14.9</c:v>
                </c:pt>
                <c:pt idx="2">
                  <c:v>16.7</c:v>
                </c:pt>
                <c:pt idx="3">
                  <c:v>18</c:v>
                </c:pt>
                <c:pt idx="4">
                  <c:v>19.2</c:v>
                </c:pt>
                <c:pt idx="5">
                  <c:v>20.3</c:v>
                </c:pt>
                <c:pt idx="6">
                  <c:v>21.8</c:v>
                </c:pt>
                <c:pt idx="7">
                  <c:v>22.4</c:v>
                </c:pt>
                <c:pt idx="8">
                  <c:v>23.3</c:v>
                </c:pt>
                <c:pt idx="9">
                  <c:v>24.1</c:v>
                </c:pt>
                <c:pt idx="10">
                  <c:v>25.2</c:v>
                </c:pt>
                <c:pt idx="11">
                  <c:v>26.9</c:v>
                </c:pt>
                <c:pt idx="12">
                  <c:v>28.6</c:v>
                </c:pt>
                <c:pt idx="13">
                  <c:v>30.4</c:v>
                </c:pt>
                <c:pt idx="14">
                  <c:v>31.2</c:v>
                </c:pt>
                <c:pt idx="15">
                  <c:v>32.200000000000003</c:v>
                </c:pt>
                <c:pt idx="16">
                  <c:v>33.799999999999997</c:v>
                </c:pt>
                <c:pt idx="17">
                  <c:v>37.1</c:v>
                </c:pt>
                <c:pt idx="18">
                  <c:v>37.299999999999997</c:v>
                </c:pt>
                <c:pt idx="19">
                  <c:v>38.799999999999997</c:v>
                </c:pt>
                <c:pt idx="20">
                  <c:v>40.5</c:v>
                </c:pt>
                <c:pt idx="21">
                  <c:v>42.1</c:v>
                </c:pt>
                <c:pt idx="22">
                  <c:v>43</c:v>
                </c:pt>
                <c:pt idx="23">
                  <c:v>44.4</c:v>
                </c:pt>
                <c:pt idx="24">
                  <c:v>46.5</c:v>
                </c:pt>
                <c:pt idx="25">
                  <c:v>45.9</c:v>
                </c:pt>
                <c:pt idx="26">
                  <c:v>47.5</c:v>
                </c:pt>
                <c:pt idx="27">
                  <c:v>49.1</c:v>
                </c:pt>
                <c:pt idx="28">
                  <c:v>50.1</c:v>
                </c:pt>
                <c:pt idx="29">
                  <c:v>51.2</c:v>
                </c:pt>
                <c:pt idx="30">
                  <c:v>52.8</c:v>
                </c:pt>
                <c:pt idx="31">
                  <c:v>52.1</c:v>
                </c:pt>
                <c:pt idx="32">
                  <c:v>55.1</c:v>
                </c:pt>
                <c:pt idx="33">
                  <c:v>55.4</c:v>
                </c:pt>
                <c:pt idx="34">
                  <c:v>56.9</c:v>
                </c:pt>
                <c:pt idx="35">
                  <c:v>54.9</c:v>
                </c:pt>
                <c:pt idx="36">
                  <c:v>55.3</c:v>
                </c:pt>
                <c:pt idx="37">
                  <c:v>55</c:v>
                </c:pt>
                <c:pt idx="38">
                  <c:v>56.6</c:v>
                </c:pt>
                <c:pt idx="39">
                  <c:v>56.4</c:v>
                </c:pt>
                <c:pt idx="40">
                  <c:v>55.5</c:v>
                </c:pt>
                <c:pt idx="41">
                  <c:v>55</c:v>
                </c:pt>
                <c:pt idx="42">
                  <c:v>53.9</c:v>
                </c:pt>
                <c:pt idx="43">
                  <c:v>53.7</c:v>
                </c:pt>
                <c:pt idx="44">
                  <c:v>52</c:v>
                </c:pt>
                <c:pt idx="45">
                  <c:v>49.8</c:v>
                </c:pt>
                <c:pt idx="46">
                  <c:v>49.3</c:v>
                </c:pt>
                <c:pt idx="47">
                  <c:v>47.2</c:v>
                </c:pt>
                <c:pt idx="48">
                  <c:v>47.2</c:v>
                </c:pt>
                <c:pt idx="49">
                  <c:v>47.3</c:v>
                </c:pt>
                <c:pt idx="50">
                  <c:v>43.2</c:v>
                </c:pt>
                <c:pt idx="51">
                  <c:v>43.2</c:v>
                </c:pt>
                <c:pt idx="52">
                  <c:v>43</c:v>
                </c:pt>
                <c:pt idx="53">
                  <c:v>41.4</c:v>
                </c:pt>
                <c:pt idx="54">
                  <c:v>39.799999999999997</c:v>
                </c:pt>
                <c:pt idx="55">
                  <c:v>39.299999999999997</c:v>
                </c:pt>
                <c:pt idx="56">
                  <c:v>37.700000000000003</c:v>
                </c:pt>
                <c:pt idx="57">
                  <c:v>37.299999999999997</c:v>
                </c:pt>
                <c:pt idx="58">
                  <c:v>35.700000000000003</c:v>
                </c:pt>
                <c:pt idx="59">
                  <c:v>35.299999999999997</c:v>
                </c:pt>
                <c:pt idx="60">
                  <c:v>34</c:v>
                </c:pt>
                <c:pt idx="61">
                  <c:v>32.700000000000003</c:v>
                </c:pt>
                <c:pt idx="62">
                  <c:v>32.1</c:v>
                </c:pt>
                <c:pt idx="63">
                  <c:v>30.1</c:v>
                </c:pt>
                <c:pt idx="64">
                  <c:v>30.2</c:v>
                </c:pt>
                <c:pt idx="65">
                  <c:v>28.5</c:v>
                </c:pt>
                <c:pt idx="66">
                  <c:v>27</c:v>
                </c:pt>
                <c:pt idx="67">
                  <c:v>26.4</c:v>
                </c:pt>
              </c:numCache>
            </c:numRef>
          </c:yVal>
          <c:smooth val="0"/>
          <c:extLst>
            <c:ext xmlns:c16="http://schemas.microsoft.com/office/drawing/2014/chart" uri="{C3380CC4-5D6E-409C-BE32-E72D297353CC}">
              <c16:uniqueId val="{00000003-1F7B-4D08-B041-7AC388C3A0B8}"/>
            </c:ext>
          </c:extLst>
        </c:ser>
        <c:ser>
          <c:idx val="2"/>
          <c:order val="2"/>
          <c:tx>
            <c:strRef>
              <c:f>Sheet1!$D$1</c:f>
              <c:strCache>
                <c:ptCount val="1"/>
                <c:pt idx="0">
                  <c:v>日本</c:v>
                </c:pt>
              </c:strCache>
            </c:strRef>
          </c:tx>
          <c:spPr>
            <a:ln w="28575" cap="rnd">
              <a:solidFill>
                <a:srgbClr val="FF0000"/>
              </a:solidFill>
              <a:round/>
            </a:ln>
            <a:effectLst/>
          </c:spPr>
          <c:marker>
            <c:symbol val="none"/>
          </c:marker>
          <c:dLbls>
            <c:dLbl>
              <c:idx val="11"/>
              <c:layout>
                <c:manualLayout>
                  <c:x val="-5.675703502761624E-2"/>
                  <c:y val="-4.7337856098365751E-2"/>
                </c:manualLayout>
              </c:layout>
              <c:spPr>
                <a:noFill/>
                <a:ln>
                  <a:noFill/>
                </a:ln>
                <a:effectLst/>
              </c:spPr>
              <c:txPr>
                <a:bodyPr rot="0" spcFirstLastPara="1" vertOverflow="ellipsis" vert="horz" wrap="square" lIns="38100" tIns="19050" rIns="38100" bIns="19050" anchor="ctr" anchorCtr="1">
                  <a:spAutoFit/>
                </a:bodyPr>
                <a:lstStyle/>
                <a:p>
                  <a:pPr>
                    <a:defRPr lang="ja-JP" sz="1800" b="0" i="0" u="none" strike="noStrike" kern="1200" baseline="0">
                      <a:solidFill>
                        <a:srgbClr val="FF0000"/>
                      </a:solidFill>
                      <a:latin typeface="+mn-lt"/>
                      <a:ea typeface="+mn-ea"/>
                      <a:cs typeface="+mn-cs"/>
                    </a:defRPr>
                  </a:pPr>
                  <a:endParaRPr lang="ja-JP"/>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1F7B-4D08-B041-7AC388C3A0B8}"/>
                </c:ext>
              </c:extLst>
            </c:dLbl>
            <c:spPr>
              <a:noFill/>
              <a:ln>
                <a:noFill/>
              </a:ln>
              <a:effectLst/>
            </c:spPr>
            <c:txPr>
              <a:bodyPr rot="0" spcFirstLastPara="1" vertOverflow="ellipsis" vert="horz" wrap="square" lIns="38100" tIns="19050" rIns="38100" bIns="19050" anchor="ctr" anchorCtr="1">
                <a:spAutoFit/>
              </a:bodyPr>
              <a:lstStyle/>
              <a:p>
                <a:pPr>
                  <a:defRPr lang="ja-JP" sz="1197"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Sheet1!$A$2:$A$70</c:f>
              <c:numCache>
                <c:formatCode>General</c:formatCode>
                <c:ptCount val="69"/>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numCache>
            </c:numRef>
          </c:xVal>
          <c:yVal>
            <c:numRef>
              <c:f>Sheet1!$D$2:$D$70</c:f>
              <c:numCache>
                <c:formatCode>General</c:formatCode>
                <c:ptCount val="69"/>
                <c:pt idx="0">
                  <c:v>2.7</c:v>
                </c:pt>
                <c:pt idx="1">
                  <c:v>2.7</c:v>
                </c:pt>
                <c:pt idx="2">
                  <c:v>3.5</c:v>
                </c:pt>
                <c:pt idx="3">
                  <c:v>3.9</c:v>
                </c:pt>
                <c:pt idx="4">
                  <c:v>4.9000000000000004</c:v>
                </c:pt>
                <c:pt idx="5">
                  <c:v>5.9</c:v>
                </c:pt>
                <c:pt idx="6">
                  <c:v>7</c:v>
                </c:pt>
                <c:pt idx="7">
                  <c:v>7.5</c:v>
                </c:pt>
                <c:pt idx="8">
                  <c:v>8.4</c:v>
                </c:pt>
                <c:pt idx="9">
                  <c:v>9.4</c:v>
                </c:pt>
                <c:pt idx="10">
                  <c:v>10</c:v>
                </c:pt>
                <c:pt idx="11">
                  <c:v>10.6</c:v>
                </c:pt>
                <c:pt idx="12">
                  <c:v>11.4</c:v>
                </c:pt>
                <c:pt idx="13">
                  <c:v>12.2</c:v>
                </c:pt>
                <c:pt idx="14">
                  <c:v>12.7</c:v>
                </c:pt>
                <c:pt idx="15">
                  <c:v>13.2</c:v>
                </c:pt>
                <c:pt idx="16">
                  <c:v>14</c:v>
                </c:pt>
                <c:pt idx="17">
                  <c:v>14.6</c:v>
                </c:pt>
                <c:pt idx="18">
                  <c:v>15.1</c:v>
                </c:pt>
                <c:pt idx="19">
                  <c:v>15.9</c:v>
                </c:pt>
                <c:pt idx="20">
                  <c:v>16.100000000000001</c:v>
                </c:pt>
                <c:pt idx="21">
                  <c:v>16.7</c:v>
                </c:pt>
                <c:pt idx="22">
                  <c:v>17.8</c:v>
                </c:pt>
                <c:pt idx="23">
                  <c:v>18.2</c:v>
                </c:pt>
                <c:pt idx="24">
                  <c:v>19.100000000000001</c:v>
                </c:pt>
                <c:pt idx="25">
                  <c:v>19.8</c:v>
                </c:pt>
                <c:pt idx="26">
                  <c:v>20.6</c:v>
                </c:pt>
                <c:pt idx="27">
                  <c:v>21.8</c:v>
                </c:pt>
                <c:pt idx="28">
                  <c:v>22.5</c:v>
                </c:pt>
                <c:pt idx="29">
                  <c:v>23.7</c:v>
                </c:pt>
                <c:pt idx="30">
                  <c:v>24.3</c:v>
                </c:pt>
                <c:pt idx="31">
                  <c:v>25.3</c:v>
                </c:pt>
                <c:pt idx="32">
                  <c:v>25.7</c:v>
                </c:pt>
                <c:pt idx="33">
                  <c:v>26.5</c:v>
                </c:pt>
                <c:pt idx="34">
                  <c:v>27.4</c:v>
                </c:pt>
                <c:pt idx="35">
                  <c:v>27.9</c:v>
                </c:pt>
                <c:pt idx="36">
                  <c:v>27.7</c:v>
                </c:pt>
                <c:pt idx="37">
                  <c:v>28.8</c:v>
                </c:pt>
                <c:pt idx="38">
                  <c:v>29.4</c:v>
                </c:pt>
                <c:pt idx="39">
                  <c:v>30.2</c:v>
                </c:pt>
                <c:pt idx="40">
                  <c:v>30.4</c:v>
                </c:pt>
                <c:pt idx="41">
                  <c:v>30.5</c:v>
                </c:pt>
                <c:pt idx="42">
                  <c:v>30.8</c:v>
                </c:pt>
                <c:pt idx="43">
                  <c:v>31</c:v>
                </c:pt>
                <c:pt idx="44">
                  <c:v>31.3</c:v>
                </c:pt>
                <c:pt idx="45">
                  <c:v>31.9</c:v>
                </c:pt>
                <c:pt idx="46">
                  <c:v>32.200000000000003</c:v>
                </c:pt>
                <c:pt idx="47">
                  <c:v>31.6</c:v>
                </c:pt>
                <c:pt idx="48">
                  <c:v>31.5</c:v>
                </c:pt>
                <c:pt idx="49">
                  <c:v>31.2</c:v>
                </c:pt>
                <c:pt idx="50">
                  <c:v>31.1</c:v>
                </c:pt>
                <c:pt idx="51">
                  <c:v>30.5</c:v>
                </c:pt>
                <c:pt idx="52">
                  <c:v>30.3</c:v>
                </c:pt>
                <c:pt idx="53">
                  <c:v>29.5</c:v>
                </c:pt>
                <c:pt idx="54">
                  <c:v>30.1</c:v>
                </c:pt>
                <c:pt idx="55">
                  <c:v>29.9</c:v>
                </c:pt>
                <c:pt idx="56">
                  <c:v>29.3</c:v>
                </c:pt>
                <c:pt idx="57">
                  <c:v>29.3</c:v>
                </c:pt>
                <c:pt idx="58">
                  <c:v>29</c:v>
                </c:pt>
                <c:pt idx="59">
                  <c:v>28.4</c:v>
                </c:pt>
                <c:pt idx="60">
                  <c:v>28.4</c:v>
                </c:pt>
                <c:pt idx="61">
                  <c:v>27.9</c:v>
                </c:pt>
                <c:pt idx="62">
                  <c:v>27.5</c:v>
                </c:pt>
                <c:pt idx="63">
                  <c:v>27.2</c:v>
                </c:pt>
                <c:pt idx="64">
                  <c:v>26.7</c:v>
                </c:pt>
                <c:pt idx="65">
                  <c:v>26.4</c:v>
                </c:pt>
                <c:pt idx="66">
                  <c:v>25.2</c:v>
                </c:pt>
                <c:pt idx="67">
                  <c:v>24.5</c:v>
                </c:pt>
                <c:pt idx="68">
                  <c:v>23.6</c:v>
                </c:pt>
              </c:numCache>
            </c:numRef>
          </c:yVal>
          <c:smooth val="0"/>
          <c:extLst>
            <c:ext xmlns:c16="http://schemas.microsoft.com/office/drawing/2014/chart" uri="{C3380CC4-5D6E-409C-BE32-E72D297353CC}">
              <c16:uniqueId val="{00000005-1F7B-4D08-B041-7AC388C3A0B8}"/>
            </c:ext>
          </c:extLst>
        </c:ser>
        <c:ser>
          <c:idx val="3"/>
          <c:order val="3"/>
          <c:tx>
            <c:strRef>
              <c:f>Sheet1!$E$1</c:f>
              <c:strCache>
                <c:ptCount val="1"/>
                <c:pt idx="0">
                  <c:v>韓国</c:v>
                </c:pt>
              </c:strCache>
            </c:strRef>
          </c:tx>
          <c:spPr>
            <a:ln w="28575" cap="rnd">
              <a:solidFill>
                <a:schemeClr val="accent4"/>
              </a:solidFill>
              <a:round/>
            </a:ln>
            <a:effectLst/>
          </c:spPr>
          <c:marker>
            <c:symbol val="none"/>
          </c:marker>
          <c:dLbls>
            <c:dLbl>
              <c:idx val="44"/>
              <c:layout>
                <c:manualLayout>
                  <c:x val="-8.07696267700692E-2"/>
                  <c:y val="0.19013944228563165"/>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1F7B-4D08-B041-7AC388C3A0B8}"/>
                </c:ext>
              </c:extLst>
            </c:dLbl>
            <c:spPr>
              <a:noFill/>
              <a:ln>
                <a:noFill/>
              </a:ln>
              <a:effectLst/>
            </c:spPr>
            <c:txPr>
              <a:bodyPr rot="0" spcFirstLastPara="1" vertOverflow="ellipsis" vert="horz" wrap="square" lIns="38100" tIns="19050" rIns="38100" bIns="19050" anchor="ctr" anchorCtr="1">
                <a:spAutoFit/>
              </a:bodyPr>
              <a:lstStyle/>
              <a:p>
                <a:pPr>
                  <a:defRPr lang="ja-JP" sz="1800" b="0" i="0" u="none" strike="noStrike" kern="1200" baseline="0">
                    <a:solidFill>
                      <a:srgbClr val="FFC000"/>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Sheet1!$A$2:$A$70</c:f>
              <c:numCache>
                <c:formatCode>General</c:formatCode>
                <c:ptCount val="69"/>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numCache>
            </c:numRef>
          </c:xVal>
          <c:yVal>
            <c:numRef>
              <c:f>Sheet1!$E$2:$E$70</c:f>
              <c:numCache>
                <c:formatCode>General</c:formatCode>
                <c:ptCount val="69"/>
                <c:pt idx="35">
                  <c:v>17.2</c:v>
                </c:pt>
                <c:pt idx="36">
                  <c:v>19.2</c:v>
                </c:pt>
                <c:pt idx="37">
                  <c:v>20.399999999999999</c:v>
                </c:pt>
                <c:pt idx="38">
                  <c:v>22.7</c:v>
                </c:pt>
                <c:pt idx="39">
                  <c:v>25.1</c:v>
                </c:pt>
                <c:pt idx="40">
                  <c:v>26.5</c:v>
                </c:pt>
                <c:pt idx="41">
                  <c:v>28.6</c:v>
                </c:pt>
                <c:pt idx="42">
                  <c:v>32.9</c:v>
                </c:pt>
                <c:pt idx="43">
                  <c:v>35.200000000000003</c:v>
                </c:pt>
                <c:pt idx="44">
                  <c:v>38.4</c:v>
                </c:pt>
                <c:pt idx="45">
                  <c:v>38.700000000000003</c:v>
                </c:pt>
                <c:pt idx="46">
                  <c:v>40.4</c:v>
                </c:pt>
                <c:pt idx="47">
                  <c:v>40.299999999999997</c:v>
                </c:pt>
                <c:pt idx="48">
                  <c:v>38.9</c:v>
                </c:pt>
                <c:pt idx="49">
                  <c:v>40.4</c:v>
                </c:pt>
                <c:pt idx="50">
                  <c:v>43.2</c:v>
                </c:pt>
                <c:pt idx="51">
                  <c:v>42.9</c:v>
                </c:pt>
                <c:pt idx="52">
                  <c:v>42.5</c:v>
                </c:pt>
                <c:pt idx="53">
                  <c:v>41.3</c:v>
                </c:pt>
                <c:pt idx="54">
                  <c:v>41.6</c:v>
                </c:pt>
                <c:pt idx="55">
                  <c:v>41</c:v>
                </c:pt>
                <c:pt idx="56">
                  <c:v>40.299999999999997</c:v>
                </c:pt>
                <c:pt idx="57">
                  <c:v>38.700000000000003</c:v>
                </c:pt>
                <c:pt idx="58">
                  <c:v>38</c:v>
                </c:pt>
                <c:pt idx="59">
                  <c:v>36.1</c:v>
                </c:pt>
                <c:pt idx="60">
                  <c:v>36.1</c:v>
                </c:pt>
                <c:pt idx="61">
                  <c:v>34.5</c:v>
                </c:pt>
                <c:pt idx="62">
                  <c:v>34.6</c:v>
                </c:pt>
                <c:pt idx="63">
                  <c:v>33.799999999999997</c:v>
                </c:pt>
                <c:pt idx="64">
                  <c:v>33</c:v>
                </c:pt>
                <c:pt idx="65">
                  <c:v>31.2</c:v>
                </c:pt>
                <c:pt idx="66">
                  <c:v>31</c:v>
                </c:pt>
                <c:pt idx="67">
                  <c:v>29.3</c:v>
                </c:pt>
                <c:pt idx="68">
                  <c:v>27.5</c:v>
                </c:pt>
              </c:numCache>
            </c:numRef>
          </c:yVal>
          <c:smooth val="0"/>
          <c:extLst>
            <c:ext xmlns:c16="http://schemas.microsoft.com/office/drawing/2014/chart" uri="{C3380CC4-5D6E-409C-BE32-E72D297353CC}">
              <c16:uniqueId val="{00000007-1F7B-4D08-B041-7AC388C3A0B8}"/>
            </c:ext>
          </c:extLst>
        </c:ser>
        <c:ser>
          <c:idx val="4"/>
          <c:order val="4"/>
          <c:tx>
            <c:strRef>
              <c:f>Sheet1!$F$1</c:f>
              <c:strCache>
                <c:ptCount val="1"/>
                <c:pt idx="0">
                  <c:v>英国</c:v>
                </c:pt>
              </c:strCache>
            </c:strRef>
          </c:tx>
          <c:spPr>
            <a:ln w="28575" cap="rnd">
              <a:solidFill>
                <a:schemeClr val="accent6"/>
              </a:solidFill>
              <a:round/>
            </a:ln>
            <a:effectLst/>
          </c:spPr>
          <c:marker>
            <c:symbol val="none"/>
          </c:marker>
          <c:dLbls>
            <c:dLbl>
              <c:idx val="15"/>
              <c:layout>
                <c:manualLayout>
                  <c:x val="-8.2952589655746797E-2"/>
                  <c:y val="-3.4198990584865932E-2"/>
                </c:manualLayout>
              </c:layout>
              <c:spPr>
                <a:noFill/>
                <a:ln>
                  <a:noFill/>
                </a:ln>
                <a:effectLst/>
              </c:spPr>
              <c:txPr>
                <a:bodyPr rot="0" spcFirstLastPara="1" vertOverflow="ellipsis" vert="horz" wrap="square" lIns="38100" tIns="19050" rIns="38100" bIns="19050" anchor="ctr" anchorCtr="1">
                  <a:spAutoFit/>
                </a:bodyPr>
                <a:lstStyle/>
                <a:p>
                  <a:pPr>
                    <a:defRPr lang="ja-JP" sz="1800" b="0" i="0" u="none" strike="noStrike" kern="1200" baseline="0">
                      <a:solidFill>
                        <a:schemeClr val="accent6"/>
                      </a:solidFill>
                      <a:latin typeface="+mn-lt"/>
                      <a:ea typeface="+mn-ea"/>
                      <a:cs typeface="+mn-cs"/>
                    </a:defRPr>
                  </a:pPr>
                  <a:endParaRPr lang="ja-JP"/>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1F7B-4D08-B041-7AC388C3A0B8}"/>
                </c:ext>
              </c:extLst>
            </c:dLbl>
            <c:spPr>
              <a:noFill/>
              <a:ln>
                <a:noFill/>
              </a:ln>
              <a:effectLst/>
            </c:spPr>
            <c:txPr>
              <a:bodyPr rot="0" spcFirstLastPara="1" vertOverflow="ellipsis" vert="horz" wrap="square" lIns="38100" tIns="19050" rIns="38100" bIns="19050" anchor="ctr" anchorCtr="1">
                <a:spAutoFit/>
              </a:bodyPr>
              <a:lstStyle/>
              <a:p>
                <a:pPr>
                  <a:defRPr lang="ja-JP" sz="1197" b="0" i="0" u="none" strike="noStrike" kern="1200" baseline="0">
                    <a:solidFill>
                      <a:schemeClr val="accent6"/>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Sheet1!$A$2:$A$70</c:f>
              <c:numCache>
                <c:formatCode>General</c:formatCode>
                <c:ptCount val="69"/>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numCache>
            </c:numRef>
          </c:xVal>
          <c:yVal>
            <c:numRef>
              <c:f>Sheet1!$F$2:$F$70</c:f>
              <c:numCache>
                <c:formatCode>General</c:formatCode>
                <c:ptCount val="69"/>
                <c:pt idx="0">
                  <c:v>38</c:v>
                </c:pt>
                <c:pt idx="1">
                  <c:v>41</c:v>
                </c:pt>
                <c:pt idx="2">
                  <c:v>43.7</c:v>
                </c:pt>
                <c:pt idx="3">
                  <c:v>46.9</c:v>
                </c:pt>
                <c:pt idx="4">
                  <c:v>50.3</c:v>
                </c:pt>
                <c:pt idx="5">
                  <c:v>52.5</c:v>
                </c:pt>
                <c:pt idx="6">
                  <c:v>55</c:v>
                </c:pt>
                <c:pt idx="7">
                  <c:v>57.2</c:v>
                </c:pt>
                <c:pt idx="8">
                  <c:v>58.8</c:v>
                </c:pt>
                <c:pt idx="9">
                  <c:v>61.7</c:v>
                </c:pt>
                <c:pt idx="10">
                  <c:v>63.3</c:v>
                </c:pt>
                <c:pt idx="11">
                  <c:v>64.5</c:v>
                </c:pt>
                <c:pt idx="12">
                  <c:v>66.3</c:v>
                </c:pt>
                <c:pt idx="13">
                  <c:v>67.3</c:v>
                </c:pt>
                <c:pt idx="14">
                  <c:v>68.400000000000006</c:v>
                </c:pt>
                <c:pt idx="15">
                  <c:v>69.900000000000006</c:v>
                </c:pt>
                <c:pt idx="16">
                  <c:v>70.3</c:v>
                </c:pt>
                <c:pt idx="17">
                  <c:v>72.2</c:v>
                </c:pt>
                <c:pt idx="18">
                  <c:v>72.5</c:v>
                </c:pt>
                <c:pt idx="19">
                  <c:v>74</c:v>
                </c:pt>
                <c:pt idx="20">
                  <c:v>74</c:v>
                </c:pt>
                <c:pt idx="21">
                  <c:v>73.599999999999994</c:v>
                </c:pt>
                <c:pt idx="22">
                  <c:v>74.400000000000006</c:v>
                </c:pt>
                <c:pt idx="23">
                  <c:v>74.400000000000006</c:v>
                </c:pt>
                <c:pt idx="24">
                  <c:v>74.7</c:v>
                </c:pt>
                <c:pt idx="25">
                  <c:v>72.900000000000006</c:v>
                </c:pt>
                <c:pt idx="26">
                  <c:v>73.5</c:v>
                </c:pt>
                <c:pt idx="27">
                  <c:v>72.3</c:v>
                </c:pt>
                <c:pt idx="28">
                  <c:v>72.099999999999994</c:v>
                </c:pt>
                <c:pt idx="29">
                  <c:v>71.8</c:v>
                </c:pt>
                <c:pt idx="30">
                  <c:v>71</c:v>
                </c:pt>
                <c:pt idx="31">
                  <c:v>69</c:v>
                </c:pt>
                <c:pt idx="32">
                  <c:v>67.5</c:v>
                </c:pt>
                <c:pt idx="33">
                  <c:v>68.099999999999994</c:v>
                </c:pt>
                <c:pt idx="34">
                  <c:v>66.599999999999994</c:v>
                </c:pt>
                <c:pt idx="35">
                  <c:v>66.099999999999994</c:v>
                </c:pt>
                <c:pt idx="36">
                  <c:v>63.4</c:v>
                </c:pt>
                <c:pt idx="37">
                  <c:v>61.6</c:v>
                </c:pt>
                <c:pt idx="38">
                  <c:v>60.8</c:v>
                </c:pt>
                <c:pt idx="39">
                  <c:v>58.5</c:v>
                </c:pt>
                <c:pt idx="40">
                  <c:v>57.5</c:v>
                </c:pt>
                <c:pt idx="41">
                  <c:v>56.1</c:v>
                </c:pt>
                <c:pt idx="42">
                  <c:v>54</c:v>
                </c:pt>
                <c:pt idx="43">
                  <c:v>51.4</c:v>
                </c:pt>
                <c:pt idx="44">
                  <c:v>49.7</c:v>
                </c:pt>
                <c:pt idx="45">
                  <c:v>47.6</c:v>
                </c:pt>
                <c:pt idx="46">
                  <c:v>45.4</c:v>
                </c:pt>
                <c:pt idx="47">
                  <c:v>43.1</c:v>
                </c:pt>
                <c:pt idx="48">
                  <c:v>42.4</c:v>
                </c:pt>
                <c:pt idx="49">
                  <c:v>40.4</c:v>
                </c:pt>
                <c:pt idx="50">
                  <c:v>39</c:v>
                </c:pt>
                <c:pt idx="51">
                  <c:v>37.9</c:v>
                </c:pt>
                <c:pt idx="52">
                  <c:v>37.4</c:v>
                </c:pt>
                <c:pt idx="53">
                  <c:v>35.5</c:v>
                </c:pt>
                <c:pt idx="54">
                  <c:v>34.6</c:v>
                </c:pt>
                <c:pt idx="55">
                  <c:v>34.1</c:v>
                </c:pt>
                <c:pt idx="56">
                  <c:v>33.5</c:v>
                </c:pt>
                <c:pt idx="57">
                  <c:v>32.700000000000003</c:v>
                </c:pt>
                <c:pt idx="58">
                  <c:v>32.1</c:v>
                </c:pt>
                <c:pt idx="59">
                  <c:v>31.2</c:v>
                </c:pt>
                <c:pt idx="60">
                  <c:v>30.1</c:v>
                </c:pt>
                <c:pt idx="61">
                  <c:v>29.5</c:v>
                </c:pt>
                <c:pt idx="62">
                  <c:v>28.4</c:v>
                </c:pt>
                <c:pt idx="63">
                  <c:v>28</c:v>
                </c:pt>
                <c:pt idx="64">
                  <c:v>27.5</c:v>
                </c:pt>
                <c:pt idx="65">
                  <c:v>26.3</c:v>
                </c:pt>
                <c:pt idx="66">
                  <c:v>26</c:v>
                </c:pt>
              </c:numCache>
            </c:numRef>
          </c:yVal>
          <c:smooth val="0"/>
          <c:extLst>
            <c:ext xmlns:c16="http://schemas.microsoft.com/office/drawing/2014/chart" uri="{C3380CC4-5D6E-409C-BE32-E72D297353CC}">
              <c16:uniqueId val="{00000009-1F7B-4D08-B041-7AC388C3A0B8}"/>
            </c:ext>
          </c:extLst>
        </c:ser>
        <c:ser>
          <c:idx val="5"/>
          <c:order val="5"/>
          <c:tx>
            <c:strRef>
              <c:f>Sheet1!$G$1</c:f>
              <c:strCache>
                <c:ptCount val="1"/>
                <c:pt idx="0">
                  <c:v>米国</c:v>
                </c:pt>
              </c:strCache>
            </c:strRef>
          </c:tx>
          <c:spPr>
            <a:ln w="28575" cap="rnd">
              <a:solidFill>
                <a:srgbClr val="0070C0"/>
              </a:solidFill>
              <a:round/>
            </a:ln>
            <a:effectLst/>
          </c:spPr>
          <c:marker>
            <c:symbol val="none"/>
          </c:marker>
          <c:dLbls>
            <c:dLbl>
              <c:idx val="10"/>
              <c:layout>
                <c:manualLayout>
                  <c:x val="0.10041629274116708"/>
                  <c:y val="-0.23121697459190041"/>
                </c:manualLayout>
              </c:layout>
              <c:spPr>
                <a:noFill/>
                <a:ln>
                  <a:noFill/>
                </a:ln>
                <a:effectLst/>
              </c:spPr>
              <c:txPr>
                <a:bodyPr rot="0" spcFirstLastPara="1" vertOverflow="ellipsis" vert="horz" wrap="square" lIns="38100" tIns="19050" rIns="38100" bIns="19050" anchor="ctr" anchorCtr="1">
                  <a:spAutoFit/>
                </a:bodyPr>
                <a:lstStyle/>
                <a:p>
                  <a:pPr>
                    <a:defRPr lang="ja-JP" sz="1800" b="0" i="0" u="none" strike="noStrike" kern="1200" baseline="0">
                      <a:solidFill>
                        <a:srgbClr val="0070C0"/>
                      </a:solidFill>
                      <a:latin typeface="+mn-lt"/>
                      <a:ea typeface="+mn-ea"/>
                      <a:cs typeface="+mn-cs"/>
                    </a:defRPr>
                  </a:pPr>
                  <a:endParaRPr lang="ja-JP"/>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A-1F7B-4D08-B041-7AC388C3A0B8}"/>
                </c:ext>
              </c:extLst>
            </c:dLbl>
            <c:spPr>
              <a:noFill/>
              <a:ln>
                <a:noFill/>
              </a:ln>
              <a:effectLst/>
            </c:spPr>
            <c:txPr>
              <a:bodyPr rot="0" spcFirstLastPara="1" vertOverflow="ellipsis" vert="horz" wrap="square" lIns="38100" tIns="19050" rIns="38100" bIns="19050" anchor="ctr" anchorCtr="1">
                <a:spAutoFit/>
              </a:bodyPr>
              <a:lstStyle/>
              <a:p>
                <a:pPr>
                  <a:defRPr lang="ja-JP" sz="1197"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Sheet1!$A$2:$A$70</c:f>
              <c:numCache>
                <c:formatCode>General</c:formatCode>
                <c:ptCount val="69"/>
                <c:pt idx="0">
                  <c:v>1950</c:v>
                </c:pt>
                <c:pt idx="1">
                  <c:v>1951</c:v>
                </c:pt>
                <c:pt idx="2">
                  <c:v>1952</c:v>
                </c:pt>
                <c:pt idx="3">
                  <c:v>1953</c:v>
                </c:pt>
                <c:pt idx="4">
                  <c:v>1954</c:v>
                </c:pt>
                <c:pt idx="5">
                  <c:v>1955</c:v>
                </c:pt>
                <c:pt idx="6">
                  <c:v>1956</c:v>
                </c:pt>
                <c:pt idx="7">
                  <c:v>1957</c:v>
                </c:pt>
                <c:pt idx="8">
                  <c:v>1958</c:v>
                </c:pt>
                <c:pt idx="9">
                  <c:v>1959</c:v>
                </c:pt>
                <c:pt idx="10">
                  <c:v>1960</c:v>
                </c:pt>
                <c:pt idx="11">
                  <c:v>1961</c:v>
                </c:pt>
                <c:pt idx="12">
                  <c:v>1962</c:v>
                </c:pt>
                <c:pt idx="13">
                  <c:v>1963</c:v>
                </c:pt>
                <c:pt idx="14">
                  <c:v>1964</c:v>
                </c:pt>
                <c:pt idx="15">
                  <c:v>1965</c:v>
                </c:pt>
                <c:pt idx="16">
                  <c:v>1966</c:v>
                </c:pt>
                <c:pt idx="17">
                  <c:v>1967</c:v>
                </c:pt>
                <c:pt idx="18">
                  <c:v>1968</c:v>
                </c:pt>
                <c:pt idx="19">
                  <c:v>1969</c:v>
                </c:pt>
                <c:pt idx="20">
                  <c:v>1970</c:v>
                </c:pt>
                <c:pt idx="21">
                  <c:v>1971</c:v>
                </c:pt>
                <c:pt idx="22">
                  <c:v>1972</c:v>
                </c:pt>
                <c:pt idx="23">
                  <c:v>1973</c:v>
                </c:pt>
                <c:pt idx="24">
                  <c:v>1974</c:v>
                </c:pt>
                <c:pt idx="25">
                  <c:v>1975</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pt idx="65">
                  <c:v>2015</c:v>
                </c:pt>
                <c:pt idx="66">
                  <c:v>2016</c:v>
                </c:pt>
                <c:pt idx="67">
                  <c:v>2017</c:v>
                </c:pt>
                <c:pt idx="68">
                  <c:v>2018</c:v>
                </c:pt>
              </c:numCache>
            </c:numRef>
          </c:xVal>
          <c:yVal>
            <c:numRef>
              <c:f>Sheet1!$G$2:$G$70</c:f>
              <c:numCache>
                <c:formatCode>General</c:formatCode>
                <c:ptCount val="69"/>
                <c:pt idx="0">
                  <c:v>17.2</c:v>
                </c:pt>
                <c:pt idx="1">
                  <c:v>18.399999999999999</c:v>
                </c:pt>
                <c:pt idx="2">
                  <c:v>19.899999999999999</c:v>
                </c:pt>
                <c:pt idx="3">
                  <c:v>21.6</c:v>
                </c:pt>
                <c:pt idx="4">
                  <c:v>22.5</c:v>
                </c:pt>
                <c:pt idx="5">
                  <c:v>23.9</c:v>
                </c:pt>
                <c:pt idx="6">
                  <c:v>25.7</c:v>
                </c:pt>
                <c:pt idx="7">
                  <c:v>26.9</c:v>
                </c:pt>
                <c:pt idx="8">
                  <c:v>27.7</c:v>
                </c:pt>
                <c:pt idx="9">
                  <c:v>29.1</c:v>
                </c:pt>
                <c:pt idx="10">
                  <c:v>30.4</c:v>
                </c:pt>
                <c:pt idx="11">
                  <c:v>31.9</c:v>
                </c:pt>
                <c:pt idx="12">
                  <c:v>33.4</c:v>
                </c:pt>
                <c:pt idx="13">
                  <c:v>34.4</c:v>
                </c:pt>
                <c:pt idx="14">
                  <c:v>35.700000000000003</c:v>
                </c:pt>
                <c:pt idx="15">
                  <c:v>36.9</c:v>
                </c:pt>
                <c:pt idx="16">
                  <c:v>38.5</c:v>
                </c:pt>
                <c:pt idx="17">
                  <c:v>39.799999999999997</c:v>
                </c:pt>
                <c:pt idx="18">
                  <c:v>42.4</c:v>
                </c:pt>
                <c:pt idx="19">
                  <c:v>43.3</c:v>
                </c:pt>
                <c:pt idx="20">
                  <c:v>44.7</c:v>
                </c:pt>
                <c:pt idx="21">
                  <c:v>45.7</c:v>
                </c:pt>
                <c:pt idx="22">
                  <c:v>47.4</c:v>
                </c:pt>
                <c:pt idx="23">
                  <c:v>48.1</c:v>
                </c:pt>
                <c:pt idx="24">
                  <c:v>49.4</c:v>
                </c:pt>
                <c:pt idx="25">
                  <c:v>50.1</c:v>
                </c:pt>
                <c:pt idx="26">
                  <c:v>51.1</c:v>
                </c:pt>
                <c:pt idx="27">
                  <c:v>52.1</c:v>
                </c:pt>
                <c:pt idx="28">
                  <c:v>53.1</c:v>
                </c:pt>
                <c:pt idx="29">
                  <c:v>53.6</c:v>
                </c:pt>
                <c:pt idx="30">
                  <c:v>54.7</c:v>
                </c:pt>
                <c:pt idx="31">
                  <c:v>54.7</c:v>
                </c:pt>
                <c:pt idx="32">
                  <c:v>55.5</c:v>
                </c:pt>
                <c:pt idx="33">
                  <c:v>55.3</c:v>
                </c:pt>
                <c:pt idx="34">
                  <c:v>56.1</c:v>
                </c:pt>
                <c:pt idx="35">
                  <c:v>56.2</c:v>
                </c:pt>
                <c:pt idx="36">
                  <c:v>56.1</c:v>
                </c:pt>
                <c:pt idx="37">
                  <c:v>56.8</c:v>
                </c:pt>
                <c:pt idx="38">
                  <c:v>56.4</c:v>
                </c:pt>
                <c:pt idx="39">
                  <c:v>56.3</c:v>
                </c:pt>
                <c:pt idx="40">
                  <c:v>56.8</c:v>
                </c:pt>
                <c:pt idx="41">
                  <c:v>56.2</c:v>
                </c:pt>
                <c:pt idx="42">
                  <c:v>55.2</c:v>
                </c:pt>
                <c:pt idx="43">
                  <c:v>55.1</c:v>
                </c:pt>
                <c:pt idx="44">
                  <c:v>53.8</c:v>
                </c:pt>
                <c:pt idx="45">
                  <c:v>52.7</c:v>
                </c:pt>
                <c:pt idx="46">
                  <c:v>51.5</c:v>
                </c:pt>
                <c:pt idx="47">
                  <c:v>50.2</c:v>
                </c:pt>
                <c:pt idx="48">
                  <c:v>49.3</c:v>
                </c:pt>
                <c:pt idx="49">
                  <c:v>47.3</c:v>
                </c:pt>
                <c:pt idx="50">
                  <c:v>46.9</c:v>
                </c:pt>
                <c:pt idx="51">
                  <c:v>45.7</c:v>
                </c:pt>
                <c:pt idx="52">
                  <c:v>44.5</c:v>
                </c:pt>
                <c:pt idx="53">
                  <c:v>43.5</c:v>
                </c:pt>
                <c:pt idx="54">
                  <c:v>42.4</c:v>
                </c:pt>
                <c:pt idx="55">
                  <c:v>41.5</c:v>
                </c:pt>
                <c:pt idx="56">
                  <c:v>40</c:v>
                </c:pt>
                <c:pt idx="57">
                  <c:v>38.6</c:v>
                </c:pt>
                <c:pt idx="58">
                  <c:v>37.6</c:v>
                </c:pt>
                <c:pt idx="59">
                  <c:v>36.200000000000003</c:v>
                </c:pt>
                <c:pt idx="60">
                  <c:v>35.1</c:v>
                </c:pt>
                <c:pt idx="61">
                  <c:v>33.799999999999997</c:v>
                </c:pt>
                <c:pt idx="62">
                  <c:v>32.700000000000003</c:v>
                </c:pt>
                <c:pt idx="63">
                  <c:v>31.4</c:v>
                </c:pt>
                <c:pt idx="64">
                  <c:v>30.3</c:v>
                </c:pt>
                <c:pt idx="65">
                  <c:v>29</c:v>
                </c:pt>
                <c:pt idx="66">
                  <c:v>27.1</c:v>
                </c:pt>
                <c:pt idx="67">
                  <c:v>25.6</c:v>
                </c:pt>
              </c:numCache>
            </c:numRef>
          </c:yVal>
          <c:smooth val="0"/>
          <c:extLst>
            <c:ext xmlns:c16="http://schemas.microsoft.com/office/drawing/2014/chart" uri="{C3380CC4-5D6E-409C-BE32-E72D297353CC}">
              <c16:uniqueId val="{0000000B-1F7B-4D08-B041-7AC388C3A0B8}"/>
            </c:ext>
          </c:extLst>
        </c:ser>
        <c:dLbls>
          <c:showLegendKey val="0"/>
          <c:showVal val="0"/>
          <c:showCatName val="0"/>
          <c:showSerName val="0"/>
          <c:showPercent val="0"/>
          <c:showBubbleSize val="0"/>
        </c:dLbls>
        <c:axId val="409383584"/>
        <c:axId val="394662816"/>
      </c:scatterChart>
      <c:valAx>
        <c:axId val="409383584"/>
        <c:scaling>
          <c:orientation val="minMax"/>
          <c:max val="2019"/>
          <c:min val="1950"/>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ja-JP" sz="1400" b="0" i="0" u="none" strike="noStrike" kern="1200" baseline="0">
                <a:solidFill>
                  <a:schemeClr val="tx1">
                    <a:lumMod val="65000"/>
                    <a:lumOff val="35000"/>
                  </a:schemeClr>
                </a:solidFill>
                <a:latin typeface="+mn-lt"/>
                <a:ea typeface="+mn-ea"/>
                <a:cs typeface="+mn-cs"/>
              </a:defRPr>
            </a:pPr>
            <a:endParaRPr lang="ja-JP"/>
          </a:p>
        </c:txPr>
        <c:crossAx val="394662816"/>
        <c:crosses val="autoZero"/>
        <c:crossBetween val="midCat"/>
        <c:majorUnit val="10"/>
      </c:valAx>
      <c:valAx>
        <c:axId val="39466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1330" b="0" i="0" u="none" strike="noStrike" kern="1200" baseline="0">
                    <a:solidFill>
                      <a:schemeClr val="tx1">
                        <a:lumMod val="65000"/>
                        <a:lumOff val="35000"/>
                      </a:schemeClr>
                    </a:solidFill>
                    <a:latin typeface="+mn-lt"/>
                    <a:ea typeface="+mn-ea"/>
                    <a:cs typeface="+mn-cs"/>
                  </a:defRPr>
                </a:pPr>
                <a:r>
                  <a:rPr lang="en-US" altLang="ja-JP" baseline="0" dirty="0"/>
                  <a:t>Lung cancer mortality rate (per 100,000)</a:t>
                </a:r>
                <a:endParaRPr lang="ja-JP" altLang="en-US" dirty="0"/>
              </a:p>
            </c:rich>
          </c:tx>
          <c:overlay val="0"/>
          <c:spPr>
            <a:noFill/>
            <a:ln>
              <a:noFill/>
            </a:ln>
            <a:effectLst/>
          </c:spPr>
          <c:txPr>
            <a:bodyPr rot="-5400000" spcFirstLastPara="1" vertOverflow="ellipsis" vert="horz" wrap="square" anchor="ctr" anchorCtr="1"/>
            <a:lstStyle/>
            <a:p>
              <a:pPr>
                <a:defRPr lang="ja-JP" sz="133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ja-JP" sz="1197" b="0" i="0" u="none" strike="noStrike" kern="1200" baseline="0">
                <a:solidFill>
                  <a:schemeClr val="tx1">
                    <a:lumMod val="65000"/>
                    <a:lumOff val="35000"/>
                  </a:schemeClr>
                </a:solidFill>
                <a:latin typeface="+mn-lt"/>
                <a:ea typeface="+mn-ea"/>
                <a:cs typeface="+mn-cs"/>
              </a:defRPr>
            </a:pPr>
            <a:endParaRPr lang="ja-JP"/>
          </a:p>
        </c:txPr>
        <c:crossAx val="409383584"/>
        <c:crosses val="autoZero"/>
        <c:crossBetween val="midCat"/>
      </c:valAx>
      <c:spPr>
        <a:noFill/>
        <a:ln>
          <a:solidFill>
            <a:schemeClr val="bg1">
              <a:lumMod val="5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490</Words>
  <Characters>2797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 Togawa</dc:creator>
  <cp:keywords/>
  <dc:description/>
  <cp:lastModifiedBy>Kayo Togawa</cp:lastModifiedBy>
  <cp:revision>10</cp:revision>
  <dcterms:created xsi:type="dcterms:W3CDTF">2023-04-05T23:22:00Z</dcterms:created>
  <dcterms:modified xsi:type="dcterms:W3CDTF">2023-04-05T23:54:00Z</dcterms:modified>
</cp:coreProperties>
</file>