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after="60" w:before="30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33.99999999999977" w:tblpY="0"/>
        <w:tblW w:w="101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2100"/>
        <w:gridCol w:w="1380"/>
        <w:gridCol w:w="2925"/>
        <w:gridCol w:w="2970"/>
        <w:tblGridChange w:id="0">
          <w:tblGrid>
            <w:gridCol w:w="765"/>
            <w:gridCol w:w="2100"/>
            <w:gridCol w:w="1380"/>
            <w:gridCol w:w="2925"/>
            <w:gridCol w:w="29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Nazwa i akronim projektu:</w:t>
            </w:r>
          </w:p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GameTech: Godot Showcase</w:t>
              <w:br w:type="textWrapping"/>
              <w:t xml:space="preserve">GaTe: 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Zleceniodawca:</w:t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Projekt własny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Zleceniobiorca:</w:t>
            </w:r>
          </w:p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PG, WFTiMS, zespół projektowy IO nr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Numer zlecenia: </w:t>
            </w:r>
          </w:p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PG-WFTiMS-IO-2024-1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Kierownik projektu:</w:t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Aleksandra Zając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Opiekun projektu: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dr hab. inż Marta Łabuda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.984375" w:hRule="atLeast"/>
          <w:tblHeader w:val="0"/>
        </w:trPr>
        <w:tc>
          <w:tcPr>
            <w:gridSpan w:val="5"/>
            <w:tcBorders>
              <w:lef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Raport Wykonalności (RW)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Nr wersji: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3"/>
            <w:vMerge w:val="restart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Odpowiedzialny za dokument:</w:t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Aleksandra Zając</w:t>
              <w:br w:type="textWrapping"/>
              <w:t xml:space="preserve">Kacper Krawczyk</w:t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Edyta Hoffmann</w:t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Oskar Weber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Data pierwszego sporządzenia: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20.03.2024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.921875" w:hRule="atLeast"/>
          <w:tblHeader w:val="0"/>
        </w:trPr>
        <w:tc>
          <w:tcPr>
            <w:gridSpan w:val="3"/>
            <w:vMerge w:val="continue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Data ostatniej aktualizacji: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26.03.24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.984375" w:hRule="atLeast"/>
          <w:tblHeader w:val="0"/>
        </w:trPr>
        <w:tc>
          <w:tcPr>
            <w:gridSpan w:val="5"/>
            <w:tcBorders>
              <w:left w:color="ffffff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Historia dokumentu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.96875" w:hRule="atLeast"/>
          <w:tblHeader w:val="0"/>
        </w:trPr>
        <w:tc>
          <w:tcPr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Wersja</w:t>
            </w:r>
          </w:p>
        </w:tc>
        <w:tc>
          <w:tcPr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Opis modyfikacji</w:t>
            </w:r>
          </w:p>
        </w:tc>
        <w:tc>
          <w:tcPr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Rozdział / strona</w:t>
            </w:r>
          </w:p>
        </w:tc>
        <w:tc>
          <w:tcPr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Autor modyfikacji</w:t>
            </w:r>
          </w:p>
        </w:tc>
        <w:tc>
          <w:tcPr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Data</w:t>
            </w:r>
          </w:p>
        </w:tc>
      </w:tr>
      <w:tr>
        <w:trPr>
          <w:cantSplit w:val="0"/>
          <w:trHeight w:val="427.96875" w:hRule="atLeast"/>
          <w:tblHeader w:val="0"/>
        </w:trPr>
        <w:tc>
          <w:tcPr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Wersja wstępna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ustęp 3, 4,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Aleksandra Zając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20.03.24</w:t>
            </w:r>
          </w:p>
        </w:tc>
      </w:tr>
      <w:tr>
        <w:trPr>
          <w:cantSplit w:val="0"/>
          <w:tblHeader w:val="0"/>
        </w:trPr>
        <w:tc>
          <w:tcPr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Kontynuacja części wstępnej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ustęp 1, 2, 6, 7,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Aleksandra Zając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24.03.24</w:t>
            </w:r>
          </w:p>
        </w:tc>
      </w:tr>
      <w:tr>
        <w:trPr>
          <w:cantSplit w:val="0"/>
          <w:tblHeader w:val="0"/>
        </w:trPr>
        <w:tc>
          <w:tcPr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Poprawki merytoryczne i redakcyjne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całość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Edyta Hoffmann </w:t>
              <w:br w:type="textWrapping"/>
              <w:t xml:space="preserve">Aleksandra Zając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26.03.24</w:t>
            </w:r>
          </w:p>
        </w:tc>
      </w:tr>
    </w:tbl>
    <w:p w:rsidR="00000000" w:rsidDel="00000000" w:rsidP="00000000" w:rsidRDefault="00000000" w:rsidRPr="00000000" w14:paraId="0000004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0" w:line="240" w:lineRule="auto"/>
        <w:ind w:left="566.9291338582675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Wprowadzenie – o dokumencie</w:t>
      </w:r>
    </w:p>
    <w:p w:rsidR="00000000" w:rsidDel="00000000" w:rsidP="00000000" w:rsidRDefault="00000000" w:rsidRPr="00000000" w14:paraId="00000042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66.9291338582675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Cel i zakres dokumentu</w:t>
        <w:br w:type="textWrapping"/>
      </w:r>
      <w:r w:rsidDel="00000000" w:rsidR="00000000" w:rsidRPr="00000000">
        <w:rPr>
          <w:rtl w:val="0"/>
        </w:rPr>
        <w:t xml:space="preserve">Dokument ma na celu określenie typu i planowanej implementacji projektu gry komputerowej operującej na silniku Godot, zdefiniowanie szans powodzenia projektu zarówno w sferze implementacyjnej jak i dystrybucyjnej oraz wstępne określenie wymagań technicznych, budżetu i warunków specyfikujących potrzebę zatrudnienia podwykonawców.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66.9291338582675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Odbiorcy</w:t>
      </w:r>
      <w:r w:rsidDel="00000000" w:rsidR="00000000" w:rsidRPr="00000000">
        <w:rPr>
          <w:rtl w:val="0"/>
        </w:rPr>
        <w:br w:type="textWrapping"/>
        <w:t xml:space="preserve">Członkowie zespołu projektowego, opiekun projektu - dr hab. inż. Marta Łabuda.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afterAutospacing="0" w:before="120" w:line="240" w:lineRule="auto"/>
        <w:ind w:left="566.9291338582675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Terminologi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Indie game - </w:t>
      </w:r>
      <w:r w:rsidDel="00000000" w:rsidR="00000000" w:rsidRPr="00000000">
        <w:rPr>
          <w:i w:val="1"/>
          <w:rtl w:val="0"/>
        </w:rPr>
        <w:t xml:space="preserve">independent video game -</w:t>
      </w:r>
      <w:r w:rsidDel="00000000" w:rsidR="00000000" w:rsidRPr="00000000">
        <w:rPr>
          <w:rtl w:val="0"/>
        </w:rPr>
        <w:t xml:space="preserve"> gra stworzona przez małe niezależne studio tudzież osoby prywatne</w:t>
        <w:br w:type="textWrapping"/>
        <w:t xml:space="preserve">Godot - silnik gry komputerowej, dostępny na licencji MIT</w:t>
        <w:br w:type="textWrapping"/>
        <w:t xml:space="preserve">Programy open source - darmowe rozwijane przez użytkowników oprogramowania, działające na licencjach </w:t>
      </w:r>
      <w:r w:rsidDel="00000000" w:rsidR="00000000" w:rsidRPr="00000000">
        <w:rPr>
          <w:rtl w:val="0"/>
        </w:rPr>
        <w:t xml:space="preserve">Apache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GNU General Public License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BSD, etc.</w:t>
        <w:br w:type="textWrapping"/>
        <w:t xml:space="preserve">GDscript - język stworzony z myślą o platformie Godot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beforeAutospacing="0" w:line="240" w:lineRule="auto"/>
        <w:ind w:left="566.9291338582675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Wstępny opis systemu</w:t>
      </w:r>
    </w:p>
    <w:p w:rsidR="00000000" w:rsidDel="00000000" w:rsidP="00000000" w:rsidRDefault="00000000" w:rsidRPr="00000000" w14:paraId="00000046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66.9291338582675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Opis stanu obecnego</w:t>
        <w:br w:type="textWrapping"/>
      </w:r>
      <w:r w:rsidDel="00000000" w:rsidR="00000000" w:rsidRPr="00000000">
        <w:rPr>
          <w:rtl w:val="0"/>
        </w:rPr>
        <w:t xml:space="preserve">Zlecany projekt ma za zadanie wprowadzenie na rynek autorskiej gry komputerowej typu indie game, mającej na celu zapewnienie rozrywki użytkownikowi - graczowi. Gra przeznaczona będzie na komercyjny system Windows firmy Microsoft.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66.9291338582675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Proponowany system</w:t>
      </w:r>
      <w:r w:rsidDel="00000000" w:rsidR="00000000" w:rsidRPr="00000000">
        <w:rPr>
          <w:rtl w:val="0"/>
        </w:rPr>
        <w:br w:type="textWrapping"/>
        <w:t xml:space="preserve">Celem projektu jest opracowanie, dokumentacja i ostatecznie wydanie samodzielnej, działającej, fabularnej gry komputerowej typu single-player.</w:t>
        <w:br w:type="textWrapping"/>
        <w:t xml:space="preserve">Głównymi korzyściami płynącymi z projektu są: nabycie podstawowych kompetencji w dziedzinach dokumentacji, projektowania, przygotowywania zasobów i ostatecznie implementacji gier komputerowych z użyciem języka C++.  Wstępnie nie jest przewidziane czerpanie korzyści komercyjnych poprzez płatną dystrybucję produktu.</w:t>
        <w:br w:type="textWrapping"/>
        <w:t xml:space="preserve">Wymagania edukacyjne zakładają naukę programów open source, w tym przede wszystkim ich użytkowania oraz sprawnego korzystania z dokumentacji. Przewidywane oprogramowania, z których korzystać będzie zespół projektowy to:</w:t>
        <w:br w:type="textWrapping"/>
        <w:t xml:space="preserve">- Blender w wersji 3.6 - do produkcji zasobów 3D i animacji,</w:t>
        <w:br w:type="textWrapping"/>
        <w:t xml:space="preserve">- Krita/FireAlpaca - jako alternatywa komercyjnego programu Photoshop,</w:t>
        <w:br w:type="textWrapping"/>
        <w:t xml:space="preserve">- GIMP i/lub Paint.NET - jako narzędzie do obsługi plików w formacie .DDS i generacji minimap,</w:t>
        <w:br w:type="textWrapping"/>
        <w:t xml:space="preserve">- Mixamo - jako wsparcie w procesie animacji,</w:t>
        <w:br w:type="textWrapping"/>
        <w:t xml:space="preserve">- Godot - jako silnik gry.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afterAutospacing="0" w:before="120" w:line="240" w:lineRule="auto"/>
        <w:ind w:left="566.9291338582675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Możliwe alternatywy</w:t>
        <w:br w:type="textWrapping"/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Odpowiednia platforma dystrybucyjna zostanie wybrana pod koniec </w:t>
      </w:r>
      <w:r w:rsidDel="00000000" w:rsidR="00000000" w:rsidRPr="00000000">
        <w:rPr>
          <w:rtl w:val="0"/>
        </w:rPr>
        <w:t xml:space="preserve">procesu implementacji, po ocenieniu końcowej jakości produktu i jego szans na dotarcie do odpowiedniego grona odbiorców. Przewidziana jest możliwość użycia języka GDscript w zamiennictwie języka C++. Z uwagi na założenie dotyczące darmowości oprogramowania wykorzystanego w procesie implementacji nie jest przewidziane używanie programów wymagających wykupienia licencji. W przypadku wystąpienia sytuacji wspomnianych w punkcie 7.1 możliwe jest zatrudnienie podwykonawców specjalizujących się w tworzeniu zasobów 3D, 2D i audio.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beforeAutospacing="0" w:line="240" w:lineRule="auto"/>
        <w:ind w:left="566.9291338582675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Analiza popytu i konkurencji</w:t>
      </w:r>
    </w:p>
    <w:p w:rsidR="00000000" w:rsidDel="00000000" w:rsidP="00000000" w:rsidRDefault="00000000" w:rsidRPr="00000000" w14:paraId="0000004A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66.9291338582675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Odbiorcy projektu</w:t>
        <w:br w:type="textWrapping"/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Odb</w:t>
      </w:r>
      <w:r w:rsidDel="00000000" w:rsidR="00000000" w:rsidRPr="00000000">
        <w:rPr>
          <w:rtl w:val="0"/>
        </w:rPr>
        <w:t xml:space="preserve">iorcami rezultatów projektu będą osoby prywatne posiadające konto na wybranej platformie hostującej </w:t>
        <w:br w:type="textWrapping"/>
        <w:t xml:space="preserve">i udostępniającej gry komputerowe przeznaczone do pobrania przez użytkowników na urządzenia osobiste.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66.9291338582675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Popyt </w:t>
        <w:br w:type="textWrapping"/>
      </w:r>
      <w:r w:rsidDel="00000000" w:rsidR="00000000" w:rsidRPr="00000000">
        <w:rPr>
          <w:rtl w:val="0"/>
        </w:rPr>
        <w:t xml:space="preserve">Według danych podanych przez popularną platformę Steam w 2023 roku roczna ilość wydanych gier przekroczyła 14,5 tysiąca projektów, co w przybliżeniu przelicza się na 40 publikacji dziennie. Według portalu Grand View Research przewidywany światowy wzrost popytu na gry online i offline charakteryzuje się wzrostem 13,4% w skali roku.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afterAutospacing="0" w:before="120" w:line="240" w:lineRule="auto"/>
        <w:ind w:left="566.9291338582675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Konkurencja</w:t>
        <w:br w:type="textWrapping"/>
      </w:r>
      <w:r w:rsidDel="00000000" w:rsidR="00000000" w:rsidRPr="00000000">
        <w:rPr>
          <w:rtl w:val="0"/>
        </w:rPr>
        <w:t xml:space="preserve">Znakomitą większością zainteresowania cieszą się gry dużych studio i korporacji, odpowiadając, za statystykami podanymi przez platformę Steam w 2023 roku, za około 60% rocznych pobrań. Pomimo zwiększonej wśród użytkowników popularności gier indie, które stanowią 96% gier publikowanych na platformie, gry tego typu cechują się znacząco mniejszym zainteresowaniem niż projekty dużych firm mogących liczyć na doświadczone zespoły programistów, zespołów odpowiedzialnych za produkcję zasobów wirtualnych i specjalistów od marketingu.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beforeAutospacing="0" w:line="240" w:lineRule="auto"/>
        <w:ind w:left="566.9291338582675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Makrootoczenie projektu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66.9291338582675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Otoczenie prawne</w:t>
        <w:br w:type="textWrapping"/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Technologie wykorzystywane do implementacji projektu </w:t>
      </w:r>
      <w:r w:rsidDel="00000000" w:rsidR="00000000" w:rsidRPr="00000000">
        <w:rPr>
          <w:rtl w:val="0"/>
        </w:rPr>
        <w:t xml:space="preserve">są dostępne pod licencją MIT i modelem Adobe Stock zezwalającym na używanie zasobów w celach komercyjnych pod warunkiem pełnego zintegrowania ich w projekcie.</w:t>
        <w:br w:type="textWrapping"/>
        <w:t xml:space="preserve">Członkowie zespołu projektowego zachowają prawa autorskie do stworzonego produktu całościowego.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66.9291338582675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Otoczenie ekonomiczne</w:t>
        <w:br w:type="textWrapping"/>
      </w:r>
      <w:r w:rsidDel="00000000" w:rsidR="00000000" w:rsidRPr="00000000">
        <w:rPr>
          <w:rtl w:val="0"/>
        </w:rPr>
        <w:t xml:space="preserve">W przypadku opublikowania gry w wersji darmowej na platformie zagranicznej obowiązywać będzie prawo zadeklarowane przez podmiot odpowiedzialny za platformę. W przypadku podjęcia decyzji o komercjalizacji produktu będzie on należał do Polskiej Klasyfikacji Wyrobów i Usług (PKWiU) pod symbolem PKWiU 58.21.30.0 i na podstawie wspomnianej klasyfikacji będzie podlegał opodatkowaniu ryczałtem od przychodów ewidencjonowanych przy zastosowaniu stawki 8,5%, na mocy art. 12 ust. 1 pkt 5 lit. a ustawy o podatku dochodowym przychodów osiąganych przez osoby fizyczne.</w:t>
        <w:br w:type="textWrapping"/>
        <w:t xml:space="preserve">Wg interpretacji </w:t>
      </w:r>
      <w:r w:rsidDel="00000000" w:rsidR="00000000" w:rsidRPr="00000000">
        <w:rPr>
          <w:rtl w:val="0"/>
        </w:rPr>
        <w:t xml:space="preserve">ITPB1/4511-498/16/MR gra opublikowana przez zespół projektowy nie będzie kwalifikować się jako dochód ze sprzedaży z działalności gospodarczej w rozumieniu ustawy o PIT, a wszelkie rozliczenia będą wynikiem transakcji zawartej między autorami gry a użytkownikami, nie natomiast z faktu samego opublikowania gry.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afterAutospacing="0" w:before="120" w:line="240" w:lineRule="auto"/>
        <w:ind w:left="566.9291338582675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Otoczenie społeczne</w:t>
        <w:br w:type="textWrapping"/>
      </w:r>
      <w:r w:rsidDel="00000000" w:rsidR="00000000" w:rsidRPr="00000000">
        <w:rPr>
          <w:rtl w:val="0"/>
        </w:rPr>
        <w:t xml:space="preserve">Projekt w założeniu przeznaczony jest na wolny rynek w charakterze gry </w:t>
      </w:r>
      <w:r w:rsidDel="00000000" w:rsidR="00000000" w:rsidRPr="00000000">
        <w:rPr>
          <w:i w:val="1"/>
          <w:rtl w:val="0"/>
        </w:rPr>
        <w:t xml:space="preserve">free to play</w:t>
      </w:r>
      <w:r w:rsidDel="00000000" w:rsidR="00000000" w:rsidRPr="00000000">
        <w:rPr>
          <w:rtl w:val="0"/>
        </w:rPr>
        <w:t xml:space="preserve"> dostępnej na wybranej platformie zagranicznej, po uiszczeniu przez autorów opłaty za możliwość udostępnienia treści na tejże platformie. Po publikacji gra będzie podlegać szczegółowym zasadom zdefiniowanym przez właścicieli platformy.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beforeAutospacing="0" w:line="240" w:lineRule="auto"/>
        <w:ind w:left="566.9291338582675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Analiza możliwości i szans projektu (SWOT)</w:t>
      </w:r>
    </w:p>
    <w:p w:rsidR="00000000" w:rsidDel="00000000" w:rsidP="00000000" w:rsidRDefault="00000000" w:rsidRPr="00000000" w14:paraId="00000052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66.9291338582675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Szanse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Pozytywnym czynnikiem wpływającym na szanse ukończenia projektu jest darmowość i ogólnodostępność technologii, które będą wykorzystane do części implementacyjnej. Dzięki działaniu na licencji X11, programy których używać będą członkowie projektu cieszą się dużą popularnością (oficjalna strona dystrybucji programu blender w roku 2022 została odwiedzona 23 miliona raza) wśród zarówno amatorów jak i specjalistów w odpowiadającej im dziedzinie, co z kolei przekłada się na silne poczucie społeczności, a co za tym idzie, możliwość </w:t>
      </w:r>
      <w:r w:rsidDel="00000000" w:rsidR="00000000" w:rsidRPr="00000000">
        <w:rPr>
          <w:rtl w:val="0"/>
        </w:rPr>
        <w:t xml:space="preserve">otrzymani</w:t>
      </w:r>
      <w:r w:rsidDel="00000000" w:rsidR="00000000" w:rsidRPr="00000000">
        <w:rPr>
          <w:rtl w:val="0"/>
        </w:rPr>
        <w:t xml:space="preserve">a wsparcia z wielu źródeł w sytuacji wystąpienia problemów technicznych lub pytań. Z uwagi na status studenta jaki posiadają członkowie zespołu, przysługuje im dostęp do zasobów akademickich uczelni.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66.9291338582675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Zagrożenia </w:t>
        <w:br w:type="textWrapping"/>
      </w:r>
      <w:r w:rsidDel="00000000" w:rsidR="00000000" w:rsidRPr="00000000">
        <w:rPr>
          <w:rtl w:val="0"/>
        </w:rPr>
        <w:t xml:space="preserve">Z uwagi na wysoką konkurencyjność na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rynku gier k</w:t>
      </w:r>
      <w:r w:rsidDel="00000000" w:rsidR="00000000" w:rsidRPr="00000000">
        <w:rPr>
          <w:rtl w:val="0"/>
        </w:rPr>
        <w:t xml:space="preserve">omputerowych istnieje wysokie prawdopodobieństwo, że w przypadku wydania produktu nie dotrze on do szerszego grona odbiorców, co wpłynie negatywnie na szanse otrzymania przez zespół projektowy feedbacku pozwalającego na ulepszanie i kontynuację projektu.</w:t>
        <w:br w:type="textWrapping"/>
        <w:t xml:space="preserve">Równolegle prowadzone indywidualne projekty inżynierskie będą ograniczać dostępność zasobów ludzkich i znacząco wpłyną na ilość czasu, która pozwoli na dokładną implementację. Fakt korzystania przez członków zespołu z prywatnego sprzętu skutkuje ryzykiem nagłych awarii z brakiem dostępu do natychmiastowego serwisowania bądź wymiany urządzeń. W takiej sytuacji wymagane będzie wprowadzenie poprawek do rozpisanego harmonogramu.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66.9291338582675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Atuty </w:t>
        <w:br w:type="textWrapping"/>
      </w:r>
      <w:r w:rsidDel="00000000" w:rsidR="00000000" w:rsidRPr="00000000">
        <w:rPr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Członkowie zespołu z racji statusu studenta nie muszą polegać na sukcesie projektu w zakresie komercyjnym, </w:t>
      </w:r>
      <w:r w:rsidDel="00000000" w:rsidR="00000000" w:rsidRPr="00000000">
        <w:rPr>
          <w:rtl w:val="0"/>
        </w:rPr>
        <w:t xml:space="preserve">co umożliwi darmową dystrybucję produktu. Znajomość języka C++, którego nauka była obowiązkowym elementem programu studiów, pozwoli na usprawnienie etapu implementacji.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afterAutospacing="0" w:before="120" w:line="240" w:lineRule="auto"/>
        <w:ind w:left="566.9291338582675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Słabości </w:t>
        <w:br w:type="textWrapping"/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Niewielkie doświadczenie członków zespołu </w:t>
      </w:r>
      <w:r w:rsidDel="00000000" w:rsidR="00000000" w:rsidRPr="00000000">
        <w:rPr>
          <w:rtl w:val="0"/>
        </w:rPr>
        <w:t xml:space="preserve">w zakresie regularnej pracy nad projektem grupowym oraz relatywny brak znajomości technologii, których wykorzystanie jest przewidziane w ramach pracy nad produktem wpłynie znacząco na prędkość i płynność pracy. </w:t>
      </w:r>
    </w:p>
    <w:p w:rsidR="00000000" w:rsidDel="00000000" w:rsidP="00000000" w:rsidRDefault="00000000" w:rsidRPr="00000000" w14:paraId="00000056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beforeAutospacing="0" w:line="240" w:lineRule="auto"/>
        <w:ind w:left="566.9291338582675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Analiza wykonalności systemu</w:t>
      </w:r>
    </w:p>
    <w:p w:rsidR="00000000" w:rsidDel="00000000" w:rsidP="00000000" w:rsidRDefault="00000000" w:rsidRPr="00000000" w14:paraId="00000057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66.9291338582675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Wykonalność pod względem technicznym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Głównym założeniem projektu jest jego dostępność dla użytkowników systemu Windows w wersji 10 wzwyż. Potencjalne dostosowanie gry do wymagań systemów Unixowych jest przewidziane w ramach dalszej, samodzielnej pracy nad rozwojem projektu już po jego wydaniu.</w:t>
        <w:br w:type="textWrapping"/>
        <w:t xml:space="preserve">Przewidziane jest dostosowanie gry do indywidualnych potrzeb użytkowników, w szczególności:</w:t>
        <w:br w:type="textWrapping"/>
        <w:t xml:space="preserve">- opcja zmiany rozmiaru napisów,</w:t>
        <w:br w:type="textWrapping"/>
        <w:t xml:space="preserve">- możliwość wybrania palety kolorów dla daltonistów, </w:t>
        <w:br w:type="textWrapping"/>
        <w:t xml:space="preserve">- opcja zmiany kontrastu i jasności otoczenia, </w:t>
        <w:br w:type="textWrapping"/>
        <w:t xml:space="preserve">- mapowanie przycisków.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66.9291338582675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Wykonalność pod względem organizacyjnym</w:t>
        <w:br w:type="textWrapping"/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 uwagi na wykorzystanie darmowych oprogramowań</w:t>
      </w:r>
      <w:r w:rsidDel="00000000" w:rsidR="00000000" w:rsidRPr="00000000">
        <w:rPr>
          <w:rtl w:val="0"/>
        </w:rPr>
        <w:t xml:space="preserve"> w ramach procesu implementacji nie są przewidziane dodatkowe koszta. Opublikowanie gry na platformie dystrybucyjnej potencjalnie wymagać będzie zebrania przez zespół projektowy kwoty rzędu 100 dolarów. Dodatkowe koszta potencjalnie związane będą z zatrudnieniem podwykonawców. </w:t>
        <w:br w:type="textWrapping"/>
        <w:t xml:space="preserve">Z uwagi na sztywne ograniczenia czasowe głównym założeniem jest wydanie działającej gry operującej na platformie Windows możliwy dalszy rozwój gry nie jest przewidziany w ramach zleconego projektu.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afterAutospacing="0" w:before="120" w:line="240" w:lineRule="auto"/>
        <w:ind w:left="566.9291338582675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Wykonalność pod względem prawnym</w:t>
        <w:br w:type="textWrapping"/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Nie są wymagane dodatkowe pozwolenia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 ramac</w:t>
      </w:r>
      <w:r w:rsidDel="00000000" w:rsidR="00000000" w:rsidRPr="00000000">
        <w:rPr>
          <w:rtl w:val="0"/>
        </w:rPr>
        <w:t xml:space="preserve">h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dalszego rozwoju projektu możliwe jest zebranie funduszy i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wystąpienie o </w:t>
      </w:r>
      <w:r w:rsidDel="00000000" w:rsidR="00000000" w:rsidRPr="00000000">
        <w:rPr>
          <w:rtl w:val="0"/>
        </w:rPr>
        <w:t xml:space="preserve">przyznanie grze kategorii zgodnej z oficjalną klasyfikacją PEGI. </w:t>
        <w:br w:type="textWrapping"/>
        <w:t xml:space="preserve">W przypadku udostępnienia gry na platformie dystrybucyjnej uwzględnione zostaną wszelkie ograniczenia zdefiniowane przez warunki korzystania ze wspomnianej platformy.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beforeAutospacing="0" w:line="240" w:lineRule="auto"/>
        <w:ind w:left="566.9291338582675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Analiza kosztów i zysków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66.9291338582675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Koszty</w:t>
        <w:br w:type="textWrapping"/>
      </w:r>
      <w:r w:rsidDel="00000000" w:rsidR="00000000" w:rsidRPr="00000000">
        <w:rPr>
          <w:rtl w:val="0"/>
        </w:rPr>
        <w:t xml:space="preserve">Przewidziany koszt wdrożenia projektu nie powinien przekroczyć 500 dolarów. Podana suma zawiera w sobie koszty wydania gry na platformie wymagającej uiszczenia opłat oraz koszt zatrudnienia podwykonawców w przypadku wystąpienia nagłych zmian w harmonogramie pracy.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afterAutospacing="0" w:before="120" w:line="240" w:lineRule="auto"/>
        <w:ind w:left="566.9291338582675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Zyski</w:t>
        <w:br w:type="textWrapping"/>
      </w:r>
      <w:r w:rsidDel="00000000" w:rsidR="00000000" w:rsidRPr="00000000">
        <w:rPr>
          <w:rtl w:val="0"/>
        </w:rPr>
        <w:t xml:space="preserve">Wydanie gry w założeniu nie ma przynieść korzyści komercyjnych.</w:t>
      </w:r>
    </w:p>
    <w:p w:rsidR="00000000" w:rsidDel="00000000" w:rsidP="00000000" w:rsidRDefault="00000000" w:rsidRPr="00000000" w14:paraId="0000005D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beforeAutospacing="0" w:line="240" w:lineRule="auto"/>
        <w:ind w:left="566.9291338582675" w:right="0" w:hanging="360"/>
        <w:jc w:val="both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odsumowanie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Etapy sporządzania dokumentacji i implementacji projektu są </w:t>
      </w:r>
      <w:r w:rsidDel="00000000" w:rsidR="00000000" w:rsidRPr="00000000">
        <w:rPr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przewidzian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na bie</w:t>
      </w:r>
      <w:r w:rsidDel="00000000" w:rsidR="00000000" w:rsidRPr="00000000">
        <w:rPr>
          <w:rtl w:val="0"/>
        </w:rPr>
        <w:t xml:space="preserve">żący rok. Szansa na zdanie gotowego produktu spełniającego wymagania, tj. operowalność na systemie Windows, brak błędów uniemożliwiających lub znacząco utrudniających ukończenie gry, podstawowe ułatwienia dostępności, jest satysfakcjonująca.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851" w:top="851" w:left="851" w:right="851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RW.doc</w:t>
      <w:tab/>
      <w:tab/>
      <w:tab/>
      <w:tab/>
      <w:tab/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  <w:tab/>
      <w:tab/>
      <w:t xml:space="preserve">Data ostatniego wydruku: 2023-03-11 23:00:00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Raport Wykonalności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sz w:val="22"/>
        <w:szCs w:val="22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l-P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>
    <w:name w:val="Normalny"/>
    <w:next w:val="Normalny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l-PL" w:val="pl-PL"/>
    </w:rPr>
  </w:style>
  <w:style w:type="paragraph" w:styleId="Nagłówek1">
    <w:name w:val="Nagłówek 1"/>
    <w:basedOn w:val="Normalny"/>
    <w:next w:val="Tekstpodstawowy"/>
    <w:autoRedefine w:val="0"/>
    <w:hidden w:val="0"/>
    <w:qFormat w:val="0"/>
    <w:pPr>
      <w:keepNext w:val="1"/>
      <w:numPr>
        <w:ilvl w:val="0"/>
        <w:numId w:val="5"/>
      </w:numPr>
      <w:suppressAutoHyphens w:val="1"/>
      <w:spacing w:after="60" w:before="30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effect w:val="none"/>
      <w:vertAlign w:val="baseline"/>
      <w:cs w:val="0"/>
      <w:em w:val="none"/>
      <w:lang w:bidi="ar-SA" w:eastAsia="pl-PL" w:val="pl-PL"/>
    </w:rPr>
  </w:style>
  <w:style w:type="paragraph" w:styleId="Nagłówek2">
    <w:name w:val="Nagłówek 2"/>
    <w:basedOn w:val="Normalny"/>
    <w:next w:val="Tekstpodstawowy"/>
    <w:autoRedefine w:val="0"/>
    <w:hidden w:val="0"/>
    <w:qFormat w:val="0"/>
    <w:pPr>
      <w:keepNext w:val="1"/>
      <w:numPr>
        <w:ilvl w:val="1"/>
        <w:numId w:val="5"/>
      </w:numPr>
      <w:suppressAutoHyphens w:val="1"/>
      <w:spacing w:after="60" w:before="120" w:line="1" w:lineRule="atLeast"/>
      <w:ind w:leftChars="-1" w:rightChars="0" w:firstLineChars="-1"/>
      <w:textDirection w:val="btLr"/>
      <w:textAlignment w:val="top"/>
      <w:outlineLvl w:val="1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pl-PL" w:val="pl-PL"/>
    </w:rPr>
  </w:style>
  <w:style w:type="paragraph" w:styleId="Nagłówek3">
    <w:name w:val="Nagłówek 3"/>
    <w:basedOn w:val="Normalny"/>
    <w:next w:val="Normalny"/>
    <w:autoRedefine w:val="0"/>
    <w:hidden w:val="0"/>
    <w:qFormat w:val="0"/>
    <w:pPr>
      <w:keepNext w:val="1"/>
      <w:numPr>
        <w:ilvl w:val="2"/>
        <w:numId w:val="5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2"/>
    </w:pPr>
    <w:rPr>
      <w:b w:val="1"/>
      <w:bCs w:val="1"/>
      <w:i w:val="1"/>
      <w:iCs w:val="1"/>
      <w:w w:val="100"/>
      <w:position w:val="-1"/>
      <w:szCs w:val="24"/>
      <w:effect w:val="none"/>
      <w:vertAlign w:val="baseline"/>
      <w:cs w:val="0"/>
      <w:em w:val="none"/>
      <w:lang w:bidi="ar-SA" w:eastAsia="pl-PL" w:val="pl-PL"/>
    </w:rPr>
  </w:style>
  <w:style w:type="paragraph" w:styleId="Nagłówek4">
    <w:name w:val="Nagłówek 4"/>
    <w:basedOn w:val="Normalny"/>
    <w:next w:val="Normalny"/>
    <w:autoRedefine w:val="0"/>
    <w:hidden w:val="0"/>
    <w:qFormat w:val="0"/>
    <w:pPr>
      <w:keepNext w:val="1"/>
      <w:numPr>
        <w:ilvl w:val="3"/>
        <w:numId w:val="5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pl-PL" w:val="pl-PL"/>
    </w:rPr>
  </w:style>
  <w:style w:type="paragraph" w:styleId="Nagłówek5">
    <w:name w:val="Nagłówek 5"/>
    <w:basedOn w:val="Normalny"/>
    <w:next w:val="Normalny"/>
    <w:autoRedefine w:val="0"/>
    <w:hidden w:val="0"/>
    <w:qFormat w:val="0"/>
    <w:pPr>
      <w:numPr>
        <w:ilvl w:val="4"/>
        <w:numId w:val="5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pl-PL" w:val="pl-PL"/>
    </w:rPr>
  </w:style>
  <w:style w:type="paragraph" w:styleId="Nagłówek6">
    <w:name w:val="Nagłówek 6"/>
    <w:basedOn w:val="Normalny"/>
    <w:next w:val="Normalny"/>
    <w:autoRedefine w:val="0"/>
    <w:hidden w:val="0"/>
    <w:qFormat w:val="0"/>
    <w:pPr>
      <w:numPr>
        <w:ilvl w:val="5"/>
        <w:numId w:val="5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pl-PL" w:val="pl-PL"/>
    </w:rPr>
  </w:style>
  <w:style w:type="paragraph" w:styleId="Nagłówek7">
    <w:name w:val="Nagłówek 7"/>
    <w:basedOn w:val="Normalny"/>
    <w:next w:val="Normalny"/>
    <w:autoRedefine w:val="0"/>
    <w:hidden w:val="0"/>
    <w:qFormat w:val="0"/>
    <w:pPr>
      <w:numPr>
        <w:ilvl w:val="6"/>
        <w:numId w:val="5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l-PL" w:val="pl-PL"/>
    </w:rPr>
  </w:style>
  <w:style w:type="paragraph" w:styleId="Nagłówek8">
    <w:name w:val="Nagłówek 8"/>
    <w:basedOn w:val="Normalny"/>
    <w:next w:val="Normalny"/>
    <w:autoRedefine w:val="0"/>
    <w:hidden w:val="0"/>
    <w:qFormat w:val="0"/>
    <w:pPr>
      <w:numPr>
        <w:ilvl w:val="7"/>
        <w:numId w:val="5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pl-PL" w:val="pl-PL"/>
    </w:rPr>
  </w:style>
  <w:style w:type="paragraph" w:styleId="Nagłówek9">
    <w:name w:val="Nagłówek 9"/>
    <w:basedOn w:val="Normalny"/>
    <w:next w:val="Normalny"/>
    <w:autoRedefine w:val="0"/>
    <w:hidden w:val="0"/>
    <w:qFormat w:val="0"/>
    <w:pPr>
      <w:numPr>
        <w:ilvl w:val="8"/>
        <w:numId w:val="5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pl-PL" w:val="pl-PL"/>
    </w:rPr>
  </w:style>
  <w:style w:type="character" w:styleId="Domyślnaczcionkaakapitu">
    <w:name w:val="Domyślna czcionka akapitu"/>
    <w:next w:val="Domyślnaczcionkaakapitu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Standardowy">
    <w:name w:val="Standardowy"/>
    <w:next w:val="Standardowy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Standardowy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>
    <w:name w:val="Bez listy"/>
    <w:next w:val="Bezlisty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agłówek">
    <w:name w:val="Nagłówek"/>
    <w:basedOn w:val="Normalny"/>
    <w:next w:val="Nagłówek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16"/>
      <w:effect w:val="none"/>
      <w:vertAlign w:val="baseline"/>
      <w:cs w:val="0"/>
      <w:em w:val="none"/>
      <w:lang w:bidi="ar-SA" w:eastAsia="pl-PL" w:val="pl-PL"/>
    </w:rPr>
  </w:style>
  <w:style w:type="paragraph" w:styleId="Stopka">
    <w:name w:val="Stopka"/>
    <w:basedOn w:val="Normalny"/>
    <w:next w:val="Stopka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l-PL" w:val="pl-PL"/>
    </w:rPr>
  </w:style>
  <w:style w:type="character" w:styleId="Numerstrony">
    <w:name w:val="Numer strony"/>
    <w:basedOn w:val="Domyślnaczcionkaakapitu"/>
    <w:next w:val="Numerstron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ekstpodstawowy2">
    <w:name w:val="Tekst podstawowy 2"/>
    <w:basedOn w:val="Normalny"/>
    <w:next w:val="Tekstpodstawowy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 w:val="22"/>
      <w:effect w:val="none"/>
      <w:vertAlign w:val="baseline"/>
      <w:cs w:val="0"/>
      <w:em w:val="none"/>
      <w:lang w:bidi="ar-SA" w:eastAsia="pl-PL" w:val="pl-PL"/>
    </w:rPr>
  </w:style>
  <w:style w:type="paragraph" w:styleId="Tekstpodstawowy">
    <w:name w:val="Tekst podstawowy"/>
    <w:basedOn w:val="Normalny"/>
    <w:next w:val="Tekstpodstawowy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bCs w:val="1"/>
      <w:w w:val="100"/>
      <w:position w:val="-1"/>
      <w:effect w:val="none"/>
      <w:vertAlign w:val="baseline"/>
      <w:cs w:val="0"/>
      <w:em w:val="none"/>
      <w:lang w:bidi="ar-SA" w:eastAsia="pl-PL" w:val="pl-PL"/>
    </w:rPr>
  </w:style>
  <w:style w:type="paragraph" w:styleId="Podtytuł">
    <w:name w:val="Podtytuł"/>
    <w:basedOn w:val="Normalny"/>
    <w:next w:val="Podtytuł"/>
    <w:autoRedefine w:val="0"/>
    <w:hidden w:val="0"/>
    <w:qFormat w:val="0"/>
    <w:pPr>
      <w:suppressAutoHyphens w:val="1"/>
      <w:spacing w:after="60" w:line="1" w:lineRule="atLeast"/>
      <w:ind w:leftChars="-1" w:rightChars="0" w:firstLineChars="-1"/>
      <w:jc w:val="center"/>
      <w:textDirection w:val="btLr"/>
      <w:textAlignment w:val="top"/>
      <w:outlineLvl w:val="1"/>
    </w:pPr>
    <w:rPr>
      <w:rFonts w:ascii="Arial" w:cs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pl-PL" w:val="pl-PL"/>
    </w:rPr>
  </w:style>
  <w:style w:type="paragraph" w:styleId="Tekstpodstawowywcięty2">
    <w:name w:val="Tekst podstawowy wcięty 2"/>
    <w:basedOn w:val="Normalny"/>
    <w:next w:val="Tekstpodstawowywcięty2"/>
    <w:autoRedefine w:val="0"/>
    <w:hidden w:val="0"/>
    <w:qFormat w:val="0"/>
    <w:pPr>
      <w:suppressAutoHyphens w:val="1"/>
      <w:spacing w:line="1" w:lineRule="atLeast"/>
      <w:ind w:left="360" w:leftChars="-1" w:rightChars="0" w:firstLineChars="-1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pl-PL" w:val="pl-PL"/>
    </w:rPr>
  </w:style>
  <w:style w:type="paragraph" w:styleId="wpis_w_tabeli">
    <w:name w:val="wpis_w_tabeli"/>
    <w:next w:val="wpis_w_tabeli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w w:val="100"/>
      <w:position w:val="-1"/>
      <w:sz w:val="16"/>
      <w:effect w:val="none"/>
      <w:vertAlign w:val="baseline"/>
      <w:cs w:val="0"/>
      <w:em w:val="none"/>
      <w:lang w:bidi="ar-SA" w:eastAsia="pl-PL" w:val="pl-PL"/>
    </w:rPr>
  </w:style>
  <w:style w:type="paragraph" w:styleId="wpis_w_tabeli_centr">
    <w:name w:val="wpis_w_tabeli_centr"/>
    <w:basedOn w:val="wpis_w_tabeli"/>
    <w:next w:val="wpis_w_tabeli_centr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w w:val="100"/>
      <w:position w:val="-1"/>
      <w:sz w:val="16"/>
      <w:effect w:val="none"/>
      <w:vertAlign w:val="baseline"/>
      <w:cs w:val="0"/>
      <w:em w:val="none"/>
      <w:lang w:bidi="ar-SA" w:eastAsia="pl-PL" w:val="und"/>
    </w:rPr>
  </w:style>
  <w:style w:type="paragraph" w:styleId="tekst_w_tabeli">
    <w:name w:val="tekst_w_tabeli"/>
    <w:basedOn w:val="Normalny"/>
    <w:next w:val="tekst_w_tabeli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 w:val="18"/>
      <w:szCs w:val="18"/>
      <w:effect w:val="none"/>
      <w:vertAlign w:val="baseline"/>
      <w:cs w:val="0"/>
      <w:em w:val="none"/>
      <w:lang w:bidi="ar-SA" w:eastAsia="pl-PL" w:val="pl-PL"/>
    </w:rPr>
  </w:style>
  <w:style w:type="paragraph" w:styleId="tekst_w_tabeli_centr">
    <w:name w:val="tekst_w_tabeli_centr"/>
    <w:basedOn w:val="tekst_w_tabeli"/>
    <w:next w:val="tekst_w_tabeli_centr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 w:val="18"/>
      <w:szCs w:val="18"/>
      <w:effect w:val="none"/>
      <w:vertAlign w:val="baseline"/>
      <w:cs w:val="0"/>
      <w:em w:val="none"/>
      <w:lang w:bidi="ar-SA" w:eastAsia="pl-PL" w:val="und"/>
    </w:rPr>
  </w:style>
  <w:style w:type="paragraph" w:styleId="tekst_w_tabeli_TNR">
    <w:name w:val="tekst_w_tabeli_TNR"/>
    <w:basedOn w:val="tekst_w_tabeli"/>
    <w:next w:val="tekst_w_tabeli_TNR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b w:val="1"/>
      <w:bCs w:val="1"/>
      <w:w w:val="100"/>
      <w:position w:val="-1"/>
      <w:sz w:val="18"/>
      <w:szCs w:val="18"/>
      <w:effect w:val="none"/>
      <w:vertAlign w:val="baseline"/>
      <w:cs w:val="0"/>
      <w:em w:val="none"/>
      <w:lang w:bidi="ar-SA" w:eastAsia="pl-PL" w:val="pl-PL"/>
    </w:rPr>
  </w:style>
  <w:style w:type="paragraph" w:styleId="Tekstpodstawowykursywa">
    <w:name w:val="Tekst podstawowy kursywa"/>
    <w:basedOn w:val="Tekstpodstawowy"/>
    <w:next w:val="Tekstpodstawowykursywa"/>
    <w:autoRedefine w:val="0"/>
    <w:hidden w:val="0"/>
    <w:qFormat w:val="0"/>
    <w:pPr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0"/>
      <w:i w:val="1"/>
      <w:iCs w:val="1"/>
      <w:w w:val="100"/>
      <w:position w:val="-1"/>
      <w:effect w:val="none"/>
      <w:vertAlign w:val="baseline"/>
      <w:cs w:val="0"/>
      <w:em w:val="none"/>
      <w:lang w:bidi="ar-SA" w:eastAsia="pl-PL" w:val="pl-PL"/>
    </w:rPr>
  </w:style>
  <w:style w:type="paragraph" w:styleId="komentarz">
    <w:name w:val="komentarz"/>
    <w:basedOn w:val="tekst_w_tabeli"/>
    <w:next w:val="komentarz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0"/>
      <w:bCs w:val="1"/>
      <w:i w:val="1"/>
      <w:w w:val="100"/>
      <w:position w:val="-1"/>
      <w:sz w:val="16"/>
      <w:szCs w:val="18"/>
      <w:effect w:val="none"/>
      <w:vertAlign w:val="baseline"/>
      <w:cs w:val="0"/>
      <w:em w:val="none"/>
      <w:lang w:bidi="ar-SA" w:eastAsia="pl-PL" w:val="pl-PL"/>
    </w:rPr>
  </w:style>
  <w:style w:type="paragraph" w:styleId="komentarzZnak">
    <w:name w:val="komentarz Znak"/>
    <w:basedOn w:val="tekst_w_tabeli"/>
    <w:next w:val="komentarzZnak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0"/>
      <w:bCs w:val="1"/>
      <w:i w:val="1"/>
      <w:w w:val="100"/>
      <w:position w:val="-1"/>
      <w:sz w:val="16"/>
      <w:szCs w:val="19"/>
      <w:effect w:val="none"/>
      <w:vertAlign w:val="baseline"/>
      <w:cs w:val="0"/>
      <w:em w:val="none"/>
      <w:lang w:bidi="ar-SA" w:eastAsia="pl-PL" w:val="pl-PL"/>
    </w:rPr>
  </w:style>
  <w:style w:type="character" w:styleId="komentarzZnakZnak">
    <w:name w:val="komentarz Znak Znak"/>
    <w:next w:val="komentarzZnakZnak"/>
    <w:autoRedefine w:val="0"/>
    <w:hidden w:val="0"/>
    <w:qFormat w:val="0"/>
    <w:rPr>
      <w:rFonts w:ascii="Arial" w:hAnsi="Arial"/>
      <w:bCs w:val="1"/>
      <w:i w:val="1"/>
      <w:w w:val="100"/>
      <w:position w:val="-1"/>
      <w:sz w:val="16"/>
      <w:szCs w:val="19"/>
      <w:effect w:val="none"/>
      <w:vertAlign w:val="baseline"/>
      <w:cs w:val="0"/>
      <w:em w:val="none"/>
      <w:lang w:bidi="ar-SA" w:eastAsia="pl-PL" w:val="pl-PL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HVRLzcGUcUT9pR1zZgYug5XDyw==">CgMxLjA4AHIhMUd5U09oZ0lHWHAzY3NBX2k2M21DVUlwdFhBOEltZzh2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2024-03-05T15:49:00Z</dcterms:created>
  <dc:creator>Marta Łabuda</dc:creator>
</cp:coreProperties>
</file>