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وثيقة التأمين الطبي الشامل والخدمات الصحية</w:t>
      </w:r>
    </w:p>
    <w:p>
      <w:pPr>
        <w:pStyle w:val="Heading2"/>
      </w:pPr>
      <w:r>
        <w:t>القسم الأول: نطاق التغطية الصحية والمشمولين</w:t>
      </w:r>
    </w:p>
    <w:p>
      <w:r>
        <w:t>تُوفر الشركة تغطية تأمين طبي شامل لكافة الموظفين المعينين بعقود دائمية ولأفراد عائلاتهم المباشرين. يشمل المشمولون في التأمين: الزوج أو الزوجة، والأبناء حتى سن 18 عاماً (أو حتى سن 22 عاماً إذا كانوا طلاباً في المرحلة الجامعية ومسجلين رسمياً).</w:t>
      </w:r>
    </w:p>
    <w:p>
      <w:r>
        <w:t>تبدأ التغطية التأمينية فور استكمال إجراءات التعيين وتوقيع العقد الرسمي، وتُصدر بطاقات التأمين الرقمية خلال 5 أيام عمل من تاريخ المباشرة.</w:t>
      </w:r>
    </w:p>
    <w:p>
      <w:pPr>
        <w:pStyle w:val="Heading2"/>
      </w:pPr>
      <w:r>
        <w:t>القسم الثاني: نسبة التحمل والسقف السنوي للتغطية</w:t>
      </w:r>
    </w:p>
    <w:p>
      <w:r>
        <w:t>الحد الأقصى للتغطية العلاجية السنوية لكل فرد مشمول في الوثيقة هو 15,000 دينار. تبلغ نسبة المشاركة في الدفع (نسبة التحمل Co-payment) داخل شبكة المستشفيات والمراكز الطبية المعتمدة 10% فقط من إجمالي الفاتورة، بينما تتكفل الشركة بالـ 90% المتبقية.</w:t>
      </w:r>
    </w:p>
    <w:p>
      <w:r>
        <w:t>في حال العلاج خارج شبكة المستشفيات المعتمدة، يتوجب على الموظف الحصول على موافقة مسبقة من شركة التأمين، وتبلغ نسبة التحمل في هذه الحالة 20% من الفاتورة.</w:t>
      </w:r>
    </w:p>
    <w:p>
      <w:pPr>
        <w:pStyle w:val="Heading2"/>
      </w:pPr>
      <w:r>
        <w:t>القسم الثالث: علاجات الأسنان والنظارات الطبية</w:t>
      </w:r>
    </w:p>
    <w:p>
      <w:r>
        <w:t>تغطي وثيقة التأمين الطبي معالجات الأسنان الأساسية (الخلع، الحشوات، والتنظيف الدوري) بسقف أقصى قدره 300 دينار سنوياً لكل فرد مشمول. لا تشمل التغطية العمليات التجميلية للأسنان مثل التبييض أو زراعة الأسنان لأغراض شكلية.</w:t>
      </w:r>
    </w:p>
    <w:p>
      <w:r>
        <w:t>يُصرف مبلغ مخصص للنظارات الطبية أو العدسات اللاصقة الطبية بسقف 150 دينار كل سنتين لكل فرد، ويشترط تقديم وصفة طبية حديثة من طبيب عيون معتمد.</w:t>
      </w:r>
    </w:p>
    <w:p>
      <w:pPr>
        <w:pStyle w:val="Heading2"/>
      </w:pPr>
      <w:r>
        <w:t>القسم الرابع: حالات الحمل والولادة والأمراض المزمنة</w:t>
      </w:r>
    </w:p>
    <w:p>
      <w:r>
        <w:t>تغطي الوثيقة مصاريف متابعة الحمل والولادة الطبيعية أو القيصرية بسقف يصل إلى 2,500 دينار للحالة الواحدة داخل الشبكة المعتمدة. تغطي الوثيقة أيضاً أدوات وعلاجات الأمراض المزمنة (مثل السكري والضغط) بشرط تسجيل الحالة ضمن سجل الأمراض المزمنة لدى شركة التأمين.</w:t>
      </w:r>
    </w:p>
    <w:p>
      <w:r>
        <w:t>تتطلب الحالات الجراحية والدخول للمستشفى موافقة مسبقة من شركة التأمين قبل 48 ساعة من الموعد المكتوب، باستثناء الحالات الطارئة التي تُغطى فوراً عبر قسم الطوارئ.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