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دليل الأمن السيبراني واستخدام أصول الشركة التقنية</w:t>
      </w:r>
    </w:p>
    <w:p>
      <w:pPr>
        <w:pStyle w:val="Heading2"/>
      </w:pPr>
      <w:r>
        <w:t>الباب الأول: إدارة الأجهزة المحمولة والشبكة</w:t>
      </w:r>
    </w:p>
    <w:p>
      <w:r>
        <w:t>تُعتبر الأجهزة المحمولة (اللابتوب والمحمول) الممنوحة للموظفين أصولاً رسمية مملوكة للشركة ومخصصة لأغراض العمل فقط. يُمنع منعاً باتاً استخدام هذه الأجهزة لأغراض شخصية أو إعارتها لأشخاص خارج نطاق الشركة تحت أي ظرف.</w:t>
      </w:r>
    </w:p>
    <w:p>
      <w:r>
        <w:t>يُحظر اتصال أجهزة الشركة بشبكات Wi-Fi العامة غير المشفرة (مثل شبكات الكافيهات والمطارات) دون تشغيل شبكة الاتصال المشفرة (VPN) المعتمدة من قسم IT.</w:t>
      </w:r>
    </w:p>
    <w:p>
      <w:pPr>
        <w:pStyle w:val="Heading2"/>
      </w:pPr>
      <w:r>
        <w:t>الباب الثاني: سياسة كلمات المرور والحسابات</w:t>
      </w:r>
    </w:p>
    <w:p>
      <w:r>
        <w:t>يجب أن تتكون جميع كلمات المرور الخاصة بالحسابات والخدمات من 12 خانة على الأقل، وتحتوي على مزيج من الأحرف الكبيرة، والأحرف الصغيرة، والأرقام، والرموز الخاصة.</w:t>
      </w:r>
    </w:p>
    <w:p>
      <w:r>
        <w:t>يتوجب تغيير كلمة المرور بشكل دوري كل 90 يوماً. يُمنع إعادة استخدام آخر 5 كلمات مرور سابقة. يُحظر مشاركة كلمات المرور مع أي زميل عمل أو كتابتها على أوراق لاصقة مثرية بالقرب من الجهاز.</w:t>
      </w:r>
    </w:p>
    <w:p>
      <w:r>
        <w:t>يُعد تفعيل التحقق متعدد العوامل (MFA / 2FA) إجبارياً على كافة الحسابات والبرمجيات المرتبطة بالشركة دون استثناء.</w:t>
      </w:r>
    </w:p>
    <w:p>
      <w:pPr>
        <w:pStyle w:val="Heading2"/>
      </w:pPr>
      <w:r>
        <w:t>الباب الثالث: البلاغات وحوادث الاختراق</w:t>
      </w:r>
    </w:p>
    <w:p>
      <w:r>
        <w:t>في حال فقدان أو سرقة لابتوب العمل أو أي جهاز يحتوي على بيانات الشركة، يجب على الموظف إبلاغ قسم الأمن السيبراني (Cybersecurity Team) ومديره المباشر خلال مدة لا تتجاوز ساعتين من اكتشاف الواقعة.</w:t>
      </w:r>
    </w:p>
    <w:p>
      <w:r>
        <w:t>يتولى فريق IT فور الاستلام القيام بالمسح عن بُعد (Remote Wipe) للجهاز لحماية البيانات الحساسة من التسريب.</w:t>
      </w:r>
    </w:p>
    <w:p>
      <w:r>
        <w:t>عند استلام أي رسالة إلكترونية مشبوهة أو تحتوي على روابط غير معروفة (Phishing E-mails)، يُمنع الضغط على أي رابط، ويجب استخدام زر 'Report Phishing' لإبلاغ فريق الأمن فورا.</w:t>
      </w:r>
    </w:p>
    <w:p>
      <w:pPr>
        <w:pStyle w:val="Heading2"/>
      </w:pPr>
      <w:r>
        <w:t>الباب الرابع: البرامج المسموحة والبرمجيات الخبيثة</w:t>
      </w:r>
    </w:p>
    <w:p>
      <w:r>
        <w:t>يُمنع تثبيت أي برمجيات أو تطبيقات غير مدرجة في متجر البرامج المعتمد لدى الشركة (Company Portal) دون الحصول على إذن خطي من مدير الأمن السيبراني.</w:t>
      </w:r>
    </w:p>
    <w:p>
      <w:r>
        <w:t>تخضع كافة الأجهزة لفحص دوري تلقائي بواسطة برنامج مكافحة الفيروسات (Antivirus)، وأي جهاز يتم اكتشاف برمجيات خبيثة فيه سيتم عزله عن الشبكة تلقائياً لحين معالجته.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