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معايير تطوير المشاريع وأنظمة الذكاء الاصطناعي</w:t>
      </w:r>
    </w:p>
    <w:p>
      <w:pPr>
        <w:pStyle w:val="Heading2"/>
      </w:pPr>
      <w:r>
        <w:t>الجزء الأول: البنية التحتية والسحابية</w:t>
      </w:r>
    </w:p>
    <w:p>
      <w:r>
        <w:t>تعتمد الشركة بيئة Azure Cloud كبيئة سحابية رئيسية لاستضافة الأنظمة، والخدمات المصغرة (Microservices)، وبناء حلول الذكاء الاصطناعي التوليدي (GenAI).يجب إدارة كافة الموارد السحابية باستخدام برمجيات البنية التحتية ككود (Infrastructure as Code - IaC).</w:t>
      </w:r>
    </w:p>
    <w:p>
      <w:r>
        <w:t>تُقسم بيئات التطوير إلى ثلاث بيئات رئيسية: بيئة التطوير (Development)، بيئة الاختبار (Staging)، وبيئة الإنتاج (Production). يُحظر الوصول المباشر لبيئة الإنتاج إلا لأشخاص محددين وفقط لتنفيذ عمليات النشر المعتمدة.</w:t>
      </w:r>
    </w:p>
    <w:p>
      <w:pPr>
        <w:pStyle w:val="Heading2"/>
      </w:pPr>
      <w:r>
        <w:t>الجزء الثاني: بناء وتطوير تطبيقات GenAI و RAG</w:t>
      </w:r>
    </w:p>
    <w:p>
      <w:r>
        <w:t>عند تطوير وكلاء الذكاء الاصطناعي (GenAI Agents) يعتمد النظام معمارية RAG (Retrieval-Augmented Generation) لضمان دقة الإجابات ومنع التضليل (Hallucinations).</w:t>
      </w:r>
    </w:p>
    <w:p>
      <w:r>
        <w:t>يجب إعداد محرك البحث Azure AI Search لتنفيذ البحث الهجين (Hybrid Search) الذي يدمج بين Keyword Search باستخدام خوارزمية BM25 والـ Vector Search باستخدام نماذج الـ Embeddings، متبوعاً بالـ Semantic Ranking لرفع دقة المستندات المسترجعة.</w:t>
      </w:r>
    </w:p>
    <w:p>
      <w:r>
        <w:t>يتوجب ضبط الـ System Prompt للوكيل بحيث يقيد الإجابات حصراً بالمستندات المرفقة (Grounding)، ويصرح النظام بـ 'لا توجد معلومات كافية' إذا لم يجد الإجابة في البيانات المسترجعة.</w:t>
      </w:r>
    </w:p>
    <w:p>
      <w:pPr>
        <w:pStyle w:val="Heading2"/>
      </w:pPr>
      <w:r>
        <w:t>الجزء الثالث: إدارة ذاكرة المحادثات وسياق الحوار</w:t>
      </w:r>
    </w:p>
    <w:p>
      <w:r>
        <w:t>يجب تصميم واجهة البرمجة (Flask API) لتستقبل ذاكرة المحادثة (Conversation History) وتمريرها مع كل طلب جديد لنموذج الذكاء الاصطناعي (مثل gpt-5.4-mini).</w:t>
      </w:r>
    </w:p>
    <w:p>
      <w:r>
        <w:t>يتعين على المطورين تحديد سقف أقصى للـ Chat History لمنع تجاوز حد التوكنز المسموح به (Context Window Limit)، ولتقليل تكلفة الاستهلاك والرفع من سرعة الاستجابة.</w:t>
      </w:r>
    </w:p>
    <w:p>
      <w:pPr>
        <w:pStyle w:val="Heading2"/>
      </w:pPr>
      <w:r>
        <w:t>الجزء الرابع: مراجعة الكود وضمان الجودة</w:t>
      </w:r>
    </w:p>
    <w:p>
      <w:r>
        <w:t>يخضع كل كود برمجي لمراجعة دقيقة (Code Review) من قبل Senior Software Engineer قبل دمجه في الفرع الرئيسي (Main Branch).</w:t>
      </w:r>
    </w:p>
    <w:p>
      <w:r>
        <w:t>يجب إجراء اختبارات الوحدة (Unit Tests) واختبارات التكامل (Integration Tests) بنسبة تغطية لا تقل عن 80% لكافة المكونات الأساسية للـ Backend.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