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right"/>
      </w:pPr>
      <w:r>
        <w:rPr>
          <w:rFonts w:ascii="Calibri" w:cs="Calibri" w:eastAsia="Calibri" w:hAnsi="Calibri"/>
          <w:b/>
          <w:bCs/>
          <w:color w:val="1A3A5C"/>
          <w:sz w:val="56"/>
          <w:szCs w:val="56"/>
        </w:rPr>
        <w:t xml:space="preserve">ملف توصيف البيانات</w:t>
      </w:r>
    </w:p>
    <w:p>
      <w:pPr>
        <w:spacing w:before="0" w:after="60"/>
        <w:jc w:val="right"/>
      </w:pPr>
      <w:r>
        <w:rPr>
          <w:rFonts w:ascii="Calibri" w:cs="Calibri" w:eastAsia="Calibri" w:hAnsi="Calibri"/>
          <w:color w:val="2C6FAC"/>
          <w:sz w:val="24"/>
          <w:szCs w:val="24"/>
        </w:rPr>
        <w:t xml:space="preserve">شبكة المياه الوطنية الأردنية — مجموعة بيانات الاستشعار المكاني A-B  الإصدار 2.0</w:t>
      </w:r>
    </w:p>
    <w:p>
      <w:pPr>
        <w:spacing w:before="0" w:after="30"/>
        <w:jc w:val="right"/>
      </w:pPr>
      <w:r>
        <w:rPr>
          <w:rFonts w:ascii="Calibri" w:cs="Calibri" w:eastAsia="Calibri" w:hAnsi="Calibri"/>
          <w:i/>
          <w:iCs/>
          <w:color w:val="5A6880"/>
          <w:sz w:val="20"/>
          <w:szCs w:val="20"/>
        </w:rPr>
        <w:t xml:space="preserve">الكشف الذكي عن فقد المياه وإدارة الموارد بالذكاء الاصطناعي</w:t>
      </w:r>
    </w:p>
    <w:p>
      <w:pPr>
        <w:spacing w:before="0" w:after="120"/>
        <w:jc w:val="right"/>
      </w:pPr>
      <w:r>
        <w:rPr>
          <w:rFonts w:ascii="Calibri" w:cs="Calibri" w:eastAsia="Calibri" w:hAnsi="Calibri"/>
          <w:color w:val="5A6880"/>
          <w:sz w:val="18"/>
          <w:szCs w:val="18"/>
        </w:rPr>
        <w:t xml:space="preserve">فريق Change The Future  ·  جامعة عمّان العربية  ·  إشراف: د. ميس أحمد حاج قاسم  ·  هاكاثون IEEE RAS &amp; CS 2026</w:t>
      </w:r>
    </w:p>
    <w:p>
      <w:pPr>
        <w:pBdr>
          <w:bottom w:val="single" w:color="2C6FAC" w:sz="6" w:space="1"/>
        </w:pBdr>
        <w:spacing w:before="50" w:after="50"/>
        <w:jc w:val="right"/>
      </w:pPr>
    </w:p>
    <w:p>
      <w:pPr>
        <w:spacing w:before="36" w:after="0"/>
      </w:pPr>
    </w:p>
    <w:p>
      <w:pPr>
        <w:pStyle w:val="Heading1"/>
        <w:spacing w:before="320" w:after="90"/>
        <w:jc w:val="right"/>
      </w:pPr>
      <w:r>
        <w:rPr>
          <w:rFonts w:ascii="Calibri" w:cs="Calibri" w:eastAsia="Calibri" w:hAnsi="Calibri"/>
          <w:b/>
          <w:bCs/>
          <w:color w:val="1A3A5C"/>
          <w:sz w:val="28"/>
          <w:szCs w:val="28"/>
        </w:rPr>
        <w:t xml:space="preserve">1. نظرة عامة على مجموعة البيانات</w:t>
      </w:r>
    </w:p>
    <w:p>
      <w:pPr>
        <w:spacing w:before="50" w:after="50"/>
        <w:jc w:val="right"/>
      </w:pPr>
      <w:r>
        <w:rPr>
          <w:rFonts w:ascii="Calibri" w:cs="Calibri" w:eastAsia="Calibri" w:hAnsi="Calibri"/>
          <w:b w:val="false"/>
          <w:bCs w:val="false"/>
          <w:i w:val="false"/>
          <w:iCs w:val="false"/>
          <w:color w:val="1A1A2E"/>
          <w:sz w:val="20"/>
          <w:szCs w:val="20"/>
        </w:rPr>
        <w:t xml:space="preserve">هذه المجموعة مجموعة بيانات اصطناعية معايَرة فيزيائياً، صُمِّمت لدعم نظام الكشف الذكي عن فقد المياه في شبكة المياه الوطنية الأردنية. تعتمد بنية الاستشعار المكاني بين نقطتين (A→B)، حيث يمثّل كل سجل قسماً فعلياً من الأنبوب بين حسّاسَين، بدلاً من نقطة قياس زمنية واحدة.</w:t>
      </w:r>
    </w:p>
    <w:p>
      <w:pPr>
        <w:spacing w:before="36" w:after="0"/>
      </w:pPr>
    </w:p>
    <w:p>
      <w:pPr>
        <w:spacing w:before="50" w:after="50"/>
        <w:jc w:val="right"/>
      </w:pPr>
      <w:r>
        <w:rPr>
          <w:rFonts w:ascii="Calibri" w:cs="Calibri" w:eastAsia="Calibri" w:hAnsi="Calibri"/>
          <w:b w:val="false"/>
          <w:bCs w:val="false"/>
          <w:i w:val="false"/>
          <w:iCs w:val="false"/>
          <w:color w:val="1A1A2E"/>
          <w:sz w:val="20"/>
          <w:szCs w:val="20"/>
        </w:rPr>
        <w:t xml:space="preserve">المعاملات معايَرة بناءً على بيانات وزارة المياه والري الأردنية (حقائق وأرقام 2022)، ومنظمة الأغذية والزراعة AQUASTAT، والبنك الدولي. تشمل: معدل المياه غير المدرّة للإيرادات 41–56%، ومتاحية المياه ~145 م³/شخص/سنة، ومدة التزويد المتقطع 6–14 ساعة/يوم حسب المحافظة.</w:t>
      </w:r>
    </w:p>
    <w:p>
      <w:pPr>
        <w:spacing w:before="36" w:after="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65"/>
        <w:gridCol w:w="2265"/>
        <w:gridCol w:w="2265"/>
        <w:gridCol w:w="2265"/>
      </w:tblGrid>
      <w:tr>
        <w:trPr>
          <w:tblHeader/>
        </w:trPr>
        <w:tc>
          <w:tcPr>
            <w:tcW w:type="dxa" w:w="2265"/>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الخاصية</w:t>
            </w:r>
          </w:p>
        </w:tc>
        <w:tc>
          <w:tcPr>
            <w:tcW w:type="dxa" w:w="2265"/>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مجموعة التدريب</w:t>
            </w:r>
          </w:p>
        </w:tc>
        <w:tc>
          <w:tcPr>
            <w:tcW w:type="dxa" w:w="2265"/>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مجموعة الاختبار</w:t>
            </w:r>
          </w:p>
        </w:tc>
        <w:tc>
          <w:tcPr>
            <w:tcW w:type="dxa" w:w="2265"/>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الإجمالي</w:t>
            </w:r>
          </w:p>
        </w:tc>
      </w:tr>
      <w:tr>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إجمالي السجلات</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80,000</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20,000</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100,000</w:t>
            </w:r>
          </w:p>
        </w:tc>
      </w:tr>
      <w:tr>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نسبة الشذوذ</w:t>
            </w:r>
          </w:p>
        </w:tc>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20.0%</w:t>
            </w:r>
          </w:p>
        </w:tc>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5.0%</w:t>
            </w:r>
          </w:p>
        </w:tc>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r>
      <w:tr>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عدد الأعمدة</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39</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39</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39</w:t>
            </w:r>
          </w:p>
        </w:tc>
      </w:tr>
      <w:tr>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المحافظات</w:t>
            </w:r>
          </w:p>
        </w:tc>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w:t>
            </w:r>
          </w:p>
        </w:tc>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w:t>
            </w:r>
          </w:p>
        </w:tc>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w:t>
            </w:r>
          </w:p>
        </w:tc>
      </w:tr>
      <w:tr>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المناطق (DMAs)</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31</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31</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31</w:t>
            </w:r>
          </w:p>
        </w:tc>
      </w:tr>
      <w:tr>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القيم المفقودة</w:t>
            </w:r>
          </w:p>
        </w:tc>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w:t>
            </w:r>
          </w:p>
        </w:tc>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w:t>
            </w:r>
          </w:p>
        </w:tc>
        <w:tc>
          <w:tcPr>
            <w:tcW w:type="dxa" w:w="2265"/>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w:t>
            </w:r>
          </w:p>
        </w:tc>
      </w:tr>
      <w:tr>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النطاق الزمني</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2020-01-01</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2023-06-01</w:t>
            </w:r>
          </w:p>
        </w:tc>
        <w:tc>
          <w:tcPr>
            <w:tcW w:type="dxa" w:w="2265"/>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r>
    </w:tbl>
    <w:p>
      <w:pPr>
        <w:spacing w:before="72" w:after="0"/>
      </w:pPr>
    </w:p>
    <w:p>
      <w:pPr>
        <w:pStyle w:val="Heading1"/>
        <w:spacing w:before="320" w:after="90"/>
        <w:jc w:val="right"/>
      </w:pPr>
      <w:r>
        <w:rPr>
          <w:rFonts w:ascii="Calibri" w:cs="Calibri" w:eastAsia="Calibri" w:hAnsi="Calibri"/>
          <w:b/>
          <w:bCs/>
          <w:color w:val="1A3A5C"/>
          <w:sz w:val="28"/>
          <w:szCs w:val="28"/>
        </w:rPr>
        <w:t xml:space="preserve">2. استراتيجية تقسيم البيانات ومنطق التحقق</w:t>
      </w:r>
    </w:p>
    <w:p>
      <w:pPr>
        <w:spacing w:before="50" w:after="50"/>
        <w:jc w:val="right"/>
      </w:pPr>
      <w:r>
        <w:rPr>
          <w:rFonts w:ascii="Calibri" w:cs="Calibri" w:eastAsia="Calibri" w:hAnsi="Calibri"/>
          <w:b w:val="false"/>
          <w:bCs w:val="false"/>
          <w:i w:val="false"/>
          <w:iCs w:val="false"/>
          <w:color w:val="1A1A2E"/>
          <w:sz w:val="20"/>
          <w:szCs w:val="20"/>
        </w:rPr>
        <w:t xml:space="preserve">البيانات مقسّمة إلى ملفَّين فقط: تدريب (80%) واختبار (20%). لا يوجد ملف تحقق منفصل، وهذا قرار تصميمي مقصود لأسباب ثلاثة:</w:t>
      </w:r>
    </w:p>
    <w:p>
      <w:pPr>
        <w:spacing w:before="36" w:after="0"/>
      </w:pPr>
    </w:p>
    <w:p>
      <w:pPr>
        <w:spacing w:before="50" w:after="50"/>
        <w:jc w:val="right"/>
      </w:pPr>
      <w:r>
        <w:rPr>
          <w:rFonts w:ascii="Calibri" w:cs="Calibri" w:eastAsia="Calibri" w:hAnsi="Calibri"/>
          <w:b w:val="false"/>
          <w:bCs w:val="false"/>
          <w:i w:val="false"/>
          <w:iCs w:val="false"/>
          <w:color w:val="1A1A2E"/>
          <w:sz w:val="20"/>
          <w:szCs w:val="20"/>
        </w:rPr>
        <w:t xml:space="preserve">(1) يُستخرج التحقق ديناميكياً داخل خط الأنابيب باستخدام StratifiedShuffleSplit(test_size=0.15) على مجموعة التدريب المخلوطة، بعد الخلط وقبل التحجيم. هذا يمنع أي تسرب زمني للبيانات بين الأجزاء.</w:t>
      </w:r>
    </w:p>
    <w:p>
      <w:pPr>
        <w:spacing w:before="50" w:after="50"/>
        <w:jc w:val="right"/>
      </w:pPr>
      <w:r>
        <w:rPr>
          <w:rFonts w:ascii="Calibri" w:cs="Calibri" w:eastAsia="Calibri" w:hAnsi="Calibri"/>
          <w:b w:val="false"/>
          <w:bCs w:val="false"/>
          <w:i w:val="false"/>
          <w:iCs w:val="false"/>
          <w:color w:val="1A1A2E"/>
          <w:sz w:val="20"/>
          <w:szCs w:val="20"/>
        </w:rPr>
        <w:t xml:space="preserve">(2) مجموعة الاختبار تعكس الظروف التشغيلية الواقعية بنسبة شذوذ 5% فقط — تتوافق مع أنماط NRW الفعلية في منطقة الإدارة التوزيعية الأردنية.</w:t>
      </w:r>
    </w:p>
    <w:p>
      <w:pPr>
        <w:spacing w:before="50" w:after="50"/>
        <w:jc w:val="right"/>
      </w:pPr>
      <w:r>
        <w:rPr>
          <w:rFonts w:ascii="Calibri" w:cs="Calibri" w:eastAsia="Calibri" w:hAnsi="Calibri"/>
          <w:b w:val="false"/>
          <w:bCs w:val="false"/>
          <w:i/>
          <w:iCs/>
          <w:color w:val="1A1A2E"/>
          <w:sz w:val="20"/>
          <w:szCs w:val="20"/>
        </w:rPr>
        <w:t xml:space="preserve">(3) تُطبَّق المعيّرات (StandardScaler) حصراً على جزء التدريب وتُطبَّق على التحقق والاختبار دون إعادة ضبط، لمنع تسرب البيانات.</w:t>
      </w:r>
    </w:p>
    <w:p>
      <w:pPr>
        <w:spacing w:before="72" w:after="0"/>
      </w:pPr>
    </w:p>
    <w:p>
      <w:pPr>
        <w:pStyle w:val="Heading1"/>
        <w:spacing w:before="320" w:after="90"/>
        <w:jc w:val="right"/>
      </w:pPr>
      <w:r>
        <w:rPr>
          <w:rFonts w:ascii="Calibri" w:cs="Calibri" w:eastAsia="Calibri" w:hAnsi="Calibri"/>
          <w:b/>
          <w:bCs/>
          <w:color w:val="1A3A5C"/>
          <w:sz w:val="28"/>
          <w:szCs w:val="28"/>
        </w:rPr>
        <w:t xml:space="preserve">3. توزيع الفئات ومبرراته</w:t>
      </w:r>
    </w:p>
    <w:p>
      <w:pPr>
        <w:spacing w:before="50" w:after="50"/>
        <w:jc w:val="right"/>
      </w:pPr>
      <w:r>
        <w:rPr>
          <w:rFonts w:ascii="Calibri" w:cs="Calibri" w:eastAsia="Calibri" w:hAnsi="Calibri"/>
          <w:b w:val="false"/>
          <w:bCs w:val="false"/>
          <w:i w:val="false"/>
          <w:iCs w:val="false"/>
          <w:color w:val="1A1A2E"/>
          <w:sz w:val="20"/>
          <w:szCs w:val="20"/>
        </w:rPr>
        <w:t xml:space="preserve">الفئات الأربع تعكس التصنيفات الرئيسية المعرَّفة بواسطة فريق عمل IWA لفقد المياه، ومُكيَّفة مع أوضاع منطقة الإدارة التوزيعية الأردنية. النسب مصمَّمة لتحقيق التوازن بين احتياجات التدريب (أمثلة كافية للفئات الأقلية) والواقع التشغيلي (الاختبار مُنحاز بشدة نحو الحالة الطبيعية).</w:t>
      </w:r>
    </w:p>
    <w:p>
      <w:pPr>
        <w:spacing w:before="36" w:after="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80"/>
        <w:gridCol w:w="900"/>
        <w:gridCol w:w="780"/>
        <w:gridCol w:w="920"/>
        <w:gridCol w:w="1180"/>
        <w:gridCol w:w="1000"/>
        <w:gridCol w:w="800"/>
      </w:tblGrid>
      <w:tr>
        <w:trPr>
          <w:tblHeader/>
        </w:trPr>
        <w:tc>
          <w:tcPr>
            <w:tcW w:type="dxa" w:w="8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الفئة</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تدريب ع.</w:t>
            </w:r>
          </w:p>
        </w:tc>
        <w:tc>
          <w:tcPr>
            <w:tcW w:type="dxa" w:w="78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تدريب %</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اختبار ع.</w:t>
            </w:r>
          </w:p>
        </w:tc>
        <w:tc>
          <w:tcPr>
            <w:tcW w:type="dxa" w:w="78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اختبار %</w:t>
            </w:r>
          </w:p>
        </w:tc>
        <w:tc>
          <w:tcPr>
            <w:tcW w:type="dxa" w:w="92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متوسط الشدة</w:t>
            </w:r>
          </w:p>
        </w:tc>
        <w:tc>
          <w:tcPr>
            <w:tcW w:type="dxa" w:w="118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نطاق الشدة</w:t>
            </w:r>
          </w:p>
        </w:tc>
        <w:tc>
          <w:tcPr>
            <w:tcW w:type="dxa" w:w="10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ΔFlow% وسيط</w:t>
            </w:r>
          </w:p>
        </w:tc>
        <w:tc>
          <w:tcPr>
            <w:tcW w:type="dxa" w:w="8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DP_Dev وسيط</w:t>
            </w:r>
          </w:p>
        </w:tc>
      </w:tr>
      <w:tr>
        <w:tc>
          <w:tcPr>
            <w:tcW w:type="dxa" w:w="8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طبيعي</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64,000</w:t>
            </w:r>
          </w:p>
        </w:tc>
        <w:tc>
          <w:tcPr>
            <w:tcW w:type="dxa" w:w="7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80.00%</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19,000</w:t>
            </w:r>
          </w:p>
        </w:tc>
        <w:tc>
          <w:tcPr>
            <w:tcW w:type="dxa" w:w="7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95.00%</w:t>
            </w:r>
          </w:p>
        </w:tc>
        <w:tc>
          <w:tcPr>
            <w:tcW w:type="dxa" w:w="9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0.00</w:t>
            </w:r>
          </w:p>
        </w:tc>
        <w:tc>
          <w:tcPr>
            <w:tcW w:type="dxa" w:w="11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1.785</w:t>
            </w:r>
          </w:p>
        </w:tc>
        <w:tc>
          <w:tcPr>
            <w:tcW w:type="dxa" w:w="8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0.042</w:t>
            </w:r>
          </w:p>
        </w:tc>
      </w:tr>
      <w:tr>
        <w:tc>
          <w:tcPr>
            <w:tcW w:type="dxa" w:w="8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تسرب</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7,200</w:t>
            </w:r>
          </w:p>
        </w:tc>
        <w:tc>
          <w:tcPr>
            <w:tcW w:type="dxa" w:w="7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9.00%</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450</w:t>
            </w:r>
          </w:p>
        </w:tc>
        <w:tc>
          <w:tcPr>
            <w:tcW w:type="dxa" w:w="7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2.25%</w:t>
            </w:r>
          </w:p>
        </w:tc>
        <w:tc>
          <w:tcPr>
            <w:tcW w:type="dxa" w:w="9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0.106</w:t>
            </w:r>
          </w:p>
        </w:tc>
        <w:tc>
          <w:tcPr>
            <w:tcW w:type="dxa" w:w="11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0.03–0.18</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10.779</w:t>
            </w:r>
          </w:p>
        </w:tc>
        <w:tc>
          <w:tcPr>
            <w:tcW w:type="dxa" w:w="8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2.835</w:t>
            </w:r>
          </w:p>
        </w:tc>
      </w:tr>
      <w:tr>
        <w:tc>
          <w:tcPr>
            <w:tcW w:type="dxa" w:w="8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انفجار</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4,000</w:t>
            </w:r>
          </w:p>
        </w:tc>
        <w:tc>
          <w:tcPr>
            <w:tcW w:type="dxa" w:w="7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5.00%</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250</w:t>
            </w:r>
          </w:p>
        </w:tc>
        <w:tc>
          <w:tcPr>
            <w:tcW w:type="dxa" w:w="7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1.25%</w:t>
            </w:r>
          </w:p>
        </w:tc>
        <w:tc>
          <w:tcPr>
            <w:tcW w:type="dxa" w:w="9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0.487</w:t>
            </w:r>
          </w:p>
        </w:tc>
        <w:tc>
          <w:tcPr>
            <w:tcW w:type="dxa" w:w="11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0.25–0.72</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48.625</w:t>
            </w:r>
          </w:p>
        </w:tc>
        <w:tc>
          <w:tcPr>
            <w:tcW w:type="dxa" w:w="8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19.130</w:t>
            </w:r>
          </w:p>
        </w:tc>
      </w:tr>
      <w:tr>
        <w:tc>
          <w:tcPr>
            <w:tcW w:type="dxa" w:w="8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سرقة</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4,800</w:t>
            </w:r>
          </w:p>
        </w:tc>
        <w:tc>
          <w:tcPr>
            <w:tcW w:type="dxa" w:w="7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6.00%</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300</w:t>
            </w:r>
          </w:p>
        </w:tc>
        <w:tc>
          <w:tcPr>
            <w:tcW w:type="dxa" w:w="7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1.50%</w:t>
            </w:r>
          </w:p>
        </w:tc>
        <w:tc>
          <w:tcPr>
            <w:tcW w:type="dxa" w:w="9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0.096</w:t>
            </w:r>
          </w:p>
        </w:tc>
        <w:tc>
          <w:tcPr>
            <w:tcW w:type="dxa" w:w="11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0.05–0.14</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9.667</w:t>
            </w:r>
          </w:p>
        </w:tc>
        <w:tc>
          <w:tcPr>
            <w:tcW w:type="dxa" w:w="8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0.464</w:t>
            </w:r>
          </w:p>
        </w:tc>
      </w:tr>
    </w:tbl>
    <w:p>
      <w:pPr>
        <w:spacing w:before="72" w:after="0"/>
      </w:pPr>
    </w:p>
    <w:p>
      <w:pPr>
        <w:pStyle w:val="Heading1"/>
        <w:spacing w:before="320" w:after="90"/>
        <w:jc w:val="right"/>
      </w:pPr>
      <w:r>
        <w:rPr>
          <w:rFonts w:ascii="Calibri" w:cs="Calibri" w:eastAsia="Calibri" w:hAnsi="Calibri"/>
          <w:b/>
          <w:bCs/>
          <w:color w:val="1A3A5C"/>
          <w:sz w:val="28"/>
          <w:szCs w:val="28"/>
        </w:rPr>
        <w:t xml:space="preserve">4. إعداد المحافظات الاثنتي عشرة</w:t>
      </w:r>
    </w:p>
    <w:p>
      <w:pPr>
        <w:spacing w:before="50" w:after="50"/>
        <w:jc w:val="right"/>
      </w:pPr>
      <w:r>
        <w:rPr>
          <w:rFonts w:ascii="Calibri" w:cs="Calibri" w:eastAsia="Calibri" w:hAnsi="Calibri"/>
          <w:b w:val="false"/>
          <w:bCs w:val="false"/>
          <w:i w:val="false"/>
          <w:iCs w:val="false"/>
          <w:color w:val="1A1A2E"/>
          <w:sz w:val="20"/>
          <w:szCs w:val="20"/>
        </w:rPr>
        <w:t xml:space="preserve">جميع المحافظات الأردنية الاثنتا عشرة مُدرَجة. كل محافظة مُعدَّة بمعاملات هيدروليكية وديموغرافية مُعايَرة بشكل مستقل تحدد مضاعف الطلب، ونطاقات التدفق الأساسية، واحتمالية الشذوذ لكل منطقة.</w:t>
      </w:r>
    </w:p>
    <w:p>
      <w:pPr>
        <w:spacing w:before="36" w:after="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820"/>
        <w:gridCol w:w="780"/>
        <w:gridCol w:w="800"/>
        <w:gridCol w:w="820"/>
        <w:gridCol w:w="1100"/>
        <w:gridCol w:w="1100"/>
        <w:gridCol w:w="600"/>
        <w:gridCol w:w="680"/>
        <w:gridCol w:w="700"/>
        <w:gridCol w:w="660"/>
      </w:tblGrid>
      <w:tr>
        <w:trPr>
          <w:tblHeader/>
        </w:trPr>
        <w:tc>
          <w:tcPr>
            <w:tcW w:type="dxa" w:w="82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المحافظة</w:t>
            </w:r>
          </w:p>
        </w:tc>
        <w:tc>
          <w:tcPr>
            <w:tcW w:type="dxa" w:w="78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تدريب</w:t>
            </w:r>
          </w:p>
        </w:tc>
        <w:tc>
          <w:tcPr>
            <w:tcW w:type="dxa" w:w="8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اختبار</w:t>
            </w:r>
          </w:p>
        </w:tc>
        <w:tc>
          <w:tcPr>
            <w:tcW w:type="dxa" w:w="82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البيئة</w:t>
            </w:r>
          </w:p>
        </w:tc>
        <w:tc>
          <w:tcPr>
            <w:tcW w:type="dxa" w:w="11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مادة الأنبوب</w:t>
            </w:r>
          </w:p>
        </w:tc>
        <w:tc>
          <w:tcPr>
            <w:tcW w:type="dxa" w:w="11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عمر (سنة)</w:t>
            </w:r>
          </w:p>
        </w:tc>
        <w:tc>
          <w:tcPr>
            <w:tcW w:type="dxa" w:w="6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NRW</w:t>
            </w:r>
          </w:p>
        </w:tc>
        <w:tc>
          <w:tcPr>
            <w:tcW w:type="dxa" w:w="68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التزويد</w:t>
            </w:r>
          </w:p>
        </w:tc>
        <w:tc>
          <w:tcPr>
            <w:tcW w:type="dxa" w:w="7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مناطق</w:t>
            </w:r>
          </w:p>
        </w:tc>
      </w:tr>
      <w:tr>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عمّان</w:t>
            </w:r>
          </w:p>
        </w:tc>
        <w:tc>
          <w:tcPr>
            <w:tcW w:type="dxa" w:w="7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13,017</w:t>
            </w:r>
          </w:p>
        </w:tc>
        <w:tc>
          <w:tcPr>
            <w:tcW w:type="dxa" w:w="8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3,231</w:t>
            </w:r>
          </w:p>
        </w:tc>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حضري</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حديد مطيل</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18</w:t>
            </w:r>
          </w:p>
        </w:tc>
        <w:tc>
          <w:tcPr>
            <w:tcW w:type="dxa" w:w="6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43%</w:t>
            </w:r>
          </w:p>
        </w:tc>
        <w:tc>
          <w:tcPr>
            <w:tcW w:type="dxa" w:w="6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 ساعة</w:t>
            </w:r>
          </w:p>
        </w:tc>
        <w:tc>
          <w:tcPr>
            <w:tcW w:type="dxa" w:w="7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w:t>
            </w:r>
          </w:p>
        </w:tc>
      </w:tr>
      <w:tr>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إربد</w:t>
            </w:r>
          </w:p>
        </w:tc>
        <w:tc>
          <w:tcPr>
            <w:tcW w:type="dxa" w:w="7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10,090</w:t>
            </w:r>
          </w:p>
        </w:tc>
        <w:tc>
          <w:tcPr>
            <w:tcW w:type="dxa" w:w="8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2,623</w:t>
            </w:r>
          </w:p>
        </w:tc>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حضري</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حديد مطيل</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24</w:t>
            </w:r>
          </w:p>
        </w:tc>
        <w:tc>
          <w:tcPr>
            <w:tcW w:type="dxa" w:w="6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45%</w:t>
            </w:r>
          </w:p>
        </w:tc>
        <w:tc>
          <w:tcPr>
            <w:tcW w:type="dxa" w:w="6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10 ساعات</w:t>
            </w:r>
          </w:p>
        </w:tc>
        <w:tc>
          <w:tcPr>
            <w:tcW w:type="dxa" w:w="7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w:t>
            </w:r>
          </w:p>
        </w:tc>
      </w:tr>
      <w:tr>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الزرقاء</w:t>
            </w:r>
          </w:p>
        </w:tc>
        <w:tc>
          <w:tcPr>
            <w:tcW w:type="dxa" w:w="7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7,727</w:t>
            </w:r>
          </w:p>
        </w:tc>
        <w:tc>
          <w:tcPr>
            <w:tcW w:type="dxa" w:w="8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1,917</w:t>
            </w:r>
          </w:p>
        </w:tc>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حضري-صناعي</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حديد زهر</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35</w:t>
            </w:r>
          </w:p>
        </w:tc>
        <w:tc>
          <w:tcPr>
            <w:tcW w:type="dxa" w:w="6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52%</w:t>
            </w:r>
          </w:p>
        </w:tc>
        <w:tc>
          <w:tcPr>
            <w:tcW w:type="dxa" w:w="6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8 ساعات</w:t>
            </w:r>
          </w:p>
        </w:tc>
        <w:tc>
          <w:tcPr>
            <w:tcW w:type="dxa" w:w="7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w:t>
            </w:r>
          </w:p>
        </w:tc>
      </w:tr>
      <w:tr>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البلقاء</w:t>
            </w:r>
          </w:p>
        </w:tc>
        <w:tc>
          <w:tcPr>
            <w:tcW w:type="dxa" w:w="7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7,677</w:t>
            </w:r>
          </w:p>
        </w:tc>
        <w:tc>
          <w:tcPr>
            <w:tcW w:type="dxa" w:w="8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1,947</w:t>
            </w:r>
          </w:p>
        </w:tc>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مختلط</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PVC</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16</w:t>
            </w:r>
          </w:p>
        </w:tc>
        <w:tc>
          <w:tcPr>
            <w:tcW w:type="dxa" w:w="6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47%</w:t>
            </w:r>
          </w:p>
        </w:tc>
        <w:tc>
          <w:tcPr>
            <w:tcW w:type="dxa" w:w="6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9 ساعات</w:t>
            </w:r>
          </w:p>
        </w:tc>
        <w:tc>
          <w:tcPr>
            <w:tcW w:type="dxa" w:w="7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w:t>
            </w:r>
          </w:p>
        </w:tc>
      </w:tr>
      <w:tr>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المفرق</w:t>
            </w:r>
          </w:p>
        </w:tc>
        <w:tc>
          <w:tcPr>
            <w:tcW w:type="dxa" w:w="7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7,731</w:t>
            </w:r>
          </w:p>
        </w:tc>
        <w:tc>
          <w:tcPr>
            <w:tcW w:type="dxa" w:w="8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1,903</w:t>
            </w:r>
          </w:p>
        </w:tc>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صحراوي</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HDPE</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13</w:t>
            </w:r>
          </w:p>
        </w:tc>
        <w:tc>
          <w:tcPr>
            <w:tcW w:type="dxa" w:w="6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50%</w:t>
            </w:r>
          </w:p>
        </w:tc>
        <w:tc>
          <w:tcPr>
            <w:tcW w:type="dxa" w:w="6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7 ساعات</w:t>
            </w:r>
          </w:p>
        </w:tc>
        <w:tc>
          <w:tcPr>
            <w:tcW w:type="dxa" w:w="7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w:t>
            </w:r>
          </w:p>
        </w:tc>
      </w:tr>
      <w:tr>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الكرك</w:t>
            </w:r>
          </w:p>
        </w:tc>
        <w:tc>
          <w:tcPr>
            <w:tcW w:type="dxa" w:w="7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5,294</w:t>
            </w:r>
          </w:p>
        </w:tc>
        <w:tc>
          <w:tcPr>
            <w:tcW w:type="dxa" w:w="8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1,332</w:t>
            </w:r>
          </w:p>
        </w:tc>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ريفي</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أسبستوس سيمنت</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48</w:t>
            </w:r>
          </w:p>
        </w:tc>
        <w:tc>
          <w:tcPr>
            <w:tcW w:type="dxa" w:w="6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56%</w:t>
            </w:r>
          </w:p>
        </w:tc>
        <w:tc>
          <w:tcPr>
            <w:tcW w:type="dxa" w:w="6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6 ساعات</w:t>
            </w:r>
          </w:p>
        </w:tc>
        <w:tc>
          <w:tcPr>
            <w:tcW w:type="dxa" w:w="7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w:t>
            </w:r>
          </w:p>
        </w:tc>
      </w:tr>
      <w:tr>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معان</w:t>
            </w:r>
          </w:p>
        </w:tc>
        <w:tc>
          <w:tcPr>
            <w:tcW w:type="dxa" w:w="7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5,220</w:t>
            </w:r>
          </w:p>
        </w:tc>
        <w:tc>
          <w:tcPr>
            <w:tcW w:type="dxa" w:w="8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1,292</w:t>
            </w:r>
          </w:p>
        </w:tc>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صحراوي</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HDPE</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15</w:t>
            </w:r>
          </w:p>
        </w:tc>
        <w:tc>
          <w:tcPr>
            <w:tcW w:type="dxa" w:w="6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55%</w:t>
            </w:r>
          </w:p>
        </w:tc>
        <w:tc>
          <w:tcPr>
            <w:tcW w:type="dxa" w:w="6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6 ساعات</w:t>
            </w:r>
          </w:p>
        </w:tc>
        <w:tc>
          <w:tcPr>
            <w:tcW w:type="dxa" w:w="7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w:t>
            </w:r>
          </w:p>
        </w:tc>
      </w:tr>
      <w:tr>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العقبة</w:t>
            </w:r>
          </w:p>
        </w:tc>
        <w:tc>
          <w:tcPr>
            <w:tcW w:type="dxa" w:w="7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5,216</w:t>
            </w:r>
          </w:p>
        </w:tc>
        <w:tc>
          <w:tcPr>
            <w:tcW w:type="dxa" w:w="8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1,281</w:t>
            </w:r>
          </w:p>
        </w:tc>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ساحلي-صحراوي</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حديد مطيل</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22</w:t>
            </w:r>
          </w:p>
        </w:tc>
        <w:tc>
          <w:tcPr>
            <w:tcW w:type="dxa" w:w="6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41%</w:t>
            </w:r>
          </w:p>
        </w:tc>
        <w:tc>
          <w:tcPr>
            <w:tcW w:type="dxa" w:w="6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14 ساعة</w:t>
            </w:r>
          </w:p>
        </w:tc>
        <w:tc>
          <w:tcPr>
            <w:tcW w:type="dxa" w:w="7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w:t>
            </w:r>
          </w:p>
        </w:tc>
      </w:tr>
      <w:tr>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مادبا</w:t>
            </w:r>
          </w:p>
        </w:tc>
        <w:tc>
          <w:tcPr>
            <w:tcW w:type="dxa" w:w="7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5,148</w:t>
            </w:r>
          </w:p>
        </w:tc>
        <w:tc>
          <w:tcPr>
            <w:tcW w:type="dxa" w:w="8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1,252</w:t>
            </w:r>
          </w:p>
        </w:tc>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ريفي</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PVC</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22</w:t>
            </w:r>
          </w:p>
        </w:tc>
        <w:tc>
          <w:tcPr>
            <w:tcW w:type="dxa" w:w="6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51%</w:t>
            </w:r>
          </w:p>
        </w:tc>
        <w:tc>
          <w:tcPr>
            <w:tcW w:type="dxa" w:w="6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8 ساعات</w:t>
            </w:r>
          </w:p>
        </w:tc>
        <w:tc>
          <w:tcPr>
            <w:tcW w:type="dxa" w:w="7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w:t>
            </w:r>
          </w:p>
        </w:tc>
      </w:tr>
      <w:tr>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جرش</w:t>
            </w:r>
          </w:p>
        </w:tc>
        <w:tc>
          <w:tcPr>
            <w:tcW w:type="dxa" w:w="7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5,129</w:t>
            </w:r>
          </w:p>
        </w:tc>
        <w:tc>
          <w:tcPr>
            <w:tcW w:type="dxa" w:w="8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1,289</w:t>
            </w:r>
          </w:p>
        </w:tc>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مختلط</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PVC</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19</w:t>
            </w:r>
          </w:p>
        </w:tc>
        <w:tc>
          <w:tcPr>
            <w:tcW w:type="dxa" w:w="6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48%</w:t>
            </w:r>
          </w:p>
        </w:tc>
        <w:tc>
          <w:tcPr>
            <w:tcW w:type="dxa" w:w="6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8 ساعات</w:t>
            </w:r>
          </w:p>
        </w:tc>
        <w:tc>
          <w:tcPr>
            <w:tcW w:type="dxa" w:w="7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w:t>
            </w:r>
          </w:p>
        </w:tc>
      </w:tr>
      <w:tr>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عجلون</w:t>
            </w:r>
          </w:p>
        </w:tc>
        <w:tc>
          <w:tcPr>
            <w:tcW w:type="dxa" w:w="7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5,100</w:t>
            </w:r>
          </w:p>
        </w:tc>
        <w:tc>
          <w:tcPr>
            <w:tcW w:type="dxa" w:w="8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1,272</w:t>
            </w:r>
          </w:p>
        </w:tc>
        <w:tc>
          <w:tcPr>
            <w:tcW w:type="dxa" w:w="82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ريفي</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أسبستوس سيمنت</w:t>
            </w:r>
          </w:p>
        </w:tc>
        <w:tc>
          <w:tcPr>
            <w:tcW w:type="dxa" w:w="11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40</w:t>
            </w:r>
          </w:p>
        </w:tc>
        <w:tc>
          <w:tcPr>
            <w:tcW w:type="dxa" w:w="6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54%</w:t>
            </w:r>
          </w:p>
        </w:tc>
        <w:tc>
          <w:tcPr>
            <w:tcW w:type="dxa" w:w="68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7 ساعات</w:t>
            </w:r>
          </w:p>
        </w:tc>
        <w:tc>
          <w:tcPr>
            <w:tcW w:type="dxa" w:w="7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w:t>
            </w:r>
          </w:p>
        </w:tc>
      </w:tr>
      <w:tr>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الطفيلة</w:t>
            </w:r>
          </w:p>
        </w:tc>
        <w:tc>
          <w:tcPr>
            <w:tcW w:type="dxa" w:w="7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2,651</w:t>
            </w:r>
          </w:p>
        </w:tc>
        <w:tc>
          <w:tcPr>
            <w:tcW w:type="dxa" w:w="8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661</w:t>
            </w:r>
          </w:p>
        </w:tc>
        <w:tc>
          <w:tcPr>
            <w:tcW w:type="dxa" w:w="82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ريفي</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PVC</w:t>
            </w:r>
          </w:p>
        </w:tc>
        <w:tc>
          <w:tcPr>
            <w:tcW w:type="dxa" w:w="11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25</w:t>
            </w:r>
          </w:p>
        </w:tc>
        <w:tc>
          <w:tcPr>
            <w:tcW w:type="dxa" w:w="6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53%</w:t>
            </w:r>
          </w:p>
        </w:tc>
        <w:tc>
          <w:tcPr>
            <w:tcW w:type="dxa" w:w="68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6 ساعات</w:t>
            </w:r>
          </w:p>
        </w:tc>
        <w:tc>
          <w:tcPr>
            <w:tcW w:type="dxa" w:w="7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w:t>
            </w:r>
          </w:p>
        </w:tc>
      </w:tr>
    </w:tbl>
    <w:p>
      <w:pPr>
        <w:spacing w:before="72" w:after="0"/>
      </w:pPr>
    </w:p>
    <w:p>
      <w:pPr>
        <w:pStyle w:val="Heading1"/>
        <w:spacing w:before="320" w:after="90"/>
        <w:jc w:val="right"/>
      </w:pPr>
      <w:r>
        <w:rPr>
          <w:rFonts w:ascii="Calibri" w:cs="Calibri" w:eastAsia="Calibri" w:hAnsi="Calibri"/>
          <w:b/>
          <w:bCs/>
          <w:color w:val="1A3A5C"/>
          <w:sz w:val="28"/>
          <w:szCs w:val="28"/>
        </w:rPr>
        <w:t xml:space="preserve">5. الإحصاءات الرقمية الرئيسية (مجموعة التدريب — 80,000 سجل)</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930"/>
        <w:gridCol w:w="1930"/>
      </w:tblGrid>
      <w:tr>
        <w:trPr>
          <w:tblHeader/>
        </w:trPr>
        <w:tc>
          <w:tcPr>
            <w:tcW w:type="dxa" w:w="2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المتغير</w:t>
            </w:r>
          </w:p>
        </w:tc>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الحد الأدنى</w:t>
            </w:r>
          </w:p>
        </w:tc>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الحد الأقصى</w:t>
            </w:r>
          </w:p>
        </w:tc>
        <w:tc>
          <w:tcPr>
            <w:tcW w:type="dxa" w:w="193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المتوسط</w:t>
            </w:r>
          </w:p>
        </w:tc>
        <w:tc>
          <w:tcPr>
            <w:tcW w:type="dxa" w:w="193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الانحراف المعياري</w:t>
            </w:r>
          </w:p>
        </w:tc>
      </w:tr>
      <w:tr>
        <w:tc>
          <w:tcPr>
            <w:tcW w:type="dxa" w:w="2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Flow_A (لتر/دقيقة)</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0.38</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120.0</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23.79</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20.33</w:t>
            </w:r>
          </w:p>
        </w:tc>
      </w:tr>
      <w:tr>
        <w:tc>
          <w:tcPr>
            <w:tcW w:type="dxa" w:w="2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Pressure_A (PSI)</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14.9</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85.0</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48.42</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15.07</w:t>
            </w:r>
          </w:p>
        </w:tc>
      </w:tr>
      <w:tr>
        <w:tc>
          <w:tcPr>
            <w:tcW w:type="dxa" w:w="2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Flow_B (لتر/دقيقة)</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0.01</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119.9</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22.56</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19.63</w:t>
            </w:r>
          </w:p>
        </w:tc>
      </w:tr>
      <w:tr>
        <w:tc>
          <w:tcPr>
            <w:tcW w:type="dxa" w:w="2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Pressure_B (PSI)</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2.65</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85.0</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45.92</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15.18</w:t>
            </w:r>
          </w:p>
        </w:tc>
      </w:tr>
      <w:tr>
        <w:tc>
          <w:tcPr>
            <w:tcW w:type="dxa" w:w="2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Distance_AB (متر)</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52.8</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543.4</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289.97</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149.32</w:t>
            </w:r>
          </w:p>
        </w:tc>
      </w:tr>
      <w:tr>
        <w:tc>
          <w:tcPr>
            <w:tcW w:type="dxa" w:w="2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Delta_Flow (لتر/دقيقة)</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0.00</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81.68</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1.23</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3.69</w:t>
            </w:r>
          </w:p>
        </w:tc>
      </w:tr>
      <w:tr>
        <w:tc>
          <w:tcPr>
            <w:tcW w:type="dxa" w:w="2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Delta_Pressure (PSI)</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0.00</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77.06</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2.50</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5.13</w:t>
            </w:r>
          </w:p>
        </w:tc>
      </w:tr>
      <w:tr>
        <w:tc>
          <w:tcPr>
            <w:tcW w:type="dxa" w:w="2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Delta_Flow_Pct (%)</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0.00</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99.81</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5.41</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11.51</w:t>
            </w:r>
          </w:p>
        </w:tc>
      </w:tr>
      <w:tr>
        <w:tc>
          <w:tcPr>
            <w:tcW w:type="dxa" w:w="2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DP_Predicted (PSI)</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0.02</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28.54</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1.23</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2.20</w:t>
            </w:r>
          </w:p>
        </w:tc>
      </w:tr>
      <w:tr>
        <w:tc>
          <w:tcPr>
            <w:tcW w:type="dxa" w:w="2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DP_Deviation (PSI)</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-1.29</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52.02</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1.27</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4.60</w:t>
            </w:r>
          </w:p>
        </w:tc>
      </w:tr>
      <w:tr>
        <w:tc>
          <w:tcPr>
            <w:tcW w:type="dxa" w:w="2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Flow_DP_Ratio (لتر/د/PSI)</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0.00</w:t>
            </w:r>
          </w:p>
        </w:tc>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11.68</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0.42</w:t>
            </w:r>
          </w:p>
        </w:tc>
        <w:tc>
          <w:tcPr>
            <w:tcW w:type="dxa" w:w="193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0.52</w:t>
            </w:r>
          </w:p>
        </w:tc>
      </w:tr>
      <w:tr>
        <w:tc>
          <w:tcPr>
            <w:tcW w:type="dxa" w:w="2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Severity (كسر عشري)</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0.00</w:t>
            </w:r>
          </w:p>
        </w:tc>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0.72</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0.040</w:t>
            </w:r>
          </w:p>
        </w:tc>
        <w:tc>
          <w:tcPr>
            <w:tcW w:type="dxa" w:w="193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0.114</w:t>
            </w:r>
          </w:p>
        </w:tc>
      </w:tr>
    </w:tbl>
    <w:p>
      <w:pPr>
        <w:spacing w:before="72" w:after="0"/>
      </w:pPr>
    </w:p>
    <w:p>
      <w:pPr>
        <w:pStyle w:val="Heading1"/>
        <w:spacing w:before="320" w:after="90"/>
        <w:jc w:val="right"/>
      </w:pPr>
      <w:r>
        <w:rPr>
          <w:rFonts w:ascii="Calibri" w:cs="Calibri" w:eastAsia="Calibri" w:hAnsi="Calibri"/>
          <w:b/>
          <w:bCs/>
          <w:color w:val="1A3A5C"/>
          <w:sz w:val="28"/>
          <w:szCs w:val="28"/>
        </w:rPr>
        <w:t xml:space="preserve">6. مرجع الأعمدة — جميع الـ 39 عموداً</w:t>
      </w:r>
    </w:p>
    <w:p>
      <w:pPr>
        <w:pStyle w:val="Heading2"/>
        <w:spacing w:before="200" w:after="60"/>
        <w:jc w:val="right"/>
      </w:pPr>
      <w:r>
        <w:rPr>
          <w:rFonts w:ascii="Calibri" w:cs="Calibri" w:eastAsia="Calibri" w:hAnsi="Calibri"/>
          <w:b/>
          <w:bCs/>
          <w:color w:val="2C6FAC"/>
          <w:sz w:val="22"/>
          <w:szCs w:val="22"/>
        </w:rPr>
        <w:t xml:space="preserve">6.1 أعمدة المعرّفات (لا تُستخدم كمدخلات للنموذج)</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900"/>
        <w:gridCol w:w="1560"/>
        <w:gridCol w:w="4200"/>
      </w:tblGrid>
      <w:tr>
        <w:trPr>
          <w:tblHeader/>
        </w:trPr>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العمود</w:t>
            </w:r>
          </w:p>
        </w:tc>
        <w:tc>
          <w:tcPr>
            <w:tcW w:type="dxa" w:w="10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نوع البيانات</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الوحدة</w:t>
            </w:r>
          </w:p>
        </w:tc>
        <w:tc>
          <w:tcPr>
            <w:tcW w:type="dxa" w:w="156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النطاق / القيم</w:t>
            </w:r>
          </w:p>
        </w:tc>
        <w:tc>
          <w:tcPr>
            <w:tcW w:type="dxa" w:w="42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الوصف</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Timestamp</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نص (ISO)</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2020-01-01 – 2023-12-31</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طابع زمني بفاصل 15 دقيقة. يُستخدم لمحاذاة البيانات مع نماذج LSTM.</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Governorate</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نص</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12 قيمة مختلفة</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المحافظة الأردنية (12 محافظة). تُشفّر السياق الهيدروليكي والديموغرافي.</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Zone_ID</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نص</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31 منطقة مختلفة</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معرّف منطقة الإدارة التوزيعية (DMA) داخل المحافظة.</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Segment_ID</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نص</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مفتاح مركّب</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مفتاح مركّب: محافظة-منطقة-مسافة. يُعرّف قسم الأنبوب A→B بشكل فريد.</w:t>
            </w:r>
          </w:p>
        </w:tc>
      </w:tr>
    </w:tbl>
    <w:p>
      <w:pPr>
        <w:spacing w:before="36" w:after="0"/>
      </w:pPr>
    </w:p>
    <w:p>
      <w:pPr>
        <w:pStyle w:val="Heading2"/>
        <w:spacing w:before="200" w:after="60"/>
        <w:jc w:val="right"/>
      </w:pPr>
      <w:r>
        <w:rPr>
          <w:rFonts w:ascii="Calibri" w:cs="Calibri" w:eastAsia="Calibri" w:hAnsi="Calibri"/>
          <w:b/>
          <w:bCs/>
          <w:color w:val="2C6FAC"/>
          <w:sz w:val="22"/>
          <w:szCs w:val="22"/>
        </w:rPr>
        <w:t xml:space="preserve">6.2 الأعمدة الزمنية والسياقية</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900"/>
        <w:gridCol w:w="1560"/>
        <w:gridCol w:w="4200"/>
      </w:tblGrid>
      <w:tr>
        <w:trPr>
          <w:tblHeader/>
        </w:trPr>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العمود</w:t>
            </w:r>
          </w:p>
        </w:tc>
        <w:tc>
          <w:tcPr>
            <w:tcW w:type="dxa" w:w="10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نوع البيانات</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الوحدة</w:t>
            </w:r>
          </w:p>
        </w:tc>
        <w:tc>
          <w:tcPr>
            <w:tcW w:type="dxa" w:w="156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النطاق / القيم</w:t>
            </w:r>
          </w:p>
        </w:tc>
        <w:tc>
          <w:tcPr>
            <w:tcW w:type="dxa" w:w="42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الوصف</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hour</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عدد صحيح</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 23</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ساعة اليوم. يحدد نمط الطلب اليومي (ذروة 07:00–09:00 و18:00–21:00).</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day_of_week</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عدد صحيح</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(إثنين) – 6 (أحد)</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يوم الأسبوع. عطلة الأردن = الخميس (3) والجمعة (4).</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month</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عدد صحيح</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 – 12</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الشهر الميلادي لترميز المضاعف الموسمي للطلب.</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is_ramadan</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ثنائي {0,1}</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 = شهر رمضان</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 خلال رمضان. يتحول الطلب من النهار إلى نوافذ الإفطار والسحور.</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is_eid</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ثنائي {0,1}</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 = يوم العيد</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 في أيام عيد الفطر وعيد الأضحى. ارتفاع في الطلب +30–55%.</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is_summer</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ثنائي {0,1}</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 = يونيو–أغسطس</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مؤشر الصيف. يرتفع الطلب بنسبة 25–55% حسب المحافظة.</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is_winter</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ثنائي {0,1}</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 = ديسمبر–فبراير</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مؤشر الشتاء. ينخفض الطلب بنسبة 10–22%.</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is_weekend</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ثنائي {0,1}</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 = خميس أو جمعة</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مؤشر عطلة نهاية الأسبوع الأردنية. يضيف ~12% إلى الطلب اليومي.</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supply_on</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ثنائي {0,1}</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أو 1</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 عند تشغيل جدول التزويد. التزويد في الأردن متقطع: 6–14 ساعة/يوم.</w:t>
            </w:r>
          </w:p>
        </w:tc>
      </w:tr>
    </w:tbl>
    <w:p>
      <w:pPr>
        <w:spacing w:before="36" w:after="0"/>
      </w:pPr>
    </w:p>
    <w:p>
      <w:pPr>
        <w:pStyle w:val="Heading2"/>
        <w:spacing w:before="200" w:after="60"/>
        <w:jc w:val="right"/>
      </w:pPr>
      <w:r>
        <w:rPr>
          <w:rFonts w:ascii="Calibri" w:cs="Calibri" w:eastAsia="Calibri" w:hAnsi="Calibri"/>
          <w:b/>
          <w:bCs/>
          <w:color w:val="2C6FAC"/>
          <w:sz w:val="22"/>
          <w:szCs w:val="22"/>
        </w:rPr>
        <w:t xml:space="preserve">6.3 أعمدة الملف الشخصي للمحافظة</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900"/>
        <w:gridCol w:w="1560"/>
        <w:gridCol w:w="4200"/>
      </w:tblGrid>
      <w:tr>
        <w:trPr>
          <w:tblHeader/>
        </w:trPr>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العمود</w:t>
            </w:r>
          </w:p>
        </w:tc>
        <w:tc>
          <w:tcPr>
            <w:tcW w:type="dxa" w:w="10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نوع البيانات</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الوحدة</w:t>
            </w:r>
          </w:p>
        </w:tc>
        <w:tc>
          <w:tcPr>
            <w:tcW w:type="dxa" w:w="156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النطاق / القيم</w:t>
            </w:r>
          </w:p>
        </w:tc>
        <w:tc>
          <w:tcPr>
            <w:tcW w:type="dxa" w:w="42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الوصف</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population_density</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شخص/كم²</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4 – 732</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الكثافة السكانية للمحافظة. مؤشر قرب لكثافة الطلب الأساسي.</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environment_code</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عدد صحيح</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0–5</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0=حضري, 1=حضري-صناعي, 2=مختلط, 3=ريفي, 4=صحراوي, 5=ساحلي-صحراوي.</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pipe_age_years</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عدد صحيح</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سنوات</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13 – 48</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متوسط عمر الأنابيب. الأنابيب الأقدم لها خشونة أعلى ومعامل C أقل.</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hw_coefficient</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بلا أبعاد</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65 – 150</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معامل Hazen-Williams C. يتناقص مع عمر الأنبوب وتدهور المادة.</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elevation_m</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عدد صحيح</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متر</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 – 1200</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الارتفاع المتوسط للمنطقة فوق مستوى البحر. يؤثر على الضغط الساكن.</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nrw_rate</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كسر عشري</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0.41 – 0.56</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معدل المياه غير المدرّة للإيرادات (NRW) لكل محافظة.</w:t>
            </w:r>
          </w:p>
        </w:tc>
      </w:tr>
    </w:tbl>
    <w:p>
      <w:pPr>
        <w:spacing w:before="36" w:after="0"/>
      </w:pPr>
    </w:p>
    <w:p>
      <w:pPr>
        <w:pStyle w:val="Heading2"/>
        <w:spacing w:before="200" w:after="60"/>
        <w:jc w:val="right"/>
      </w:pPr>
      <w:r>
        <w:rPr>
          <w:rFonts w:ascii="Calibri" w:cs="Calibri" w:eastAsia="Calibri" w:hAnsi="Calibri"/>
          <w:b/>
          <w:bCs/>
          <w:color w:val="2C6FAC"/>
          <w:sz w:val="22"/>
          <w:szCs w:val="22"/>
        </w:rPr>
        <w:t xml:space="preserve">6.4 قراءات الحسّاس A — المنبع</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900"/>
        <w:gridCol w:w="1560"/>
        <w:gridCol w:w="4200"/>
      </w:tblGrid>
      <w:tr>
        <w:trPr>
          <w:tblHeader/>
        </w:trPr>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العمود</w:t>
            </w:r>
          </w:p>
        </w:tc>
        <w:tc>
          <w:tcPr>
            <w:tcW w:type="dxa" w:w="10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نوع البيانات</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الوحدة</w:t>
            </w:r>
          </w:p>
        </w:tc>
        <w:tc>
          <w:tcPr>
            <w:tcW w:type="dxa" w:w="156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النطاق / القيم</w:t>
            </w:r>
          </w:p>
        </w:tc>
        <w:tc>
          <w:tcPr>
            <w:tcW w:type="dxa" w:w="42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الوصف</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Flow_A</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لتر/دقيقة</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0.38 – 120.0</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معدل التدفق الحجمي عند حسّاس A (المنبع). يمثّل مدخل الشبكة للقسم.</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Pressure_A</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PSI</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14.9 – 85.0</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الضغط الهيدروليكي عند العقدة A. يُحدّد بإعدادات ضخة المحافظة.</w:t>
            </w:r>
          </w:p>
        </w:tc>
      </w:tr>
    </w:tbl>
    <w:p>
      <w:pPr>
        <w:spacing w:before="36" w:after="0"/>
      </w:pPr>
    </w:p>
    <w:p>
      <w:pPr>
        <w:pStyle w:val="Heading2"/>
        <w:spacing w:before="200" w:after="60"/>
        <w:jc w:val="right"/>
      </w:pPr>
      <w:r>
        <w:rPr>
          <w:rFonts w:ascii="Calibri" w:cs="Calibri" w:eastAsia="Calibri" w:hAnsi="Calibri"/>
          <w:b/>
          <w:bCs/>
          <w:color w:val="2C6FAC"/>
          <w:sz w:val="22"/>
          <w:szCs w:val="22"/>
        </w:rPr>
        <w:t xml:space="preserve">6.5 قراءات الحسّاس B — المصبّ</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900"/>
        <w:gridCol w:w="1560"/>
        <w:gridCol w:w="4200"/>
      </w:tblGrid>
      <w:tr>
        <w:trPr>
          <w:tblHeader/>
        </w:trPr>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العمود</w:t>
            </w:r>
          </w:p>
        </w:tc>
        <w:tc>
          <w:tcPr>
            <w:tcW w:type="dxa" w:w="10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نوع البيانات</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الوحدة</w:t>
            </w:r>
          </w:p>
        </w:tc>
        <w:tc>
          <w:tcPr>
            <w:tcW w:type="dxa" w:w="156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النطاق / القيم</w:t>
            </w:r>
          </w:p>
        </w:tc>
        <w:tc>
          <w:tcPr>
            <w:tcW w:type="dxa" w:w="42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الوصف</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Flow_B</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لتر/دقيقة</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0.01 – 119.9</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معدل التدفق الحجمي عند حسّاس B (المصبّ). دائماً ≤ Flow_A (ميزان الكتلة).</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Pressure_B</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PSI</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0.5 – 85.0</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الضغط الهيدروليكي عند العقدة B. أقل من Pressure_A بسبب الاحتكاك+الفقد الشاذ.</w:t>
            </w:r>
          </w:p>
        </w:tc>
      </w:tr>
    </w:tbl>
    <w:p>
      <w:pPr>
        <w:spacing w:before="36" w:after="0"/>
      </w:pPr>
    </w:p>
    <w:p>
      <w:pPr>
        <w:pStyle w:val="Heading2"/>
        <w:spacing w:before="200" w:after="60"/>
        <w:jc w:val="right"/>
      </w:pPr>
      <w:r>
        <w:rPr>
          <w:rFonts w:ascii="Calibri" w:cs="Calibri" w:eastAsia="Calibri" w:hAnsi="Calibri"/>
          <w:b/>
          <w:bCs/>
          <w:color w:val="2C6FAC"/>
          <w:sz w:val="22"/>
          <w:szCs w:val="22"/>
        </w:rPr>
        <w:t xml:space="preserve">6.6 القراءة البيئية المشتركة</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900"/>
        <w:gridCol w:w="1560"/>
        <w:gridCol w:w="4200"/>
      </w:tblGrid>
      <w:tr>
        <w:trPr>
          <w:tblHeader/>
        </w:trPr>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العمود</w:t>
            </w:r>
          </w:p>
        </w:tc>
        <w:tc>
          <w:tcPr>
            <w:tcW w:type="dxa" w:w="10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نوع البيانات</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الوحدة</w:t>
            </w:r>
          </w:p>
        </w:tc>
        <w:tc>
          <w:tcPr>
            <w:tcW w:type="dxa" w:w="156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النطاق / القيم</w:t>
            </w:r>
          </w:p>
        </w:tc>
        <w:tc>
          <w:tcPr>
            <w:tcW w:type="dxa" w:w="42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الوصف</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Temp_Water</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درجة مئوية</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6.0 – 32.0</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درجة حرارة الماء. تؤثر على اللزوجة ومعامل الاحتكاك.</w:t>
            </w:r>
          </w:p>
        </w:tc>
      </w:tr>
    </w:tbl>
    <w:p>
      <w:pPr>
        <w:spacing w:before="36" w:after="0"/>
      </w:pPr>
    </w:p>
    <w:p>
      <w:pPr>
        <w:pStyle w:val="Heading2"/>
        <w:spacing w:before="200" w:after="60"/>
        <w:jc w:val="right"/>
      </w:pPr>
      <w:r>
        <w:rPr>
          <w:rFonts w:ascii="Calibri" w:cs="Calibri" w:eastAsia="Calibri" w:hAnsi="Calibri"/>
          <w:b/>
          <w:bCs/>
          <w:color w:val="2C6FAC"/>
          <w:sz w:val="22"/>
          <w:szCs w:val="22"/>
        </w:rPr>
        <w:t xml:space="preserve">6.7 التهيئة المكانية</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900"/>
        <w:gridCol w:w="1560"/>
        <w:gridCol w:w="4200"/>
      </w:tblGrid>
      <w:tr>
        <w:trPr>
          <w:tblHeader/>
        </w:trPr>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العمود</w:t>
            </w:r>
          </w:p>
        </w:tc>
        <w:tc>
          <w:tcPr>
            <w:tcW w:type="dxa" w:w="10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نوع البيانات</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الوحدة</w:t>
            </w:r>
          </w:p>
        </w:tc>
        <w:tc>
          <w:tcPr>
            <w:tcW w:type="dxa" w:w="156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النطاق / القيم</w:t>
            </w:r>
          </w:p>
        </w:tc>
        <w:tc>
          <w:tcPr>
            <w:tcW w:type="dxa" w:w="42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الوصف</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Distance_AB</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متر</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52.8 – 543.4</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المسافة الفعلية للأنبوب بين الحسّاسين A و B.</w:t>
            </w:r>
          </w:p>
        </w:tc>
      </w:tr>
    </w:tbl>
    <w:p>
      <w:pPr>
        <w:spacing w:before="36" w:after="0"/>
      </w:pPr>
    </w:p>
    <w:p>
      <w:pPr>
        <w:pStyle w:val="Heading2"/>
        <w:spacing w:before="200" w:after="60"/>
        <w:jc w:val="right"/>
      </w:pPr>
      <w:r>
        <w:rPr>
          <w:rFonts w:ascii="Calibri" w:cs="Calibri" w:eastAsia="Calibri" w:hAnsi="Calibri"/>
          <w:b/>
          <w:bCs/>
          <w:color w:val="2C6FAC"/>
          <w:sz w:val="22"/>
          <w:szCs w:val="22"/>
        </w:rPr>
        <w:t xml:space="preserve">6.8 المتغيرات المكانية المشتقة (إشارات ML الأساسية)</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900"/>
        <w:gridCol w:w="1560"/>
        <w:gridCol w:w="4200"/>
      </w:tblGrid>
      <w:tr>
        <w:trPr>
          <w:tblHeader/>
        </w:trPr>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العمود</w:t>
            </w:r>
          </w:p>
        </w:tc>
        <w:tc>
          <w:tcPr>
            <w:tcW w:type="dxa" w:w="10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نوع البيانات</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الوحدة</w:t>
            </w:r>
          </w:p>
        </w:tc>
        <w:tc>
          <w:tcPr>
            <w:tcW w:type="dxa" w:w="156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النطاق / القيم</w:t>
            </w:r>
          </w:p>
        </w:tc>
        <w:tc>
          <w:tcPr>
            <w:tcW w:type="dxa" w:w="42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الوصف</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Delta_Flow</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لتر/دقيقة</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 81.7</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Flow_A − Flow_B. إشارة التسرب الأساسية. موجبة = ماء مفقود بين A و B.</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Delta_Pressure</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PSI</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 77.1</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Pressure_A − Pressure_B. يجمع فقد الاحتكاك + أي انحراف ضغط شاذ.</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Delta_Flow_Pct</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 99.8</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Delta_Flow / Flow_A × 100. نسبة الفقد المعيّرة. طبيعي &lt;3%؛ انفجار &gt;20%.</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Delta_Pressure_Pct</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 99.8</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Delta_Pressure / Pressure_A × 100. التغيير المعيّر في الضغط.</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Flow_Ratio</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 [0–1]</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بلا أبعاد</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 1.0</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Flow_B / Flow_A. كفاءة التوصيل. طبيعي ≈ 0.97–0.99.</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Pressure_Ratio</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 [0–1]</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بلا أبعاد</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 1.0</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Pressure_B / Pressure_A. قريب من 1 للسرقة؛ أقل بكثير للتسرب/الانفجار.</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Loss_Per_100m</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لتر/د/100م</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 99+</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Delta_Flow / (Distance_AB/100). يُعيّر الفقد بطول القسم للمقارنة بين المناطق.</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DP_Predicted</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PSI</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0.02 – 28.5</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هبوط الضغط المحسوب فيزيائياً: Darcy-Weisbach + تقريب Churchill (1977).</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DP_Deviation</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PSI</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-1.3 – 52.0</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Delta_Pressure − DP_Predicted. الفقد الزائد فوق نموذج الاحتكاك. إشارة الشذوذ الرئيسية.</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Flow_DP_Ratio</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لتر/د/PSI</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 11.7</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Delta_Flow / max(|Delta_Pressure|, 0.10). المميّز الرئيسي للسرقة: مرتفع جداً عند السرقة.</w:t>
            </w:r>
          </w:p>
        </w:tc>
      </w:tr>
    </w:tbl>
    <w:p>
      <w:pPr>
        <w:spacing w:before="36" w:after="0"/>
      </w:pPr>
    </w:p>
    <w:p>
      <w:pPr>
        <w:pStyle w:val="Heading2"/>
        <w:spacing w:before="200" w:after="60"/>
        <w:jc w:val="right"/>
      </w:pPr>
      <w:r>
        <w:rPr>
          <w:rFonts w:ascii="Calibri" w:cs="Calibri" w:eastAsia="Calibri" w:hAnsi="Calibri"/>
          <w:b/>
          <w:bCs/>
          <w:color w:val="2C6FAC"/>
          <w:sz w:val="22"/>
          <w:szCs w:val="22"/>
        </w:rPr>
        <w:t xml:space="preserve">6.9 أعمدة الهدف / التسمية — لا تُستخدم كمدخلات أبداً</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900"/>
        <w:gridCol w:w="1560"/>
        <w:gridCol w:w="4200"/>
      </w:tblGrid>
      <w:tr>
        <w:trPr>
          <w:tblHeader/>
        </w:trPr>
        <w:tc>
          <w:tcPr>
            <w:tcW w:type="dxa" w:w="14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العمود</w:t>
            </w:r>
          </w:p>
        </w:tc>
        <w:tc>
          <w:tcPr>
            <w:tcW w:type="dxa" w:w="10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نوع البيانات</w:t>
            </w:r>
          </w:p>
        </w:tc>
        <w:tc>
          <w:tcPr>
            <w:tcW w:type="dxa" w:w="9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الوحدة</w:t>
            </w:r>
          </w:p>
        </w:tc>
        <w:tc>
          <w:tcPr>
            <w:tcW w:type="dxa" w:w="156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النطاق / القيم</w:t>
            </w:r>
          </w:p>
        </w:tc>
        <w:tc>
          <w:tcPr>
            <w:tcW w:type="dxa" w:w="4200"/>
            <w:tcBorders>
              <w:top w:val="single" w:color="C8D8E8" w:sz="1"/>
              <w:left w:val="single" w:color="C8D8E8" w:sz="1"/>
              <w:bottom w:val="single" w:color="C8D8E8" w:sz="1"/>
              <w:right w:val="single" w:color="C8D8E8" w:sz="1"/>
            </w:tcBorders>
            <w:shd w:fill="1A3A5C" w:val="clear"/>
            <w:tcMar>
              <w:top w:type="dxa" w:w="90"/>
              <w:left w:type="dxa" w:w="80"/>
              <w:bottom w:type="dxa" w:w="90"/>
              <w:right w:type="dxa" w:w="120"/>
            </w:tcMar>
          </w:tcPr>
          <w:p>
            <w:pPr>
              <w:jc w:val="right"/>
            </w:pPr>
            <w:r>
              <w:rPr>
                <w:rFonts w:ascii="Calibri" w:cs="Calibri" w:eastAsia="Calibri" w:hAnsi="Calibri"/>
                <w:b/>
                <w:bCs/>
                <w:color w:val="FFFFFF"/>
                <w:sz w:val="19"/>
                <w:szCs w:val="19"/>
              </w:rPr>
              <w:t xml:space="preserve">الوصف</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Anomaly_Type</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نص</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normal/leak/burst/theft</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التسمية الحقيقية للعطل. الهدف الأساسي — لا تستخدمها كمدخل للنموذج أبداً.</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Anomaly_Label</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عدد صحيح [0–3]</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0=طبيعي,1=تسرب,2=انفجار,3=سرقة</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Anomaly_Type مُشفَّر للمصنّف. هدف فقط.</w:t>
            </w:r>
          </w:p>
        </w:tc>
      </w:tr>
      <w:tr>
        <w:tc>
          <w:tcPr>
            <w:tcW w:type="dxa" w:w="14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Anomaly_Binary</w:t>
            </w:r>
          </w:p>
        </w:tc>
        <w:tc>
          <w:tcPr>
            <w:tcW w:type="dxa" w:w="10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ثنائي {0,1}</w:t>
            </w:r>
          </w:p>
        </w:tc>
        <w:tc>
          <w:tcPr>
            <w:tcW w:type="dxa" w:w="9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0=طبيعي, 1=شاذ</w:t>
            </w:r>
          </w:p>
        </w:tc>
        <w:tc>
          <w:tcPr>
            <w:tcW w:type="dxa" w:w="4200"/>
            <w:tcBorders>
              <w:top w:val="single" w:color="C8D8E8" w:sz="1"/>
              <w:left w:val="single" w:color="C8D8E8" w:sz="1"/>
              <w:bottom w:val="single" w:color="C8D8E8" w:sz="1"/>
              <w:right w:val="single" w:color="C8D8E8" w:sz="1"/>
            </w:tcBorders>
            <w:shd w:fill="FFFFFF" w:val="clear"/>
            <w:tcMar>
              <w:top w:type="dxa" w:w="75"/>
              <w:left w:type="dxa" w:w="80"/>
              <w:bottom w:type="dxa" w:w="75"/>
              <w:right w:type="dxa" w:w="120"/>
            </w:tcMar>
          </w:tcPr>
          <w:p>
            <w:pPr>
              <w:jc w:val="right"/>
            </w:pPr>
            <w:r>
              <w:rPr>
                <w:rFonts w:ascii="Calibri" w:cs="Calibri" w:eastAsia="Calibri" w:hAnsi="Calibri"/>
                <w:color w:val="1A1A2E"/>
                <w:sz w:val="18"/>
                <w:szCs w:val="18"/>
              </w:rPr>
              <w:t xml:space="preserve">1 عند وجود أي شذوذ. يُستخدم لحساب AUC-ROC وتقييم Isolation Forest. هدف فقط.</w:t>
            </w:r>
          </w:p>
        </w:tc>
      </w:tr>
      <w:tr>
        <w:tc>
          <w:tcPr>
            <w:tcW w:type="dxa" w:w="14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Severity</w:t>
            </w:r>
          </w:p>
        </w:tc>
        <w:tc>
          <w:tcPr>
            <w:tcW w:type="dxa" w:w="10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عشري [0–0.72]</w:t>
            </w:r>
          </w:p>
        </w:tc>
        <w:tc>
          <w:tcPr>
            <w:tcW w:type="dxa" w:w="9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كسر عشري</w:t>
            </w:r>
          </w:p>
        </w:tc>
        <w:tc>
          <w:tcPr>
            <w:tcW w:type="dxa" w:w="156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0 للطبيعي؛ &gt;0 للعطل</w:t>
            </w:r>
          </w:p>
        </w:tc>
        <w:tc>
          <w:tcPr>
            <w:tcW w:type="dxa" w:w="4200"/>
            <w:tcBorders>
              <w:top w:val="single" w:color="C8D8E8" w:sz="1"/>
              <w:left w:val="single" w:color="C8D8E8" w:sz="1"/>
              <w:bottom w:val="single" w:color="C8D8E8" w:sz="1"/>
              <w:right w:val="single" w:color="C8D8E8" w:sz="1"/>
            </w:tcBorders>
            <w:shd w:fill="F4F7FB" w:val="clear"/>
            <w:tcMar>
              <w:top w:type="dxa" w:w="75"/>
              <w:left w:type="dxa" w:w="80"/>
              <w:bottom w:type="dxa" w:w="75"/>
              <w:right w:type="dxa" w:w="120"/>
            </w:tcMar>
          </w:tcPr>
          <w:p>
            <w:pPr>
              <w:jc w:val="right"/>
            </w:pPr>
            <w:r>
              <w:rPr>
                <w:rFonts w:ascii="Calibri" w:cs="Calibri" w:eastAsia="Calibri" w:hAnsi="Calibri"/>
                <w:color w:val="1A1A2E"/>
                <w:sz w:val="18"/>
                <w:szCs w:val="18"/>
              </w:rPr>
              <w:t xml:space="preserve">نسبة Flow_A المفقودة. 0 للطبيعي. هدف للانحدار عند الحاجة. هدف فقط.</w:t>
            </w:r>
          </w:p>
        </w:tc>
      </w:tr>
    </w:tbl>
    <w:p>
      <w:pPr>
        <w:spacing w:before="36" w:after="0"/>
      </w:pPr>
    </w:p>
    <w:p>
      <w:pPr>
        <w:pStyle w:val="Heading1"/>
        <w:spacing w:before="320" w:after="90"/>
        <w:jc w:val="right"/>
      </w:pPr>
      <w:r>
        <w:rPr>
          <w:rFonts w:ascii="Calibri" w:cs="Calibri" w:eastAsia="Calibri" w:hAnsi="Calibri"/>
          <w:b/>
          <w:bCs/>
          <w:color w:val="1A3A5C"/>
          <w:sz w:val="28"/>
          <w:szCs w:val="28"/>
        </w:rPr>
        <w:t xml:space="preserve">7. محرك الفيزياء الهيدروليكية</w:t>
      </w:r>
    </w:p>
    <w:p>
      <w:pPr>
        <w:pStyle w:val="Heading2"/>
        <w:spacing w:before="200" w:after="60"/>
        <w:jc w:val="right"/>
      </w:pPr>
      <w:r>
        <w:rPr>
          <w:rFonts w:ascii="Calibri" w:cs="Calibri" w:eastAsia="Calibri" w:hAnsi="Calibri"/>
          <w:b/>
          <w:bCs/>
          <w:color w:val="2C6FAC"/>
          <w:sz w:val="22"/>
          <w:szCs w:val="22"/>
        </w:rPr>
        <w:t xml:space="preserve">7.1 نموذج هبوط الضغط</w:t>
      </w:r>
    </w:p>
    <w:p>
      <w:pPr>
        <w:spacing w:before="50" w:after="50"/>
        <w:jc w:val="right"/>
      </w:pPr>
      <w:r>
        <w:rPr>
          <w:rFonts w:ascii="Calibri" w:cs="Calibri" w:eastAsia="Calibri" w:hAnsi="Calibri"/>
          <w:b w:val="false"/>
          <w:bCs w:val="false"/>
          <w:i w:val="false"/>
          <w:iCs w:val="false"/>
          <w:color w:val="1A1A2E"/>
          <w:sz w:val="20"/>
          <w:szCs w:val="20"/>
        </w:rPr>
        <w:t xml:space="preserve">يُحسب هبوط الضغط بين الحسّاسين A و B باستخدام معادلة Darcy-Weisbach مع تقريب Churchill (1977) لمعامل الاحتكاك Darcy، الصالح لجميع أنظمة تدفق Reynolds (رقائقي، انتقالي، ومضطرب). يُضاف 8% كخسائر ثانوية للتجهيزات والوصلات والمنحنيات.</w:t>
      </w:r>
    </w:p>
    <w:p>
      <w:pPr>
        <w:spacing w:before="36" w:after="0"/>
      </w:pPr>
    </w:p>
    <w:p>
      <w:pPr>
        <w:spacing w:before="50" w:after="50"/>
        <w:jc w:val="right"/>
      </w:pPr>
      <w:r>
        <w:rPr>
          <w:rFonts w:ascii="Calibri" w:cs="Calibri" w:eastAsia="Calibri" w:hAnsi="Calibri"/>
          <w:b w:val="false"/>
          <w:bCs w:val="false"/>
          <w:i w:val="false"/>
          <w:iCs w:val="false"/>
          <w:color w:val="1A1A2E"/>
          <w:sz w:val="20"/>
          <w:szCs w:val="20"/>
        </w:rPr>
        <w:t xml:space="preserve">قيم خشونة الأنبوب (ε، مم): حديد مطيل = 0.26، حديد زهر = 0.26، PVC = 0.0015، HDPE = 0.007، أسبستوس سيمنت = 0.30.</w:t>
      </w:r>
    </w:p>
    <w:p>
      <w:pPr>
        <w:spacing w:before="50" w:after="50"/>
        <w:jc w:val="right"/>
      </w:pPr>
      <w:r>
        <w:rPr>
          <w:rFonts w:ascii="Calibri" w:cs="Calibri" w:eastAsia="Calibri" w:hAnsi="Calibri"/>
          <w:b w:val="false"/>
          <w:bCs w:val="false"/>
          <w:i w:val="false"/>
          <w:iCs w:val="false"/>
          <w:color w:val="1A1A2E"/>
          <w:sz w:val="20"/>
          <w:szCs w:val="20"/>
        </w:rPr>
        <w:t xml:space="preserve">أقطار الأنابيب: 50 مم للمحافظات الحضرية والصناعية؛ 40 مم للمحافظات الريفية والأصغر.</w:t>
      </w:r>
    </w:p>
    <w:p>
      <w:pPr>
        <w:spacing w:before="36" w:after="0"/>
      </w:pPr>
    </w:p>
    <w:p>
      <w:pPr>
        <w:pStyle w:val="Heading2"/>
        <w:spacing w:before="200" w:after="60"/>
        <w:jc w:val="right"/>
      </w:pPr>
      <w:r>
        <w:rPr>
          <w:rFonts w:ascii="Calibri" w:cs="Calibri" w:eastAsia="Calibri" w:hAnsi="Calibri"/>
          <w:b/>
          <w:bCs/>
          <w:color w:val="2C6FAC"/>
          <w:sz w:val="22"/>
          <w:szCs w:val="22"/>
        </w:rPr>
        <w:t xml:space="preserve">7.2 نماذج حقن الشذوذ</w:t>
      </w:r>
    </w:p>
    <w:p>
      <w:pPr>
        <w:spacing w:before="50" w:after="50"/>
        <w:jc w:val="right"/>
      </w:pPr>
      <w:r>
        <w:rPr>
          <w:rFonts w:ascii="Calibri" w:cs="Calibri" w:eastAsia="Calibri" w:hAnsi="Calibri"/>
          <w:b w:val="false"/>
          <w:bCs w:val="false"/>
          <w:i w:val="false"/>
          <w:iCs w:val="false"/>
          <w:color w:val="1A1A2E"/>
          <w:sz w:val="20"/>
          <w:szCs w:val="20"/>
        </w:rPr>
        <w:t xml:space="preserve">طبيعي — تسرب خلفي: معدل الفقد = 0.004 × (مسافة/100م) × عامل_العمر × (NRW/0.40). يتوافق مع الخسائر السنوية الحتمية لـ IWA.</w:t>
      </w:r>
    </w:p>
    <w:p>
      <w:pPr>
        <w:spacing w:before="50" w:after="50"/>
        <w:jc w:val="right"/>
      </w:pPr>
      <w:r>
        <w:rPr>
          <w:rFonts w:ascii="Calibri" w:cs="Calibri" w:eastAsia="Calibri" w:hAnsi="Calibri"/>
          <w:b w:val="false"/>
          <w:bCs w:val="false"/>
          <w:i w:val="false"/>
          <w:iCs w:val="false"/>
          <w:color w:val="1A1A2E"/>
          <w:sz w:val="20"/>
          <w:szCs w:val="20"/>
        </w:rPr>
        <w:t xml:space="preserve">تسرب — الشدة ~ Uniform(0.03, 0.18). هبوط الضغط الإضافي = الشدة × PA × Uniform(0.35, 0.75). نموذج فوهة لشق أو إخفاق وصلة.</w:t>
      </w:r>
    </w:p>
    <w:p>
      <w:pPr>
        <w:spacing w:before="50" w:after="50"/>
        <w:jc w:val="right"/>
      </w:pPr>
      <w:r>
        <w:rPr>
          <w:rFonts w:ascii="Calibri" w:cs="Calibri" w:eastAsia="Calibri" w:hAnsi="Calibri"/>
          <w:b w:val="false"/>
          <w:bCs w:val="false"/>
          <w:i w:val="false"/>
          <w:iCs w:val="false"/>
          <w:color w:val="1A1A2E"/>
          <w:sz w:val="20"/>
          <w:szCs w:val="20"/>
        </w:rPr>
        <w:t xml:space="preserve">انفجار — الشدة ~ Uniform(0.25, 0.72). هبوط الضغط الإضافي = الشدة × PA × Uniform(0.70, 0.92). تمزق كامل للأنبوب.</w:t>
      </w:r>
    </w:p>
    <w:p>
      <w:pPr>
        <w:spacing w:before="50" w:after="50"/>
        <w:jc w:val="right"/>
      </w:pPr>
      <w:r>
        <w:rPr>
          <w:rFonts w:ascii="Calibri" w:cs="Calibri" w:eastAsia="Calibri" w:hAnsi="Calibri"/>
          <w:b w:val="false"/>
          <w:bCs w:val="false"/>
          <w:i w:val="false"/>
          <w:iCs w:val="false"/>
          <w:color w:val="1A1A2E"/>
          <w:sz w:val="20"/>
          <w:szCs w:val="20"/>
        </w:rPr>
        <w:t xml:space="preserve">سرقة — الشدة ~ Uniform(0.05, 0.14). هبوط الضغط الإضافي = الشدة × PA × Uniform(0.04, 0.16). توصيل غير مشروع صغير: تأثير ضغط ضئيل، Flow_DP_Ratio مرتفع جداً.</w:t>
      </w:r>
    </w:p>
    <w:p>
      <w:pPr>
        <w:spacing w:before="36" w:after="0"/>
      </w:pPr>
    </w:p>
    <w:p>
      <w:pPr>
        <w:pStyle w:val="Heading2"/>
        <w:spacing w:before="200" w:after="60"/>
        <w:jc w:val="right"/>
      </w:pPr>
      <w:r>
        <w:rPr>
          <w:rFonts w:ascii="Calibri" w:cs="Calibri" w:eastAsia="Calibri" w:hAnsi="Calibri"/>
          <w:b/>
          <w:bCs/>
          <w:color w:val="2C6FAC"/>
          <w:sz w:val="22"/>
          <w:szCs w:val="22"/>
        </w:rPr>
        <w:t xml:space="preserve">7.3 نموذج الطلب الأردني</w:t>
      </w:r>
    </w:p>
    <w:p>
      <w:pPr>
        <w:spacing w:before="50" w:after="50"/>
        <w:jc w:val="right"/>
      </w:pPr>
      <w:r>
        <w:rPr>
          <w:rFonts w:ascii="Calibri" w:cs="Calibri" w:eastAsia="Calibri" w:hAnsi="Calibri"/>
          <w:b w:val="false"/>
          <w:bCs w:val="false"/>
          <w:i w:val="false"/>
          <w:iCs w:val="false"/>
          <w:color w:val="1A1A2E"/>
          <w:sz w:val="20"/>
          <w:szCs w:val="20"/>
        </w:rPr>
        <w:t xml:space="preserve">يُضرب الطلب في مضاعف يعكس: التباين الموسمي (صيف +25–55%، شتاء −10–22%)، التقويم الإسلامي (رمضان نهاراً −35–45%، إفطار/سحور +45–62%، عيد +30–55%)، وعطلة نهاية الأسبوع الأردنية (خميس-جمعة +12%)، ومنحنى يومي قياسي بذروتين.</w:t>
      </w:r>
    </w:p>
    <w:p>
      <w:pPr>
        <w:spacing w:before="72" w:after="0"/>
      </w:pPr>
    </w:p>
    <w:p>
      <w:pPr>
        <w:pStyle w:val="Heading1"/>
        <w:spacing w:before="320" w:after="90"/>
        <w:jc w:val="right"/>
      </w:pPr>
      <w:r>
        <w:rPr>
          <w:rFonts w:ascii="Calibri" w:cs="Calibri" w:eastAsia="Calibri" w:hAnsi="Calibri"/>
          <w:b/>
          <w:bCs/>
          <w:color w:val="1A3A5C"/>
          <w:sz w:val="28"/>
          <w:szCs w:val="28"/>
        </w:rPr>
        <w:t xml:space="preserve">8. كيف تدعم مجموعة البيانات كل مرحلة من مراحل نموذج ML</w:t>
      </w:r>
    </w:p>
    <w:p>
      <w:pPr>
        <w:pStyle w:val="Heading2"/>
        <w:spacing w:before="200" w:after="60"/>
        <w:jc w:val="right"/>
      </w:pPr>
      <w:r>
        <w:rPr>
          <w:rFonts w:ascii="Calibri" w:cs="Calibri" w:eastAsia="Calibri" w:hAnsi="Calibri"/>
          <w:b/>
          <w:bCs/>
          <w:color w:val="2C6FAC"/>
          <w:sz w:val="22"/>
          <w:szCs w:val="22"/>
        </w:rPr>
        <w:t xml:space="preserve">المرحلة 1 — LSTM لتوقع الطلب</w:t>
      </w:r>
    </w:p>
    <w:p>
      <w:pPr>
        <w:spacing w:before="50" w:after="50"/>
        <w:jc w:val="right"/>
      </w:pPr>
      <w:r>
        <w:rPr>
          <w:rFonts w:ascii="Calibri" w:cs="Calibri" w:eastAsia="Calibri" w:hAnsi="Calibri"/>
          <w:b w:val="false"/>
          <w:bCs w:val="false"/>
          <w:i w:val="false"/>
          <w:iCs w:val="false"/>
          <w:color w:val="1A1A2E"/>
          <w:sz w:val="20"/>
          <w:szCs w:val="20"/>
        </w:rPr>
        <w:t xml:space="preserve">يُدرَّب على العينات الطبيعية فقط. يتعلم Delta_Flow و Delta_Pressure المتوقعَين في ظل الظروف الهيدروليكية الطبيعية. المخرجات: بواقي LSTM (فعلي − متوقع) تُغذّى كميزات للنماذج اللاحقة. مدخلات LSTM الرئيسية: Flow_A، Pressure_A، Distance_AB، وجميع ميزات الوقت والملف الشخصي (19 ميزة).</w:t>
      </w:r>
    </w:p>
    <w:p>
      <w:pPr>
        <w:spacing w:before="36" w:after="0"/>
      </w:pPr>
    </w:p>
    <w:p>
      <w:pPr>
        <w:pStyle w:val="Heading2"/>
        <w:spacing w:before="200" w:after="60"/>
        <w:jc w:val="right"/>
      </w:pPr>
      <w:r>
        <w:rPr>
          <w:rFonts w:ascii="Calibri" w:cs="Calibri" w:eastAsia="Calibri" w:hAnsi="Calibri"/>
          <w:b/>
          <w:bCs/>
          <w:color w:val="2C6FAC"/>
          <w:sz w:val="22"/>
          <w:szCs w:val="22"/>
        </w:rPr>
        <w:t xml:space="preserve">المرحلة 2 — Isolation Forest للكشف عن الشذوذ</w:t>
      </w:r>
    </w:p>
    <w:p>
      <w:pPr>
        <w:spacing w:before="50" w:after="50"/>
        <w:jc w:val="right"/>
      </w:pPr>
      <w:r>
        <w:rPr>
          <w:rFonts w:ascii="Calibri" w:cs="Calibri" w:eastAsia="Calibri" w:hAnsi="Calibri"/>
          <w:b w:val="false"/>
          <w:bCs w:val="false"/>
          <w:i w:val="false"/>
          <w:iCs w:val="false"/>
          <w:color w:val="1A1A2E"/>
          <w:sz w:val="20"/>
          <w:szCs w:val="20"/>
        </w:rPr>
        <w:t xml:space="preserve">غير خاضع للإشراف. يُدرَّب على ميزات دلتا المكانية للعينات الطبيعية فقط. يتعلم العلاقة الطبيعية بين A و B دون استخدام التسميات. contamination = 0.05 (متوافق مع نسبة الشذوذ الواقعية في مجموعة الاختبار).</w:t>
      </w:r>
    </w:p>
    <w:p>
      <w:pPr>
        <w:spacing w:before="36" w:after="0"/>
      </w:pPr>
    </w:p>
    <w:p>
      <w:pPr>
        <w:pStyle w:val="Heading2"/>
        <w:spacing w:before="200" w:after="60"/>
        <w:jc w:val="right"/>
      </w:pPr>
      <w:r>
        <w:rPr>
          <w:rFonts w:ascii="Calibri" w:cs="Calibri" w:eastAsia="Calibri" w:hAnsi="Calibri"/>
          <w:b/>
          <w:bCs/>
          <w:color w:val="2C6FAC"/>
          <w:sz w:val="22"/>
          <w:szCs w:val="22"/>
        </w:rPr>
        <w:t xml:space="preserve">المرحلة 3 — Random Forest لتصنيف الأعطال</w:t>
      </w:r>
    </w:p>
    <w:p>
      <w:pPr>
        <w:spacing w:before="50" w:after="50"/>
        <w:jc w:val="right"/>
      </w:pPr>
      <w:r>
        <w:rPr>
          <w:rFonts w:ascii="Calibri" w:cs="Calibri" w:eastAsia="Calibri" w:hAnsi="Calibri"/>
          <w:b w:val="false"/>
          <w:bCs w:val="false"/>
          <w:i w:val="false"/>
          <w:iCs w:val="false"/>
          <w:color w:val="1A1A2E"/>
          <w:sz w:val="20"/>
          <w:szCs w:val="20"/>
        </w:rPr>
        <w:t xml:space="preserve">خاضع للإشراف. المدخل = جميع ميزات المكانية + الملف الشخصي + إشارات IF + بواقي LSTM (33 ميزة إجمالاً). class_weight='balanced' لمعالجة عدم التوازن. يُصنِّف: طبيعي/تسرب/انفجار/سرقة.</w:t>
      </w:r>
    </w:p>
    <w:p>
      <w:pPr>
        <w:spacing w:before="36" w:after="0"/>
      </w:pPr>
    </w:p>
    <w:p>
      <w:pPr>
        <w:pStyle w:val="Heading2"/>
        <w:spacing w:before="200" w:after="60"/>
        <w:jc w:val="right"/>
      </w:pPr>
      <w:r>
        <w:rPr>
          <w:rFonts w:ascii="Calibri" w:cs="Calibri" w:eastAsia="Calibri" w:hAnsi="Calibri"/>
          <w:b/>
          <w:bCs/>
          <w:color w:val="2C6FAC"/>
          <w:sz w:val="22"/>
          <w:szCs w:val="22"/>
        </w:rPr>
        <w:t xml:space="preserve">المرحلة 4 — محرك القرار</w:t>
      </w:r>
    </w:p>
    <w:p>
      <w:pPr>
        <w:spacing w:before="50" w:after="50"/>
        <w:jc w:val="right"/>
      </w:pPr>
      <w:r>
        <w:rPr>
          <w:rFonts w:ascii="Calibri" w:cs="Calibri" w:eastAsia="Calibri" w:hAnsi="Calibri"/>
          <w:b w:val="false"/>
          <w:bCs w:val="false"/>
          <w:i w:val="false"/>
          <w:iCs w:val="false"/>
          <w:color w:val="1A1A2E"/>
          <w:sz w:val="20"/>
          <w:szCs w:val="20"/>
        </w:rPr>
        <w:t xml:space="preserve">الثقة الإجمالية = 0.30 × IF_confidence + 0.70 × RF_proba(شاذ). يُطلق التنبيه إذا (IF_flag=1 أو RF_pred&gt;0) وكانت الثقة ≥ 0.45. استدعاء الانفجار = 1.000 هو مقياس السلامة الأساسي.</w:t>
      </w:r>
    </w:p>
    <w:p>
      <w:pPr>
        <w:spacing w:before="72" w:after="0"/>
      </w:pPr>
    </w:p>
    <w:p>
      <w:pPr>
        <w:pStyle w:val="Heading1"/>
        <w:spacing w:before="320" w:after="90"/>
        <w:jc w:val="right"/>
      </w:pPr>
      <w:r>
        <w:rPr>
          <w:rFonts w:ascii="Calibri" w:cs="Calibri" w:eastAsia="Calibri" w:hAnsi="Calibri"/>
          <w:b/>
          <w:bCs/>
          <w:color w:val="1A3A5C"/>
          <w:sz w:val="28"/>
          <w:szCs w:val="28"/>
        </w:rPr>
        <w:t xml:space="preserve">9. منع تسرب البيانات</w:t>
      </w:r>
    </w:p>
    <w:p>
      <w:pPr>
        <w:spacing w:before="50" w:after="50"/>
        <w:jc w:val="right"/>
      </w:pPr>
      <w:r>
        <w:rPr>
          <w:rFonts w:ascii="Calibri" w:cs="Calibri" w:eastAsia="Calibri" w:hAnsi="Calibri"/>
          <w:b w:val="false"/>
          <w:bCs w:val="false"/>
          <w:i w:val="false"/>
          <w:iCs w:val="false"/>
          <w:color w:val="1A1A2E"/>
          <w:sz w:val="20"/>
          <w:szCs w:val="20"/>
        </w:rPr>
        <w:t xml:space="preserve">الأعمدة التالية هي أعمدة هدف فقط — يُحظر تماماً استخدامها كمدخلات للنموذج:</w:t>
      </w:r>
    </w:p>
    <w:p>
      <w:pPr>
        <w:spacing w:before="50" w:after="50"/>
        <w:jc w:val="right"/>
      </w:pPr>
      <w:r>
        <w:rPr>
          <w:rFonts w:ascii="Calibri" w:cs="Calibri" w:eastAsia="Calibri" w:hAnsi="Calibri"/>
          <w:b w:val="false"/>
          <w:bCs w:val="false"/>
          <w:i w:val="false"/>
          <w:iCs w:val="false"/>
          <w:color w:val="1A1A2E"/>
          <w:sz w:val="20"/>
          <w:szCs w:val="20"/>
        </w:rPr>
        <w:t xml:space="preserve">  •  Anomaly_Type  —  تسمية الفئة النصية</w:t>
      </w:r>
    </w:p>
    <w:p>
      <w:pPr>
        <w:spacing w:before="50" w:after="50"/>
        <w:jc w:val="right"/>
      </w:pPr>
      <w:r>
        <w:rPr>
          <w:rFonts w:ascii="Calibri" w:cs="Calibri" w:eastAsia="Calibri" w:hAnsi="Calibri"/>
          <w:b w:val="false"/>
          <w:bCs w:val="false"/>
          <w:i w:val="false"/>
          <w:iCs w:val="false"/>
          <w:color w:val="1A1A2E"/>
          <w:sz w:val="20"/>
          <w:szCs w:val="20"/>
        </w:rPr>
        <w:t xml:space="preserve">  •  Anomaly_Label  —  الفئة المُشفَّرة بعدد صحيح</w:t>
      </w:r>
    </w:p>
    <w:p>
      <w:pPr>
        <w:spacing w:before="50" w:after="50"/>
        <w:jc w:val="right"/>
      </w:pPr>
      <w:r>
        <w:rPr>
          <w:rFonts w:ascii="Calibri" w:cs="Calibri" w:eastAsia="Calibri" w:hAnsi="Calibri"/>
          <w:b w:val="false"/>
          <w:bCs w:val="false"/>
          <w:i w:val="false"/>
          <w:iCs w:val="false"/>
          <w:color w:val="1A1A2E"/>
          <w:sz w:val="20"/>
          <w:szCs w:val="20"/>
        </w:rPr>
        <w:t xml:space="preserve">  •  Anomaly_Binary  —  مؤشر العطل الثنائي</w:t>
      </w:r>
    </w:p>
    <w:p>
      <w:pPr>
        <w:spacing w:before="50" w:after="50"/>
        <w:jc w:val="right"/>
      </w:pPr>
      <w:r>
        <w:rPr>
          <w:rFonts w:ascii="Calibri" w:cs="Calibri" w:eastAsia="Calibri" w:hAnsi="Calibri"/>
          <w:b w:val="false"/>
          <w:bCs w:val="false"/>
          <w:i w:val="false"/>
          <w:iCs w:val="false"/>
          <w:color w:val="1A1A2E"/>
          <w:sz w:val="20"/>
          <w:szCs w:val="20"/>
        </w:rPr>
        <w:t xml:space="preserve">  •  Severity  —  كسر عشري لشدة العطل</w:t>
      </w:r>
    </w:p>
    <w:p>
      <w:pPr>
        <w:spacing w:before="36" w:after="0"/>
      </w:pPr>
    </w:p>
    <w:p>
      <w:pPr>
        <w:spacing w:before="50" w:after="50"/>
        <w:jc w:val="right"/>
      </w:pPr>
      <w:r>
        <w:rPr>
          <w:rFonts w:ascii="Calibri" w:cs="Calibri" w:eastAsia="Calibri" w:hAnsi="Calibri"/>
          <w:b w:val="false"/>
          <w:bCs w:val="false"/>
          <w:i w:val="false"/>
          <w:iCs w:val="false"/>
          <w:color w:val="1A1A2E"/>
          <w:sz w:val="20"/>
          <w:szCs w:val="20"/>
        </w:rPr>
        <w:t xml:space="preserve">تُخلط بيانات التدريب قبل استخراج التحقق لإزالة تحيز الترتيب الزمني الناتج عن نمط توليد الطوابع الزمنية المتسلسل.</w:t>
      </w:r>
    </w:p>
    <w:p>
      <w:pPr>
        <w:spacing w:before="50" w:after="50"/>
        <w:jc w:val="right"/>
      </w:pPr>
      <w:r>
        <w:rPr>
          <w:rFonts w:ascii="Calibri" w:cs="Calibri" w:eastAsia="Calibri" w:hAnsi="Calibri"/>
          <w:b w:val="false"/>
          <w:bCs w:val="false"/>
          <w:i/>
          <w:iCs/>
          <w:color w:val="1A1A2E"/>
          <w:sz w:val="20"/>
          <w:szCs w:val="20"/>
        </w:rPr>
        <w:t xml:space="preserve">المعيّرات مُعايَرة حصراً على جزء التدريب. يُحوَّل التحقق والاختبار فقط — لا يُستخدمان أبداً في إعادة الضبط.</w:t>
      </w:r>
    </w:p>
    <w:p>
      <w:pPr>
        <w:spacing w:before="72" w:after="0"/>
      </w:pPr>
    </w:p>
    <w:p>
      <w:pPr>
        <w:pStyle w:val="Heading1"/>
        <w:spacing w:before="320" w:after="90"/>
        <w:jc w:val="right"/>
      </w:pPr>
      <w:r>
        <w:rPr>
          <w:rFonts w:ascii="Calibri" w:cs="Calibri" w:eastAsia="Calibri" w:hAnsi="Calibri"/>
          <w:b/>
          <w:bCs/>
          <w:color w:val="1A3A5C"/>
          <w:sz w:val="28"/>
          <w:szCs w:val="28"/>
        </w:rPr>
        <w:t xml:space="preserve">10. الافتراضات والقيود</w:t>
      </w:r>
    </w:p>
    <w:p>
      <w:pPr>
        <w:spacing w:before="50" w:after="50"/>
        <w:jc w:val="right"/>
      </w:pPr>
      <w:r>
        <w:rPr>
          <w:rFonts w:ascii="Calibri" w:cs="Calibri" w:eastAsia="Calibri" w:hAnsi="Calibri"/>
          <w:b w:val="false"/>
          <w:bCs w:val="false"/>
          <w:i w:val="false"/>
          <w:iCs w:val="false"/>
          <w:color w:val="1A1A2E"/>
          <w:sz w:val="20"/>
          <w:szCs w:val="20"/>
        </w:rPr>
        <w:t xml:space="preserve">(1) جميع البيانات مولَّدة اصطناعياً. لم تُستخدَم قراءات حسّاسات حقيقية من WAJ أو ميّاهنا. التحقق من البيانات الحقيقية مُحدَّد كعمل مستقبلي.</w:t>
      </w:r>
    </w:p>
    <w:p>
      <w:pPr>
        <w:spacing w:before="50" w:after="50"/>
        <w:jc w:val="right"/>
      </w:pPr>
      <w:r>
        <w:rPr>
          <w:rFonts w:ascii="Calibri" w:cs="Calibri" w:eastAsia="Calibri" w:hAnsi="Calibri"/>
          <w:b w:val="false"/>
          <w:bCs w:val="false"/>
          <w:i w:val="false"/>
          <w:iCs w:val="false"/>
          <w:color w:val="1A1A2E"/>
          <w:sz w:val="20"/>
          <w:szCs w:val="20"/>
        </w:rPr>
        <w:t xml:space="preserve">(2) قطر الأنبوب ثابت عند 50 مم أو 40 مم حسب نوع المنطقة. الشبكات الحقيقية تُظهر أقطاراً غير متجانسة داخل المنطقة نفسها.</w:t>
      </w:r>
    </w:p>
    <w:p>
      <w:pPr>
        <w:spacing w:before="50" w:after="50"/>
        <w:jc w:val="right"/>
      </w:pPr>
      <w:r>
        <w:rPr>
          <w:rFonts w:ascii="Calibri" w:cs="Calibri" w:eastAsia="Calibri" w:hAnsi="Calibri"/>
          <w:b w:val="false"/>
          <w:bCs w:val="false"/>
          <w:i w:val="false"/>
          <w:iCs w:val="false"/>
          <w:color w:val="1A1A2E"/>
          <w:sz w:val="20"/>
          <w:szCs w:val="20"/>
        </w:rPr>
        <w:t xml:space="preserve">(3) مضاعفات الطلب مقرَّبة من متوسطات شهرية. الأحداث الفرعية الشهرية (مواسم الدراسة، المناوبات الصناعية، المواسم السياحية) غير مُنمذَجة.</w:t>
      </w:r>
    </w:p>
    <w:p>
      <w:pPr>
        <w:spacing w:before="50" w:after="50"/>
        <w:jc w:val="right"/>
      </w:pPr>
      <w:r>
        <w:rPr>
          <w:rFonts w:ascii="Calibri" w:cs="Calibri" w:eastAsia="Calibri" w:hAnsi="Calibri"/>
          <w:b w:val="false"/>
          <w:bCs w:val="false"/>
          <w:i w:val="false"/>
          <w:iCs w:val="false"/>
          <w:color w:val="1A1A2E"/>
          <w:sz w:val="20"/>
          <w:szCs w:val="20"/>
        </w:rPr>
        <w:t xml:space="preserve">(4) ضجيج الحسّاس مُنمذَج كتوزيع غاوسي. أجهزة الاستشعار الحقيقية قد تُظهر انجرافاً غير غاوسي وقيماً شاذة وإخفاقات في الاتصال.</w:t>
      </w:r>
    </w:p>
    <w:p>
      <w:pPr>
        <w:spacing w:before="50" w:after="50"/>
        <w:jc w:val="right"/>
      </w:pPr>
      <w:r>
        <w:rPr>
          <w:rFonts w:ascii="Calibri" w:cs="Calibri" w:eastAsia="Calibri" w:hAnsi="Calibri"/>
          <w:b w:val="false"/>
          <w:bCs w:val="false"/>
          <w:i w:val="false"/>
          <w:iCs w:val="false"/>
          <w:color w:val="1A1A2E"/>
          <w:sz w:val="20"/>
          <w:szCs w:val="20"/>
        </w:rPr>
        <w:t xml:space="preserve">(5) لا تُنمذَج المطرقة المائية، والأحداث الانتقالية للضغط، أو التغيرات في اللزوجة المعتمدة على درجة الحرارة.</w:t>
      </w:r>
    </w:p>
    <w:p>
      <w:pPr>
        <w:spacing w:before="72" w:after="0"/>
      </w:pPr>
    </w:p>
    <w:p>
      <w:pPr>
        <w:pStyle w:val="Heading1"/>
        <w:spacing w:before="320" w:after="90"/>
        <w:jc w:val="right"/>
      </w:pPr>
      <w:r>
        <w:rPr>
          <w:rFonts w:ascii="Calibri" w:cs="Calibri" w:eastAsia="Calibri" w:hAnsi="Calibri"/>
          <w:b/>
          <w:bCs/>
          <w:color w:val="1A3A5C"/>
          <w:sz w:val="28"/>
          <w:szCs w:val="28"/>
        </w:rPr>
        <w:t xml:space="preserve">11. الاستشهاد والمراجع</w:t>
      </w:r>
    </w:p>
    <w:p>
      <w:pPr>
        <w:spacing w:before="50" w:after="50"/>
        <w:jc w:val="right"/>
      </w:pPr>
      <w:r>
        <w:rPr>
          <w:rFonts w:ascii="Calibri" w:cs="Calibri" w:eastAsia="Calibri" w:hAnsi="Calibri"/>
          <w:b w:val="false"/>
          <w:bCs w:val="false"/>
          <w:i/>
          <w:iCs/>
          <w:color w:val="1A1A2E"/>
          <w:sz w:val="20"/>
          <w:szCs w:val="20"/>
        </w:rPr>
        <w:t xml:space="preserve">يجب الاستشهاد بهذه المجموعة على النحو التالي:</w:t>
      </w:r>
    </w:p>
    <w:p>
      <w:pPr>
        <w:spacing w:before="50" w:after="50"/>
        <w:jc w:val="right"/>
      </w:pPr>
      <w:r>
        <w:rPr>
          <w:rFonts w:ascii="Calibri" w:cs="Calibri" w:eastAsia="Calibri" w:hAnsi="Calibri"/>
          <w:b w:val="false"/>
          <w:bCs w:val="false"/>
          <w:i w:val="false"/>
          <w:iCs w:val="false"/>
          <w:color w:val="1A1A2E"/>
          <w:sz w:val="20"/>
          <w:szCs w:val="20"/>
        </w:rPr>
        <w:t xml:space="preserve">فريق Change The Future، جامعة عمّان العربية. (2026). شبكة المياه الوطنية الأردنية — مجموعة بيانات الاستشعار المكاني A-B الاصطناعية v2.0. مشروع الكشف الذكي عن فقد المياه. هاكاثون IEEE RAS &amp; CS.</w:t>
      </w:r>
    </w:p>
    <w:p>
      <w:pPr>
        <w:spacing w:before="36" w:after="0"/>
      </w:pPr>
    </w:p>
    <w:p>
      <w:pPr>
        <w:spacing w:before="50" w:after="50"/>
        <w:jc w:val="right"/>
      </w:pPr>
      <w:r>
        <w:rPr>
          <w:rFonts w:ascii="Calibri" w:cs="Calibri" w:eastAsia="Calibri" w:hAnsi="Calibri"/>
          <w:b w:val="false"/>
          <w:bCs w:val="false"/>
          <w:i w:val="false"/>
          <w:iCs w:val="false"/>
          <w:color w:val="1A1A2E"/>
          <w:sz w:val="20"/>
          <w:szCs w:val="20"/>
        </w:rPr>
        <w:t xml:space="preserve">المراجع المستخدمة في معايرة الفيزياء:</w:t>
      </w:r>
    </w:p>
    <w:p>
      <w:pPr>
        <w:spacing w:before="50" w:after="50"/>
        <w:jc w:val="right"/>
      </w:pPr>
      <w:r>
        <w:rPr>
          <w:rFonts w:ascii="Calibri" w:cs="Calibri" w:eastAsia="Calibri" w:hAnsi="Calibri"/>
          <w:b w:val="false"/>
          <w:bCs w:val="false"/>
          <w:i w:val="false"/>
          <w:iCs w:val="false"/>
          <w:color w:val="1A1A2E"/>
          <w:sz w:val="20"/>
          <w:szCs w:val="20"/>
        </w:rPr>
        <w:t xml:space="preserve">Vrachimis et al. (2018). LeakDB: A Benchmark Dataset for Leakage Diagnosis in WDNs. https://github.com/KIOS-Research/LeakDB</w:t>
      </w:r>
    </w:p>
    <w:p>
      <w:pPr>
        <w:spacing w:before="50" w:after="50"/>
        <w:jc w:val="right"/>
      </w:pPr>
      <w:r>
        <w:rPr>
          <w:rFonts w:ascii="Calibri" w:cs="Calibri" w:eastAsia="Calibri" w:hAnsi="Calibri"/>
          <w:b w:val="false"/>
          <w:bCs w:val="false"/>
          <w:i w:val="false"/>
          <w:iCs w:val="false"/>
          <w:color w:val="1A1A2E"/>
          <w:sz w:val="20"/>
          <w:szCs w:val="20"/>
        </w:rPr>
        <w:t xml:space="preserve">Vrachimis et al. (2020). BattLeDIM: Battle of the Leakage Detection and Isolation Methods. https://doi.org/10.5281/zenodo.4017659</w:t>
      </w:r>
    </w:p>
    <w:p>
      <w:pPr>
        <w:spacing w:before="50" w:after="50"/>
        <w:jc w:val="right"/>
      </w:pPr>
      <w:r>
        <w:rPr>
          <w:rFonts w:ascii="Calibri" w:cs="Calibri" w:eastAsia="Calibri" w:hAnsi="Calibri"/>
          <w:b w:val="false"/>
          <w:bCs w:val="false"/>
          <w:i w:val="false"/>
          <w:iCs w:val="false"/>
          <w:color w:val="1A1A2E"/>
          <w:sz w:val="20"/>
          <w:szCs w:val="20"/>
        </w:rPr>
        <w:t xml:space="preserve">Churchill, S. W. (1977). Friction factor equation spans all fluid-flow regimes. Chemical Engineering, 84(24), 91–92.</w:t>
      </w:r>
    </w:p>
    <w:p>
      <w:pPr>
        <w:spacing w:before="50" w:after="50"/>
        <w:jc w:val="right"/>
      </w:pPr>
      <w:r>
        <w:rPr>
          <w:rFonts w:ascii="Calibri" w:cs="Calibri" w:eastAsia="Calibri" w:hAnsi="Calibri"/>
          <w:b w:val="false"/>
          <w:bCs w:val="false"/>
          <w:i w:val="false"/>
          <w:iCs w:val="false"/>
          <w:color w:val="1A1A2E"/>
          <w:sz w:val="20"/>
          <w:szCs w:val="20"/>
        </w:rPr>
        <w:t xml:space="preserve">وزارة المياه والري الأردنية. (2022). حقائق وأرقام قطاع المياه الأردني.</w:t>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فريق Change The Future  ·  جامعة عمّان العربية  ·  هاكاثون IEEE RAS &amp; CS  |  صفحة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FAC" w:sz="4" w:space="1"/>
      </w:pBdr>
      <w:jc w:val="right"/>
    </w:pPr>
    <w:r>
      <w:rPr>
        <w:rFonts w:ascii="Calibri" w:cs="Calibri" w:eastAsia="Calibri" w:hAnsi="Calibri"/>
        <w:color w:val="5A6880"/>
        <w:sz w:val="17"/>
        <w:szCs w:val="17"/>
      </w:rPr>
      <w:t xml:space="preserve">شبكة المياه الأردنية — ملف بيانات المشروع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2026-03-29T06:05:04.002Z</dcterms:created>
  <dcterms:modified xsi:type="dcterms:W3CDTF">2026-03-29T06:05:04.003Z</dcterms:modified>
</cp:coreProperties>
</file>

<file path=docProps/custom.xml><?xml version="1.0" encoding="utf-8"?>
<Properties xmlns="http://schemas.openxmlformats.org/officeDocument/2006/custom-properties" xmlns:vt="http://schemas.openxmlformats.org/officeDocument/2006/docPropsVTypes"/>
</file>